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AF43A2" w14:paraId="33D35476"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aa"/>
              <w:tblpPr w:leftFromText="180" w:rightFromText="180" w:vertAnchor="text" w:horzAnchor="margin" w:tblpXSpec="center" w:tblpY="2284"/>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AF43A2" w14:paraId="3F26895E" w14:textId="77777777" w:rsidTr="009A6DE4">
              <w:tc>
                <w:tcPr>
                  <w:tcW w:w="9298" w:type="dxa"/>
                  <w:vAlign w:val="center"/>
                </w:tcPr>
                <w:p w14:paraId="6908ABDC" w14:textId="77777777" w:rsidR="00B175AC" w:rsidRPr="00AF43A2" w:rsidRDefault="009A6DE4" w:rsidP="000A0528">
                  <w:pPr>
                    <w:pStyle w:val="CoverPageTitle"/>
                    <w:spacing w:before="0" w:after="0" w:line="240" w:lineRule="auto"/>
                    <w:jc w:val="left"/>
                    <w:rPr>
                      <w:rFonts w:asciiTheme="minorHAnsi" w:hAnsiTheme="minorHAnsi" w:cstheme="minorHAnsi"/>
                      <w:color w:val="003F72"/>
                    </w:rPr>
                  </w:pPr>
                  <w:r w:rsidRPr="00AF43A2">
                    <w:rPr>
                      <w:rFonts w:asciiTheme="minorHAnsi" w:hAnsiTheme="minorHAnsi" w:cstheme="minorHAnsi"/>
                      <w:color w:val="003F72"/>
                    </w:rPr>
                    <w:t>Funding Request</w:t>
                  </w:r>
                  <w:r w:rsidR="000E5BFC" w:rsidRPr="00AF43A2">
                    <w:rPr>
                      <w:rFonts w:asciiTheme="minorHAnsi" w:hAnsiTheme="minorHAnsi" w:cstheme="minorHAnsi"/>
                      <w:color w:val="003F72"/>
                    </w:rPr>
                    <w:t xml:space="preserve"> Form</w:t>
                  </w:r>
                </w:p>
                <w:p w14:paraId="0CB60D3D" w14:textId="3F435CB2" w:rsidR="00C11349" w:rsidRPr="00AF43A2" w:rsidRDefault="00C11349" w:rsidP="000A0528">
                  <w:pPr>
                    <w:pStyle w:val="CoverPageTitle"/>
                    <w:spacing w:before="0" w:after="0" w:line="240" w:lineRule="auto"/>
                    <w:rPr>
                      <w:rFonts w:asciiTheme="minorHAnsi" w:hAnsiTheme="minorHAnsi" w:cstheme="minorHAnsi"/>
                      <w:color w:val="003F72"/>
                      <w:sz w:val="40"/>
                      <w:szCs w:val="40"/>
                    </w:rPr>
                  </w:pPr>
                  <w:r w:rsidRPr="00AF43A2">
                    <w:rPr>
                      <w:rFonts w:asciiTheme="minorHAnsi" w:hAnsiTheme="minorHAnsi" w:cstheme="minorHAnsi"/>
                      <w:color w:val="003F72"/>
                      <w:sz w:val="40"/>
                      <w:szCs w:val="40"/>
                    </w:rPr>
                    <w:t xml:space="preserve">Allocation </w:t>
                  </w:r>
                  <w:r w:rsidR="00AB6271" w:rsidRPr="00AF43A2">
                    <w:rPr>
                      <w:rFonts w:asciiTheme="minorHAnsi" w:hAnsiTheme="minorHAnsi" w:cstheme="minorHAnsi"/>
                      <w:color w:val="003F72"/>
                      <w:sz w:val="40"/>
                      <w:szCs w:val="40"/>
                    </w:rPr>
                    <w:t>Period</w:t>
                  </w:r>
                  <w:r w:rsidRPr="00AF43A2">
                    <w:rPr>
                      <w:rFonts w:asciiTheme="minorHAnsi" w:hAnsiTheme="minorHAnsi" w:cstheme="minorHAnsi"/>
                      <w:color w:val="003F72"/>
                      <w:sz w:val="40"/>
                      <w:szCs w:val="40"/>
                    </w:rPr>
                    <w:t xml:space="preserve"> 2020-2022</w:t>
                  </w:r>
                </w:p>
              </w:tc>
            </w:tr>
          </w:tbl>
          <w:p w14:paraId="09786C6B" w14:textId="77777777" w:rsidR="00F84E3B" w:rsidRPr="00AF43A2" w:rsidRDefault="00F84E3B" w:rsidP="000A0528">
            <w:pPr>
              <w:pStyle w:val="NormalNoSpace"/>
              <w:spacing w:line="240" w:lineRule="auto"/>
              <w:jc w:val="center"/>
              <w:rPr>
                <w:rFonts w:asciiTheme="minorHAnsi" w:hAnsiTheme="minorHAnsi" w:cstheme="minorHAnsi"/>
                <w:caps w:val="0"/>
              </w:rPr>
            </w:pPr>
          </w:p>
          <w:p w14:paraId="4470BB6E" w14:textId="55250D34" w:rsidR="007043C7" w:rsidRPr="00AF43A2" w:rsidRDefault="00D2069F" w:rsidP="000A0528">
            <w:pPr>
              <w:pStyle w:val="NormalNoSpace"/>
              <w:spacing w:line="240" w:lineRule="auto"/>
              <w:jc w:val="center"/>
              <w:rPr>
                <w:rFonts w:asciiTheme="minorHAnsi" w:hAnsiTheme="minorHAnsi" w:cstheme="minorHAnsi"/>
                <w:caps w:val="0"/>
              </w:rPr>
            </w:pPr>
            <w:r w:rsidRPr="00AF43A2">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18AB035E" wp14:editId="3E357E70">
                      <wp:simplePos x="0" y="0"/>
                      <wp:positionH relativeFrom="margin">
                        <wp:align>right</wp:align>
                      </wp:positionH>
                      <wp:positionV relativeFrom="margin">
                        <wp:align>center</wp:align>
                      </wp:positionV>
                      <wp:extent cx="574040" cy="10899648"/>
                      <wp:effectExtent l="0" t="0" r="0" b="0"/>
                      <wp:wrapNone/>
                      <wp:docPr id="203" name="Rectangle 203"/>
                      <wp:cNvGraphicFramePr/>
                      <a:graphic xmlns:a="http://schemas.openxmlformats.org/drawingml/2006/main">
                        <a:graphicData uri="http://schemas.microsoft.com/office/word/2010/wordprocessingShape">
                          <wps:wsp>
                            <wps:cNvSpPr/>
                            <wps:spPr>
                              <a:xfrm>
                                <a:off x="0" y="0"/>
                                <a:ext cx="574040" cy="10899648"/>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9F123" w14:textId="47907CDC" w:rsidR="00947669" w:rsidRPr="009F52F1" w:rsidRDefault="00947669" w:rsidP="0086619D">
                                  <w:pPr>
                                    <w:jc w:val="center"/>
                                    <w:rPr>
                                      <w:color w:val="FFFFFF" w:themeColor="background1"/>
                                      <w:sz w:val="48"/>
                                      <w:szCs w:val="48"/>
                                    </w:rPr>
                                  </w:pPr>
                                  <w:r>
                                    <w:rPr>
                                      <w:color w:val="FFFFFF" w:themeColor="background1"/>
                                      <w:sz w:val="48"/>
                                      <w:szCs w:val="48"/>
                                    </w:rPr>
                                    <w:t>Tailored for Focused Portfolios</w:t>
                                  </w:r>
                                </w:p>
                              </w:txbxContent>
                            </wps:txbx>
                            <wps:bodyPr rot="0" spcFirstLastPara="0" vertOverflow="overflow" horzOverflow="overflow" vert="vert"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B035E" id="Rectangle 203" o:spid="_x0000_s1026" style="position:absolute;left:0;text-align:left;margin-left:-6pt;margin-top:0;width:45.2pt;height:858.25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" fillcolor="#003f72" stroked="f" strokeweight="1pt">
                      <v:textbox style="layout-flow:vertical" inset=",14.4pt,8.64pt,18pt">
                        <w:txbxContent>
                          <w:p w14:paraId="44A9F123" w14:textId="47907CDC" w:rsidR="00947669" w:rsidRPr="009F52F1" w:rsidRDefault="00947669" w:rsidP="0086619D">
                            <w:pPr>
                              <w:jc w:val="center"/>
                              <w:rPr>
                                <w:color w:val="FFFFFF" w:themeColor="background1"/>
                                <w:sz w:val="48"/>
                                <w:szCs w:val="48"/>
                              </w:rPr>
                            </w:pPr>
                            <w:r>
                              <w:rPr>
                                <w:color w:val="FFFFFF" w:themeColor="background1"/>
                                <w:sz w:val="48"/>
                                <w:szCs w:val="48"/>
                              </w:rPr>
                              <w:t>Tailored for Focused Portfolios</w:t>
                            </w:r>
                          </w:p>
                        </w:txbxContent>
                      </v:textbox>
                      <w10:wrap anchorx="margin" anchory="margin"/>
                    </v:rect>
                  </w:pict>
                </mc:Fallback>
              </mc:AlternateContent>
            </w:r>
          </w:p>
        </w:tc>
      </w:tr>
    </w:tbl>
    <w:p w14:paraId="4D5C031D" w14:textId="77777777" w:rsidR="007043C7" w:rsidRPr="00AF43A2" w:rsidRDefault="007043C7" w:rsidP="000A0528">
      <w:pPr>
        <w:pStyle w:val="Tiny"/>
        <w:rPr>
          <w:rFonts w:asciiTheme="minorHAnsi" w:hAnsiTheme="minorHAnsi" w:cstheme="minorHAnsi"/>
        </w:rPr>
      </w:pPr>
    </w:p>
    <w:p w14:paraId="5DF05DFA" w14:textId="77777777" w:rsidR="009A28E5" w:rsidRPr="00AF43A2" w:rsidRDefault="009A28E5" w:rsidP="000A0528">
      <w:pPr>
        <w:spacing w:after="0" w:line="240" w:lineRule="auto"/>
        <w:rPr>
          <w:rFonts w:asciiTheme="minorHAnsi" w:hAnsiTheme="minorHAnsi" w:cstheme="minorHAnsi"/>
        </w:rPr>
      </w:pPr>
    </w:p>
    <w:p w14:paraId="695235FB" w14:textId="77777777" w:rsidR="009F52F1" w:rsidRPr="00AF43A2" w:rsidRDefault="009F52F1" w:rsidP="000A0528">
      <w:pPr>
        <w:spacing w:after="0" w:line="240" w:lineRule="auto"/>
        <w:rPr>
          <w:rFonts w:asciiTheme="minorHAnsi" w:hAnsiTheme="minorHAnsi" w:cstheme="minorHAnsi"/>
        </w:rPr>
      </w:pPr>
    </w:p>
    <w:p w14:paraId="11EDC92F" w14:textId="77777777" w:rsidR="009F52F1" w:rsidRPr="00AF43A2" w:rsidRDefault="009F52F1" w:rsidP="000A0528">
      <w:pPr>
        <w:spacing w:after="0" w:line="240" w:lineRule="auto"/>
        <w:rPr>
          <w:rFonts w:asciiTheme="minorHAnsi" w:hAnsiTheme="minorHAnsi" w:cstheme="minorHAnsi"/>
        </w:rPr>
      </w:pPr>
    </w:p>
    <w:p w14:paraId="6A4BD23C" w14:textId="77777777" w:rsidR="009F52F1" w:rsidRPr="00AF43A2" w:rsidRDefault="009F52F1" w:rsidP="000A0528">
      <w:pPr>
        <w:spacing w:after="0" w:line="240" w:lineRule="auto"/>
        <w:rPr>
          <w:rFonts w:asciiTheme="minorHAnsi" w:hAnsiTheme="minorHAnsi" w:cstheme="minorHAnsi"/>
        </w:rPr>
      </w:pPr>
    </w:p>
    <w:p w14:paraId="79CD308B" w14:textId="77777777" w:rsidR="009F52F1" w:rsidRPr="00AF43A2" w:rsidRDefault="009F52F1" w:rsidP="000A0528">
      <w:pPr>
        <w:spacing w:after="0" w:line="240" w:lineRule="auto"/>
        <w:rPr>
          <w:rFonts w:asciiTheme="minorHAnsi" w:hAnsiTheme="minorHAnsi" w:cstheme="minorHAnsi"/>
        </w:rPr>
      </w:pPr>
    </w:p>
    <w:p w14:paraId="4FCC4226" w14:textId="77777777" w:rsidR="009F52F1" w:rsidRPr="00AF43A2" w:rsidRDefault="009F52F1" w:rsidP="000A0528">
      <w:pPr>
        <w:spacing w:after="0" w:line="240" w:lineRule="auto"/>
        <w:rPr>
          <w:rFonts w:asciiTheme="minorHAnsi" w:hAnsiTheme="minorHAnsi" w:cstheme="minorHAnsi"/>
        </w:rPr>
      </w:pPr>
    </w:p>
    <w:p w14:paraId="7FA09794" w14:textId="482F8E37" w:rsidR="001E4991" w:rsidRPr="00AF43A2" w:rsidRDefault="006D1A08" w:rsidP="000A0528">
      <w:pPr>
        <w:spacing w:after="0" w:line="240" w:lineRule="auto"/>
        <w:rPr>
          <w:rFonts w:asciiTheme="minorHAnsi" w:hAnsiTheme="minorHAnsi" w:cstheme="minorHAnsi"/>
          <w:i/>
          <w:iCs/>
        </w:rPr>
      </w:pPr>
      <w:r w:rsidRPr="00AF43A2">
        <w:rPr>
          <w:rFonts w:asciiTheme="minorHAnsi" w:hAnsiTheme="minorHAnsi" w:cstheme="minorHAnsi"/>
          <w:i/>
          <w:iCs/>
        </w:rPr>
        <w:t>R</w:t>
      </w:r>
      <w:r w:rsidR="00FA73DE" w:rsidRPr="00AF43A2">
        <w:rPr>
          <w:rFonts w:asciiTheme="minorHAnsi" w:hAnsiTheme="minorHAnsi" w:cstheme="minorHAnsi"/>
          <w:i/>
          <w:iCs/>
        </w:rPr>
        <w:t xml:space="preserve">efer to the “Tailored </w:t>
      </w:r>
      <w:r w:rsidR="00975D66" w:rsidRPr="00AF43A2">
        <w:rPr>
          <w:rFonts w:asciiTheme="minorHAnsi" w:hAnsiTheme="minorHAnsi" w:cstheme="minorHAnsi"/>
          <w:i/>
          <w:iCs/>
        </w:rPr>
        <w:t>for</w:t>
      </w:r>
      <w:r w:rsidR="00FA73DE" w:rsidRPr="00AF43A2">
        <w:rPr>
          <w:rFonts w:asciiTheme="minorHAnsi" w:hAnsiTheme="minorHAnsi" w:cstheme="minorHAnsi"/>
          <w:i/>
          <w:iCs/>
        </w:rPr>
        <w:t xml:space="preserve"> </w:t>
      </w:r>
      <w:r w:rsidR="00E244B4" w:rsidRPr="00AF43A2">
        <w:rPr>
          <w:rFonts w:asciiTheme="minorHAnsi" w:hAnsiTheme="minorHAnsi" w:cstheme="minorHAnsi"/>
          <w:i/>
          <w:iCs/>
        </w:rPr>
        <w:t>Focused Portfolios</w:t>
      </w:r>
      <w:r w:rsidR="00FA73DE" w:rsidRPr="00AF43A2">
        <w:rPr>
          <w:rFonts w:asciiTheme="minorHAnsi" w:hAnsiTheme="minorHAnsi" w:cstheme="minorHAnsi"/>
          <w:i/>
          <w:iCs/>
        </w:rPr>
        <w:t xml:space="preserve">” </w:t>
      </w:r>
      <w:r w:rsidR="00F112AD" w:rsidRPr="00AF43A2">
        <w:rPr>
          <w:rFonts w:asciiTheme="minorHAnsi" w:hAnsiTheme="minorHAnsi" w:cstheme="minorHAnsi"/>
          <w:i/>
          <w:iCs/>
        </w:rPr>
        <w:t xml:space="preserve">Instructions </w:t>
      </w:r>
      <w:r w:rsidR="00FA73DE" w:rsidRPr="00AF43A2">
        <w:rPr>
          <w:rFonts w:asciiTheme="minorHAnsi" w:hAnsiTheme="minorHAnsi" w:cstheme="minorHAnsi"/>
          <w:i/>
          <w:iCs/>
        </w:rPr>
        <w:t xml:space="preserve">to complete this </w:t>
      </w:r>
      <w:r w:rsidR="005E5FAA" w:rsidRPr="00AF43A2">
        <w:rPr>
          <w:rFonts w:asciiTheme="minorHAnsi" w:hAnsiTheme="minorHAnsi" w:cstheme="minorHAnsi"/>
          <w:i/>
          <w:iCs/>
        </w:rPr>
        <w:t>f</w:t>
      </w:r>
      <w:r w:rsidR="00FA73DE" w:rsidRPr="00AF43A2">
        <w:rPr>
          <w:rFonts w:asciiTheme="minorHAnsi" w:hAnsiTheme="minorHAnsi" w:cstheme="minorHAnsi"/>
          <w:i/>
          <w:iCs/>
        </w:rPr>
        <w:t>orm.</w:t>
      </w:r>
    </w:p>
    <w:p w14:paraId="636FB396" w14:textId="77777777" w:rsidR="00F5709E" w:rsidRPr="00AF43A2" w:rsidRDefault="00F5709E" w:rsidP="000A0528">
      <w:pPr>
        <w:spacing w:after="0" w:line="240" w:lineRule="auto"/>
        <w:rPr>
          <w:rFonts w:asciiTheme="minorHAnsi" w:hAnsiTheme="minorHAnsi" w:cstheme="minorHAnsi"/>
          <w:i/>
          <w:iCs/>
        </w:rPr>
      </w:pPr>
    </w:p>
    <w:p w14:paraId="67247401" w14:textId="028E9206" w:rsidR="00304EE8" w:rsidRPr="00AF43A2" w:rsidRDefault="009F52F1" w:rsidP="000A0528">
      <w:pPr>
        <w:spacing w:after="0" w:line="240" w:lineRule="auto"/>
        <w:rPr>
          <w:rStyle w:val="10"/>
          <w:rFonts w:asciiTheme="minorHAnsi" w:hAnsiTheme="minorHAnsi" w:cstheme="minorHAnsi"/>
          <w:color w:val="1E1E1E" w:themeColor="background2"/>
        </w:rPr>
      </w:pPr>
      <w:r w:rsidRPr="00AF43A2">
        <w:rPr>
          <w:rStyle w:val="10"/>
          <w:rFonts w:asciiTheme="minorHAnsi" w:hAnsiTheme="minorHAnsi" w:cstheme="minorHAnsi"/>
          <w:color w:val="1E1E1E" w:themeColor="background2"/>
        </w:rPr>
        <w:t>Summary Information</w:t>
      </w:r>
    </w:p>
    <w:tbl>
      <w:tblPr>
        <w:tblStyle w:val="aa"/>
        <w:tblW w:w="0" w:type="auto"/>
        <w:tblLook w:val="04A0" w:firstRow="1" w:lastRow="0" w:firstColumn="1" w:lastColumn="0" w:noHBand="0" w:noVBand="1"/>
      </w:tblPr>
      <w:tblGrid>
        <w:gridCol w:w="4320"/>
        <w:gridCol w:w="5472"/>
      </w:tblGrid>
      <w:tr w:rsidR="00F5709E" w:rsidRPr="00AF43A2" w14:paraId="08A72EA9" w14:textId="77777777" w:rsidTr="009B15D2">
        <w:trPr>
          <w:trHeight w:val="461"/>
        </w:trPr>
        <w:tc>
          <w:tcPr>
            <w:tcW w:w="4320" w:type="dxa"/>
            <w:shd w:val="clear" w:color="auto" w:fill="F2F2F2" w:themeFill="background1" w:themeFillShade="F2"/>
            <w:vAlign w:val="center"/>
          </w:tcPr>
          <w:p w14:paraId="4AF42D59" w14:textId="77777777" w:rsidR="00F5709E" w:rsidRPr="00AF43A2" w:rsidRDefault="00F5709E" w:rsidP="000A0528">
            <w:pPr>
              <w:spacing w:after="0" w:line="240" w:lineRule="auto"/>
              <w:rPr>
                <w:rFonts w:asciiTheme="minorHAnsi" w:hAnsiTheme="minorHAnsi" w:cstheme="minorHAnsi"/>
                <w:b/>
              </w:rPr>
            </w:pPr>
            <w:bookmarkStart w:id="0" w:name="_Hlk15379458"/>
            <w:r w:rsidRPr="00AF43A2">
              <w:rPr>
                <w:rFonts w:asciiTheme="minorHAnsi" w:eastAsiaTheme="minorEastAsia" w:hAnsiTheme="minorHAnsi" w:cstheme="minorHAnsi"/>
                <w:b/>
                <w:bCs/>
              </w:rPr>
              <w:t>Country(s)</w:t>
            </w:r>
          </w:p>
        </w:tc>
        <w:tc>
          <w:tcPr>
            <w:tcW w:w="5472" w:type="dxa"/>
            <w:vAlign w:val="center"/>
          </w:tcPr>
          <w:p w14:paraId="147C892D" w14:textId="569542C9" w:rsidR="00F5709E" w:rsidRPr="00AF43A2" w:rsidRDefault="009B15D2" w:rsidP="000A0528">
            <w:pPr>
              <w:spacing w:after="0" w:line="240" w:lineRule="auto"/>
              <w:rPr>
                <w:rFonts w:asciiTheme="minorHAnsi" w:hAnsiTheme="minorHAnsi" w:cstheme="minorHAnsi"/>
              </w:rPr>
            </w:pPr>
            <w:r w:rsidRPr="00AF43A2">
              <w:rPr>
                <w:rFonts w:asciiTheme="minorHAnsi" w:hAnsiTheme="minorHAnsi" w:cstheme="minorHAnsi"/>
              </w:rPr>
              <w:t>Kazakhstan</w:t>
            </w:r>
          </w:p>
        </w:tc>
      </w:tr>
      <w:tr w:rsidR="00F5709E" w:rsidRPr="00AF43A2" w14:paraId="50B0FF9E" w14:textId="77777777" w:rsidTr="009B15D2">
        <w:trPr>
          <w:trHeight w:val="461"/>
        </w:trPr>
        <w:tc>
          <w:tcPr>
            <w:tcW w:w="4320" w:type="dxa"/>
            <w:shd w:val="clear" w:color="auto" w:fill="F2F2F2" w:themeFill="background1" w:themeFillShade="F2"/>
            <w:vAlign w:val="center"/>
          </w:tcPr>
          <w:p w14:paraId="10B5BC6D" w14:textId="77777777" w:rsidR="00F5709E" w:rsidRPr="00AF43A2" w:rsidRDefault="00F5709E" w:rsidP="000A0528">
            <w:pPr>
              <w:spacing w:after="0" w:line="240" w:lineRule="auto"/>
              <w:rPr>
                <w:rFonts w:asciiTheme="minorHAnsi" w:hAnsiTheme="minorHAnsi" w:cstheme="minorHAnsi"/>
                <w:b/>
              </w:rPr>
            </w:pPr>
            <w:r w:rsidRPr="00AF43A2">
              <w:rPr>
                <w:rFonts w:asciiTheme="minorHAnsi" w:hAnsiTheme="minorHAnsi" w:cstheme="minorHAnsi"/>
                <w:b/>
                <w:bCs/>
              </w:rPr>
              <w:t>Component(s)</w:t>
            </w:r>
          </w:p>
        </w:tc>
        <w:tc>
          <w:tcPr>
            <w:tcW w:w="5472" w:type="dxa"/>
            <w:vAlign w:val="center"/>
          </w:tcPr>
          <w:p w14:paraId="270A4976" w14:textId="6B96987E" w:rsidR="00F5709E" w:rsidRPr="00AF43A2" w:rsidRDefault="009B15D2" w:rsidP="000A0528">
            <w:pPr>
              <w:spacing w:after="0" w:line="240" w:lineRule="auto"/>
              <w:rPr>
                <w:rFonts w:asciiTheme="minorHAnsi" w:hAnsiTheme="minorHAnsi" w:cstheme="minorHAnsi"/>
              </w:rPr>
            </w:pPr>
            <w:r w:rsidRPr="00AF43A2">
              <w:rPr>
                <w:rFonts w:asciiTheme="minorHAnsi" w:hAnsiTheme="minorHAnsi" w:cstheme="minorHAnsi"/>
              </w:rPr>
              <w:t>HIV</w:t>
            </w:r>
          </w:p>
        </w:tc>
      </w:tr>
      <w:tr w:rsidR="00F5709E" w:rsidRPr="00AF43A2" w14:paraId="187C0205" w14:textId="77777777" w:rsidTr="009B15D2">
        <w:trPr>
          <w:trHeight w:val="461"/>
        </w:trPr>
        <w:tc>
          <w:tcPr>
            <w:tcW w:w="4320" w:type="dxa"/>
            <w:shd w:val="clear" w:color="auto" w:fill="F2F2F2" w:themeFill="background1" w:themeFillShade="F2"/>
            <w:vAlign w:val="center"/>
          </w:tcPr>
          <w:p w14:paraId="314B42BD" w14:textId="77777777" w:rsidR="00F5709E" w:rsidRPr="00AF43A2" w:rsidRDefault="00F5709E" w:rsidP="000A0528">
            <w:pPr>
              <w:spacing w:after="0" w:line="240" w:lineRule="auto"/>
              <w:rPr>
                <w:rFonts w:asciiTheme="minorHAnsi" w:hAnsiTheme="minorHAnsi" w:cstheme="minorHAnsi"/>
                <w:b/>
              </w:rPr>
            </w:pPr>
            <w:r w:rsidRPr="00AF43A2">
              <w:rPr>
                <w:rFonts w:asciiTheme="minorHAnsi" w:hAnsiTheme="minorHAnsi" w:cstheme="minorHAnsi"/>
                <w:b/>
                <w:bCs/>
              </w:rPr>
              <w:t>Planned grant(s) start date(s)</w:t>
            </w:r>
          </w:p>
        </w:tc>
        <w:tc>
          <w:tcPr>
            <w:tcW w:w="5472" w:type="dxa"/>
            <w:vAlign w:val="center"/>
          </w:tcPr>
          <w:p w14:paraId="2F4C2D8B" w14:textId="517172AC" w:rsidR="00F5709E" w:rsidRPr="00AF43A2" w:rsidRDefault="009B15D2" w:rsidP="000A0528">
            <w:pPr>
              <w:spacing w:after="0" w:line="240" w:lineRule="auto"/>
              <w:rPr>
                <w:rFonts w:asciiTheme="minorHAnsi" w:hAnsiTheme="minorHAnsi" w:cstheme="minorHAnsi"/>
              </w:rPr>
            </w:pPr>
            <w:r w:rsidRPr="00AF43A2">
              <w:rPr>
                <w:rFonts w:asciiTheme="minorHAnsi" w:hAnsiTheme="minorHAnsi" w:cstheme="minorHAnsi"/>
              </w:rPr>
              <w:t>01 January 2021</w:t>
            </w:r>
          </w:p>
        </w:tc>
      </w:tr>
      <w:tr w:rsidR="00F5709E" w:rsidRPr="00AF43A2" w14:paraId="600C51E2" w14:textId="77777777" w:rsidTr="009B15D2">
        <w:trPr>
          <w:trHeight w:val="461"/>
        </w:trPr>
        <w:tc>
          <w:tcPr>
            <w:tcW w:w="4320" w:type="dxa"/>
            <w:shd w:val="clear" w:color="auto" w:fill="F2F2F2" w:themeFill="background1" w:themeFillShade="F2"/>
            <w:vAlign w:val="center"/>
          </w:tcPr>
          <w:p w14:paraId="68662918" w14:textId="77777777" w:rsidR="00F5709E" w:rsidRPr="00AF43A2" w:rsidRDefault="00F5709E" w:rsidP="000A0528">
            <w:pPr>
              <w:spacing w:after="0" w:line="240" w:lineRule="auto"/>
              <w:rPr>
                <w:rFonts w:asciiTheme="minorHAnsi" w:hAnsiTheme="minorHAnsi" w:cstheme="minorHAnsi"/>
                <w:b/>
              </w:rPr>
            </w:pPr>
            <w:r w:rsidRPr="00AF43A2">
              <w:rPr>
                <w:rFonts w:asciiTheme="minorHAnsi" w:hAnsiTheme="minorHAnsi" w:cstheme="minorHAnsi"/>
                <w:b/>
                <w:bCs/>
              </w:rPr>
              <w:t>Planned grant(s) end date(s)</w:t>
            </w:r>
          </w:p>
        </w:tc>
        <w:tc>
          <w:tcPr>
            <w:tcW w:w="5472" w:type="dxa"/>
            <w:vAlign w:val="center"/>
          </w:tcPr>
          <w:p w14:paraId="32436F29" w14:textId="106EB1A8" w:rsidR="00F5709E" w:rsidRPr="00AF43A2" w:rsidRDefault="009B15D2" w:rsidP="000A0528">
            <w:pPr>
              <w:spacing w:after="0" w:line="240" w:lineRule="auto"/>
              <w:rPr>
                <w:rFonts w:asciiTheme="minorHAnsi" w:hAnsiTheme="minorHAnsi" w:cstheme="minorHAnsi"/>
              </w:rPr>
            </w:pPr>
            <w:r w:rsidRPr="00AF43A2">
              <w:rPr>
                <w:rFonts w:asciiTheme="minorHAnsi" w:hAnsiTheme="minorHAnsi" w:cstheme="minorHAnsi"/>
              </w:rPr>
              <w:t>31 December 2023</w:t>
            </w:r>
          </w:p>
        </w:tc>
      </w:tr>
      <w:tr w:rsidR="00F5709E" w:rsidRPr="00AF43A2" w14:paraId="0AD254AE" w14:textId="77777777" w:rsidTr="009B15D2">
        <w:trPr>
          <w:trHeight w:val="461"/>
        </w:trPr>
        <w:tc>
          <w:tcPr>
            <w:tcW w:w="4320" w:type="dxa"/>
            <w:shd w:val="clear" w:color="auto" w:fill="F2F2F2" w:themeFill="background1" w:themeFillShade="F2"/>
            <w:vAlign w:val="center"/>
          </w:tcPr>
          <w:p w14:paraId="53AE2AB6" w14:textId="77777777" w:rsidR="00F5709E" w:rsidRPr="00AF43A2" w:rsidRDefault="00F5709E" w:rsidP="000A0528">
            <w:pPr>
              <w:spacing w:after="0" w:line="240" w:lineRule="auto"/>
              <w:rPr>
                <w:rFonts w:asciiTheme="minorHAnsi" w:hAnsiTheme="minorHAnsi" w:cstheme="minorHAnsi"/>
                <w:b/>
              </w:rPr>
            </w:pPr>
            <w:r w:rsidRPr="00AF43A2">
              <w:rPr>
                <w:rFonts w:asciiTheme="minorHAnsi" w:hAnsiTheme="minorHAnsi" w:cstheme="minorHAnsi"/>
                <w:b/>
                <w:bCs/>
              </w:rPr>
              <w:t xml:space="preserve">Principal Recipient(s) </w:t>
            </w:r>
          </w:p>
        </w:tc>
        <w:tc>
          <w:tcPr>
            <w:tcW w:w="5472" w:type="dxa"/>
            <w:vAlign w:val="center"/>
          </w:tcPr>
          <w:p w14:paraId="5BA95943" w14:textId="45F8DD46" w:rsidR="00F5709E" w:rsidRPr="00AF43A2" w:rsidRDefault="00483849" w:rsidP="000A0528">
            <w:pPr>
              <w:spacing w:after="0" w:line="240" w:lineRule="auto"/>
              <w:rPr>
                <w:rFonts w:asciiTheme="minorHAnsi" w:hAnsiTheme="minorHAnsi" w:cstheme="minorHAnsi"/>
              </w:rPr>
            </w:pPr>
            <w:r w:rsidRPr="00AF43A2">
              <w:rPr>
                <w:rFonts w:asciiTheme="minorHAnsi" w:hAnsiTheme="minorHAnsi" w:cstheme="minorHAnsi"/>
              </w:rPr>
              <w:t>Kazakh Scientific Centre of Dermatology and Infectious Diseases of the Ministry of Health of the Republic of Kazakhstan (</w:t>
            </w:r>
            <w:r w:rsidR="001D3332" w:rsidRPr="00AF43A2">
              <w:rPr>
                <w:rFonts w:asciiTheme="minorHAnsi" w:hAnsiTheme="minorHAnsi" w:cstheme="minorHAnsi"/>
              </w:rPr>
              <w:t>KNCDID</w:t>
            </w:r>
            <w:r w:rsidRPr="00AF43A2">
              <w:rPr>
                <w:rFonts w:asciiTheme="minorHAnsi" w:hAnsiTheme="minorHAnsi" w:cstheme="minorHAnsi"/>
              </w:rPr>
              <w:t>)</w:t>
            </w:r>
          </w:p>
        </w:tc>
      </w:tr>
      <w:tr w:rsidR="00F5709E" w:rsidRPr="00AF43A2" w14:paraId="4C4543EA" w14:textId="77777777" w:rsidTr="009B15D2">
        <w:trPr>
          <w:trHeight w:val="461"/>
        </w:trPr>
        <w:tc>
          <w:tcPr>
            <w:tcW w:w="4320" w:type="dxa"/>
            <w:shd w:val="clear" w:color="auto" w:fill="F2F2F2" w:themeFill="background1" w:themeFillShade="F2"/>
            <w:vAlign w:val="center"/>
          </w:tcPr>
          <w:p w14:paraId="42075BEC" w14:textId="77777777" w:rsidR="00F5709E" w:rsidRPr="00AF43A2" w:rsidRDefault="00F5709E" w:rsidP="000A0528">
            <w:pPr>
              <w:spacing w:after="0" w:line="240" w:lineRule="auto"/>
              <w:rPr>
                <w:rFonts w:asciiTheme="minorHAnsi" w:hAnsiTheme="minorHAnsi" w:cstheme="minorHAnsi"/>
                <w:b/>
              </w:rPr>
            </w:pPr>
            <w:r w:rsidRPr="00AF43A2">
              <w:rPr>
                <w:rFonts w:asciiTheme="minorHAnsi" w:hAnsiTheme="minorHAnsi" w:cstheme="minorHAnsi"/>
                <w:b/>
                <w:bCs/>
              </w:rPr>
              <w:t>Currency</w:t>
            </w:r>
          </w:p>
        </w:tc>
        <w:tc>
          <w:tcPr>
            <w:tcW w:w="5472" w:type="dxa"/>
            <w:vAlign w:val="center"/>
          </w:tcPr>
          <w:p w14:paraId="2F5E35DE" w14:textId="5FAB93D8" w:rsidR="00F5709E" w:rsidRPr="00AF43A2" w:rsidRDefault="009B15D2" w:rsidP="000A0528">
            <w:pPr>
              <w:spacing w:after="0" w:line="240" w:lineRule="auto"/>
              <w:rPr>
                <w:rFonts w:asciiTheme="minorHAnsi" w:hAnsiTheme="minorHAnsi" w:cstheme="minorHAnsi"/>
              </w:rPr>
            </w:pPr>
            <w:r w:rsidRPr="00AF43A2">
              <w:rPr>
                <w:rFonts w:asciiTheme="minorHAnsi" w:hAnsiTheme="minorHAnsi" w:cstheme="minorHAnsi"/>
              </w:rPr>
              <w:t>US Dollar</w:t>
            </w:r>
          </w:p>
        </w:tc>
      </w:tr>
      <w:tr w:rsidR="00F5709E" w:rsidRPr="00AF43A2" w14:paraId="5875766C" w14:textId="77777777" w:rsidTr="009B15D2">
        <w:trPr>
          <w:trHeight w:val="461"/>
        </w:trPr>
        <w:tc>
          <w:tcPr>
            <w:tcW w:w="4320" w:type="dxa"/>
            <w:shd w:val="clear" w:color="auto" w:fill="F2F2F2" w:themeFill="background1" w:themeFillShade="F2"/>
            <w:vAlign w:val="center"/>
          </w:tcPr>
          <w:p w14:paraId="184B3FAD" w14:textId="77777777" w:rsidR="00F5709E" w:rsidRPr="00AF43A2" w:rsidRDefault="00F5709E" w:rsidP="000A0528">
            <w:pPr>
              <w:spacing w:after="0" w:line="240" w:lineRule="auto"/>
              <w:rPr>
                <w:rFonts w:asciiTheme="minorHAnsi" w:hAnsiTheme="minorHAnsi" w:cstheme="minorHAnsi"/>
                <w:b/>
              </w:rPr>
            </w:pPr>
            <w:r w:rsidRPr="00AF43A2">
              <w:rPr>
                <w:rFonts w:asciiTheme="minorHAnsi" w:hAnsiTheme="minorHAnsi" w:cstheme="minorHAnsi"/>
                <w:b/>
                <w:bCs/>
              </w:rPr>
              <w:t>Allocation Funding Request Amount</w:t>
            </w:r>
          </w:p>
        </w:tc>
        <w:tc>
          <w:tcPr>
            <w:tcW w:w="5472" w:type="dxa"/>
            <w:vAlign w:val="center"/>
          </w:tcPr>
          <w:p w14:paraId="19D69742" w14:textId="71E4BCFB" w:rsidR="00F5709E" w:rsidRPr="00AF43A2" w:rsidRDefault="00172FE9" w:rsidP="000A0528">
            <w:pPr>
              <w:pStyle w:val="affff9"/>
              <w:spacing w:after="0" w:line="240" w:lineRule="auto"/>
              <w:rPr>
                <w:rFonts w:asciiTheme="minorHAnsi" w:hAnsiTheme="minorHAnsi" w:cstheme="minorHAnsi"/>
              </w:rPr>
            </w:pPr>
            <w:r w:rsidRPr="00AF43A2">
              <w:rPr>
                <w:rFonts w:asciiTheme="minorHAnsi" w:hAnsiTheme="minorHAnsi" w:cstheme="minorHAnsi"/>
                <w:color w:val="1E1E1E" w:themeColor="background2"/>
                <w:sz w:val="22"/>
              </w:rPr>
              <w:t xml:space="preserve">USD </w:t>
            </w:r>
            <w:r w:rsidR="009241BE" w:rsidRPr="00AF43A2">
              <w:rPr>
                <w:rFonts w:asciiTheme="minorHAnsi" w:hAnsiTheme="minorHAnsi" w:cstheme="minorHAnsi"/>
                <w:color w:val="1E1E1E" w:themeColor="background2"/>
                <w:sz w:val="22"/>
              </w:rPr>
              <w:t>7,197,500</w:t>
            </w:r>
          </w:p>
        </w:tc>
      </w:tr>
      <w:tr w:rsidR="00F5709E" w:rsidRPr="00AF43A2" w14:paraId="464BB29D" w14:textId="77777777" w:rsidTr="009B15D2">
        <w:trPr>
          <w:trHeight w:val="461"/>
        </w:trPr>
        <w:tc>
          <w:tcPr>
            <w:tcW w:w="4320" w:type="dxa"/>
            <w:shd w:val="clear" w:color="auto" w:fill="F2F2F2" w:themeFill="background1" w:themeFillShade="F2"/>
            <w:vAlign w:val="center"/>
          </w:tcPr>
          <w:p w14:paraId="2D4CF6F6" w14:textId="66D63C1F" w:rsidR="00F5709E" w:rsidRPr="00AF43A2" w:rsidRDefault="00F5709E" w:rsidP="000A0528">
            <w:pPr>
              <w:spacing w:after="0" w:line="240" w:lineRule="auto"/>
              <w:rPr>
                <w:rFonts w:asciiTheme="minorHAnsi" w:hAnsiTheme="minorHAnsi" w:cstheme="minorHAnsi"/>
                <w:b/>
              </w:rPr>
            </w:pPr>
            <w:r w:rsidRPr="00AF43A2">
              <w:rPr>
                <w:rFonts w:asciiTheme="minorHAnsi" w:hAnsiTheme="minorHAnsi" w:cstheme="minorHAnsi"/>
                <w:b/>
                <w:bCs/>
              </w:rPr>
              <w:t>Prioriti</w:t>
            </w:r>
            <w:r w:rsidR="00B65B8B" w:rsidRPr="00AF43A2">
              <w:rPr>
                <w:rFonts w:asciiTheme="minorHAnsi" w:hAnsiTheme="minorHAnsi" w:cstheme="minorHAnsi"/>
                <w:b/>
                <w:bCs/>
              </w:rPr>
              <w:t>s</w:t>
            </w:r>
            <w:r w:rsidRPr="00AF43A2">
              <w:rPr>
                <w:rFonts w:asciiTheme="minorHAnsi" w:hAnsiTheme="minorHAnsi" w:cstheme="minorHAnsi"/>
                <w:b/>
                <w:bCs/>
              </w:rPr>
              <w:t>ed Above Allocation Request (PAAR) Amount</w:t>
            </w:r>
            <w:r w:rsidRPr="00AF43A2">
              <w:rPr>
                <w:rStyle w:val="af"/>
                <w:rFonts w:asciiTheme="minorHAnsi" w:hAnsiTheme="minorHAnsi" w:cstheme="minorHAnsi"/>
                <w:b/>
                <w:bCs/>
              </w:rPr>
              <w:footnoteReference w:id="2"/>
            </w:r>
            <w:r w:rsidRPr="00AF43A2">
              <w:rPr>
                <w:rFonts w:asciiTheme="minorHAnsi" w:hAnsiTheme="minorHAnsi" w:cstheme="minorHAnsi"/>
                <w:b/>
                <w:bCs/>
              </w:rPr>
              <w:t xml:space="preserve"> </w:t>
            </w:r>
          </w:p>
        </w:tc>
        <w:tc>
          <w:tcPr>
            <w:tcW w:w="5472" w:type="dxa"/>
            <w:vAlign w:val="center"/>
          </w:tcPr>
          <w:p w14:paraId="7CAAFA27" w14:textId="2DBCD7D5" w:rsidR="00F5709E" w:rsidRPr="00AF43A2" w:rsidRDefault="00172FE9" w:rsidP="000A0528">
            <w:pPr>
              <w:spacing w:after="0" w:line="240" w:lineRule="auto"/>
              <w:rPr>
                <w:rFonts w:asciiTheme="minorHAnsi" w:hAnsiTheme="minorHAnsi" w:cstheme="minorHAnsi"/>
              </w:rPr>
            </w:pPr>
            <w:r w:rsidRPr="00AF43A2">
              <w:rPr>
                <w:rFonts w:asciiTheme="minorHAnsi" w:hAnsiTheme="minorHAnsi" w:cstheme="minorHAnsi"/>
                <w:color w:val="1E1E1E" w:themeColor="background2"/>
              </w:rPr>
              <w:t>USD 1,83</w:t>
            </w:r>
            <w:r w:rsidR="000F67E9">
              <w:rPr>
                <w:rFonts w:asciiTheme="minorHAnsi" w:hAnsiTheme="minorHAnsi" w:cstheme="minorHAnsi"/>
                <w:color w:val="1E1E1E" w:themeColor="background2"/>
              </w:rPr>
              <w:t>9</w:t>
            </w:r>
            <w:r w:rsidRPr="00AF43A2">
              <w:rPr>
                <w:rFonts w:asciiTheme="minorHAnsi" w:hAnsiTheme="minorHAnsi" w:cstheme="minorHAnsi"/>
                <w:color w:val="1E1E1E" w:themeColor="background2"/>
              </w:rPr>
              <w:t>,844</w:t>
            </w:r>
          </w:p>
        </w:tc>
      </w:tr>
      <w:tr w:rsidR="00F5709E" w:rsidRPr="00AF43A2" w14:paraId="356F7A0D" w14:textId="77777777" w:rsidTr="009B15D2">
        <w:trPr>
          <w:trHeight w:val="461"/>
        </w:trPr>
        <w:tc>
          <w:tcPr>
            <w:tcW w:w="4320" w:type="dxa"/>
            <w:shd w:val="clear" w:color="auto" w:fill="F2F2F2" w:themeFill="background1" w:themeFillShade="F2"/>
            <w:vAlign w:val="center"/>
          </w:tcPr>
          <w:p w14:paraId="61100208" w14:textId="77777777" w:rsidR="00F5709E" w:rsidRPr="00AF43A2" w:rsidRDefault="00F5709E" w:rsidP="000A0528">
            <w:pPr>
              <w:spacing w:after="0" w:line="240" w:lineRule="auto"/>
              <w:rPr>
                <w:rFonts w:asciiTheme="minorHAnsi" w:hAnsiTheme="minorHAnsi" w:cstheme="minorHAnsi"/>
                <w:b/>
                <w:bCs/>
              </w:rPr>
            </w:pPr>
            <w:r w:rsidRPr="00AF43A2">
              <w:rPr>
                <w:rFonts w:asciiTheme="minorHAnsi" w:hAnsiTheme="minorHAnsi" w:cstheme="minorHAnsi"/>
                <w:b/>
                <w:bCs/>
              </w:rPr>
              <w:t>Matching Funds Request Amount</w:t>
            </w:r>
            <w:r w:rsidRPr="00AF43A2">
              <w:rPr>
                <w:rStyle w:val="af"/>
                <w:rFonts w:asciiTheme="minorHAnsi" w:hAnsiTheme="minorHAnsi" w:cstheme="minorHAnsi"/>
                <w:b/>
                <w:bCs/>
              </w:rPr>
              <w:footnoteReference w:id="3"/>
            </w:r>
            <w:r w:rsidRPr="00AF43A2">
              <w:rPr>
                <w:rFonts w:asciiTheme="minorHAnsi" w:hAnsiTheme="minorHAnsi" w:cstheme="minorHAnsi"/>
                <w:b/>
                <w:bCs/>
              </w:rPr>
              <w:t xml:space="preserve"> </w:t>
            </w:r>
          </w:p>
          <w:p w14:paraId="3E2AD44F" w14:textId="77777777" w:rsidR="00F5709E" w:rsidRPr="00AF43A2" w:rsidRDefault="00F5709E" w:rsidP="000A0528">
            <w:pPr>
              <w:spacing w:after="0" w:line="240" w:lineRule="auto"/>
              <w:rPr>
                <w:rFonts w:asciiTheme="minorHAnsi" w:hAnsiTheme="minorHAnsi" w:cstheme="minorHAnsi"/>
              </w:rPr>
            </w:pPr>
            <w:r w:rsidRPr="00AF43A2">
              <w:rPr>
                <w:rFonts w:asciiTheme="minorHAnsi" w:hAnsiTheme="minorHAnsi" w:cstheme="minorHAnsi"/>
                <w:bCs/>
              </w:rPr>
              <w:t>(if applicable)</w:t>
            </w:r>
          </w:p>
        </w:tc>
        <w:tc>
          <w:tcPr>
            <w:tcW w:w="5472" w:type="dxa"/>
            <w:vAlign w:val="center"/>
          </w:tcPr>
          <w:p w14:paraId="0C1FA7A7" w14:textId="1E3DC571" w:rsidR="00F5709E" w:rsidRPr="00AF43A2" w:rsidRDefault="00483849" w:rsidP="000A0528">
            <w:pPr>
              <w:spacing w:after="0" w:line="240" w:lineRule="auto"/>
              <w:rPr>
                <w:rFonts w:asciiTheme="minorHAnsi" w:hAnsiTheme="minorHAnsi" w:cstheme="minorHAnsi"/>
              </w:rPr>
            </w:pPr>
            <w:r w:rsidRPr="00AF43A2">
              <w:rPr>
                <w:rFonts w:asciiTheme="minorHAnsi" w:hAnsiTheme="minorHAnsi" w:cstheme="minorHAnsi"/>
              </w:rPr>
              <w:t>N/A</w:t>
            </w:r>
          </w:p>
        </w:tc>
      </w:tr>
      <w:bookmarkEnd w:id="0"/>
    </w:tbl>
    <w:p w14:paraId="32848ED4" w14:textId="10D69B93" w:rsidR="00F5709E" w:rsidRPr="00AF43A2" w:rsidRDefault="00F5709E" w:rsidP="000A0528">
      <w:pPr>
        <w:spacing w:after="0" w:line="240" w:lineRule="auto"/>
        <w:rPr>
          <w:rStyle w:val="10"/>
          <w:rFonts w:asciiTheme="minorHAnsi" w:hAnsiTheme="minorHAnsi" w:cstheme="minorHAnsi"/>
          <w:color w:val="1E1E1E" w:themeColor="background2"/>
        </w:rPr>
      </w:pPr>
    </w:p>
    <w:p w14:paraId="141AFFEB" w14:textId="68DBD69B" w:rsidR="00F5709E" w:rsidRPr="00AF43A2" w:rsidRDefault="00F5709E" w:rsidP="000A0528">
      <w:pPr>
        <w:spacing w:after="0" w:line="240" w:lineRule="auto"/>
        <w:rPr>
          <w:rStyle w:val="10"/>
          <w:rFonts w:asciiTheme="minorHAnsi" w:hAnsiTheme="minorHAnsi" w:cstheme="minorHAnsi"/>
          <w:color w:val="1E1E1E" w:themeColor="background2"/>
        </w:rPr>
      </w:pPr>
    </w:p>
    <w:p w14:paraId="32CD72B3" w14:textId="1A0985E6" w:rsidR="00F5709E" w:rsidRPr="00AF43A2" w:rsidRDefault="00F5709E" w:rsidP="000A0528">
      <w:pPr>
        <w:spacing w:after="0" w:line="240" w:lineRule="auto"/>
        <w:rPr>
          <w:rStyle w:val="10"/>
          <w:rFonts w:asciiTheme="minorHAnsi" w:hAnsiTheme="minorHAnsi" w:cstheme="minorHAnsi"/>
          <w:color w:val="1E1E1E" w:themeColor="background2"/>
        </w:rPr>
      </w:pPr>
    </w:p>
    <w:p w14:paraId="0E1ACD44" w14:textId="2DDA8342" w:rsidR="00F5709E" w:rsidRPr="00AF43A2" w:rsidRDefault="00F5709E" w:rsidP="000A0528">
      <w:pPr>
        <w:spacing w:after="0" w:line="240" w:lineRule="auto"/>
        <w:jc w:val="center"/>
        <w:rPr>
          <w:rFonts w:asciiTheme="minorHAnsi" w:hAnsiTheme="minorHAnsi" w:cstheme="minorHAnsi"/>
          <w:i/>
          <w:iCs/>
        </w:rPr>
      </w:pPr>
      <w:r w:rsidRPr="00AF43A2">
        <w:rPr>
          <w:rFonts w:asciiTheme="minorHAnsi" w:hAnsiTheme="minorHAnsi" w:cstheme="minorHAnsi"/>
          <w:noProof/>
        </w:rPr>
        <w:drawing>
          <wp:inline distT="0" distB="0" distL="0" distR="0" wp14:anchorId="32EA3BCA" wp14:editId="5F0492CA">
            <wp:extent cx="2700000" cy="32815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945991581" name="Picture 1"/>
                    <pic:cNvPicPr/>
                  </pic:nvPicPr>
                  <pic:blipFill>
                    <a:blip r:embed="rId13"/>
                    <a:srcRect/>
                    <a:stretch/>
                  </pic:blipFill>
                  <pic:spPr>
                    <a:xfrm>
                      <a:off x="0" y="0"/>
                      <a:ext cx="2700000" cy="328154"/>
                    </a:xfrm>
                    <a:prstGeom prst="rect">
                      <a:avLst/>
                    </a:prstGeom>
                  </pic:spPr>
                </pic:pic>
              </a:graphicData>
            </a:graphic>
          </wp:inline>
        </w:drawing>
      </w:r>
    </w:p>
    <w:p w14:paraId="7467D48D" w14:textId="77777777" w:rsidR="001D5CEF" w:rsidRPr="00AF43A2" w:rsidRDefault="001D5CEF" w:rsidP="000A0528">
      <w:pPr>
        <w:spacing w:after="0" w:line="240" w:lineRule="auto"/>
        <w:rPr>
          <w:rFonts w:asciiTheme="minorHAnsi" w:eastAsiaTheme="majorEastAsia" w:hAnsiTheme="minorHAnsi" w:cstheme="minorHAnsi"/>
          <w:bCs/>
          <w:noProof/>
          <w:sz w:val="36"/>
          <w:szCs w:val="30"/>
        </w:rPr>
      </w:pPr>
      <w:r w:rsidRPr="00AF43A2">
        <w:rPr>
          <w:rFonts w:asciiTheme="minorHAnsi" w:hAnsiTheme="minorHAnsi" w:cstheme="minorHAnsi"/>
        </w:rPr>
        <w:br w:type="page"/>
      </w:r>
    </w:p>
    <w:p w14:paraId="52502048" w14:textId="016A8A53" w:rsidR="00854A89" w:rsidRPr="00AF43A2" w:rsidRDefault="00824D66" w:rsidP="000A0528">
      <w:pPr>
        <w:pStyle w:val="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pacing w:before="0" w:after="0" w:line="240" w:lineRule="auto"/>
        <w:ind w:left="567" w:hanging="567"/>
        <w:rPr>
          <w:rFonts w:asciiTheme="minorHAnsi" w:hAnsiTheme="minorHAnsi" w:cstheme="minorHAnsi"/>
          <w:b/>
          <w:sz w:val="30"/>
        </w:rPr>
      </w:pPr>
      <w:r w:rsidRPr="00AF43A2">
        <w:rPr>
          <w:rFonts w:asciiTheme="minorHAnsi" w:hAnsiTheme="minorHAnsi" w:cstheme="minorHAnsi"/>
          <w:b/>
          <w:sz w:val="30"/>
        </w:rPr>
        <w:lastRenderedPageBreak/>
        <w:t xml:space="preserve">Section 1: </w:t>
      </w:r>
      <w:r w:rsidR="00485066" w:rsidRPr="00AF43A2">
        <w:rPr>
          <w:rFonts w:asciiTheme="minorHAnsi" w:hAnsiTheme="minorHAnsi" w:cstheme="minorHAnsi"/>
          <w:b/>
          <w:sz w:val="30"/>
        </w:rPr>
        <w:t>Funding Request and Prioriti</w:t>
      </w:r>
      <w:r w:rsidR="00B65B8B" w:rsidRPr="00AF43A2">
        <w:rPr>
          <w:rFonts w:asciiTheme="minorHAnsi" w:hAnsiTheme="minorHAnsi" w:cstheme="minorHAnsi"/>
          <w:b/>
          <w:sz w:val="30"/>
        </w:rPr>
        <w:t>s</w:t>
      </w:r>
      <w:r w:rsidR="00485066" w:rsidRPr="00AF43A2">
        <w:rPr>
          <w:rFonts w:asciiTheme="minorHAnsi" w:hAnsiTheme="minorHAnsi" w:cstheme="minorHAnsi"/>
          <w:b/>
          <w:sz w:val="30"/>
        </w:rPr>
        <w:t>ation</w:t>
      </w:r>
    </w:p>
    <w:p w14:paraId="7A8EB95A" w14:textId="63FB4DEE" w:rsidR="00A77418" w:rsidRPr="00AF43A2" w:rsidRDefault="00A77418" w:rsidP="000A0528">
      <w:pPr>
        <w:spacing w:after="0" w:line="240" w:lineRule="auto"/>
        <w:jc w:val="both"/>
        <w:textAlignment w:val="baseline"/>
        <w:rPr>
          <w:rFonts w:asciiTheme="minorHAnsi" w:eastAsia="Times New Roman" w:hAnsiTheme="minorHAnsi" w:cstheme="minorHAnsi"/>
          <w:sz w:val="20"/>
        </w:rPr>
      </w:pPr>
      <w:r w:rsidRPr="00AF43A2">
        <w:rPr>
          <w:rFonts w:asciiTheme="minorHAnsi" w:eastAsia="Times New Roman" w:hAnsiTheme="minorHAnsi" w:cstheme="minorHAnsi"/>
          <w:sz w:val="21"/>
        </w:rPr>
        <w:t xml:space="preserve">To </w:t>
      </w:r>
      <w:r w:rsidR="00414929" w:rsidRPr="00AF43A2">
        <w:rPr>
          <w:rFonts w:asciiTheme="minorHAnsi" w:eastAsia="Times New Roman" w:hAnsiTheme="minorHAnsi" w:cstheme="minorHAnsi"/>
          <w:sz w:val="21"/>
        </w:rPr>
        <w:t>respond to the ques</w:t>
      </w:r>
      <w:r w:rsidR="00FA6A3F" w:rsidRPr="00AF43A2">
        <w:rPr>
          <w:rFonts w:asciiTheme="minorHAnsi" w:eastAsia="Times New Roman" w:hAnsiTheme="minorHAnsi" w:cstheme="minorHAnsi"/>
          <w:sz w:val="21"/>
        </w:rPr>
        <w:t>tion</w:t>
      </w:r>
      <w:r w:rsidR="00414929" w:rsidRPr="00AF43A2">
        <w:rPr>
          <w:rFonts w:asciiTheme="minorHAnsi" w:eastAsia="Times New Roman" w:hAnsiTheme="minorHAnsi" w:cstheme="minorHAnsi"/>
          <w:sz w:val="21"/>
        </w:rPr>
        <w:t>s below</w:t>
      </w:r>
      <w:r w:rsidRPr="00AF43A2">
        <w:rPr>
          <w:rFonts w:asciiTheme="minorHAnsi" w:eastAsia="Times New Roman" w:hAnsiTheme="minorHAnsi" w:cstheme="minorHAnsi"/>
          <w:sz w:val="21"/>
        </w:rPr>
        <w:t xml:space="preserve">, </w:t>
      </w:r>
      <w:r w:rsidR="00F112AD" w:rsidRPr="00AF43A2">
        <w:rPr>
          <w:rFonts w:asciiTheme="minorHAnsi" w:eastAsia="Times New Roman" w:hAnsiTheme="minorHAnsi" w:cstheme="minorHAnsi"/>
          <w:sz w:val="21"/>
        </w:rPr>
        <w:t xml:space="preserve">refer to the </w:t>
      </w:r>
      <w:r w:rsidR="00F112AD" w:rsidRPr="00AF43A2">
        <w:rPr>
          <w:rFonts w:asciiTheme="minorHAnsi" w:eastAsia="Times New Roman" w:hAnsiTheme="minorHAnsi" w:cstheme="minorHAnsi"/>
          <w:i/>
          <w:iCs/>
          <w:sz w:val="21"/>
        </w:rPr>
        <w:t>Instructions</w:t>
      </w:r>
      <w:r w:rsidR="00F112AD" w:rsidRPr="00AF43A2">
        <w:rPr>
          <w:rFonts w:asciiTheme="minorHAnsi" w:eastAsia="Times New Roman" w:hAnsiTheme="minorHAnsi" w:cstheme="minorHAnsi"/>
          <w:sz w:val="21"/>
        </w:rPr>
        <w:t xml:space="preserve">, </w:t>
      </w:r>
      <w:r w:rsidR="00975618" w:rsidRPr="00AF43A2">
        <w:rPr>
          <w:rFonts w:asciiTheme="minorHAnsi" w:eastAsia="Times New Roman" w:hAnsiTheme="minorHAnsi" w:cstheme="minorHAnsi"/>
          <w:sz w:val="21"/>
        </w:rPr>
        <w:t>as well as</w:t>
      </w:r>
      <w:r w:rsidRPr="00AF43A2">
        <w:rPr>
          <w:rFonts w:asciiTheme="minorHAnsi" w:eastAsia="Times New Roman" w:hAnsiTheme="minorHAnsi" w:cstheme="minorHAnsi"/>
          <w:sz w:val="21"/>
        </w:rPr>
        <w:t xml:space="preserve"> national </w:t>
      </w:r>
      <w:r w:rsidR="00F401B6" w:rsidRPr="00AF43A2">
        <w:rPr>
          <w:rFonts w:asciiTheme="minorHAnsi" w:eastAsia="Times New Roman" w:hAnsiTheme="minorHAnsi" w:cstheme="minorHAnsi"/>
          <w:sz w:val="21"/>
        </w:rPr>
        <w:t>strategy</w:t>
      </w:r>
      <w:r w:rsidRPr="00AF43A2">
        <w:rPr>
          <w:rFonts w:asciiTheme="minorHAnsi" w:eastAsia="Times New Roman" w:hAnsiTheme="minorHAnsi" w:cstheme="minorHAnsi"/>
          <w:sz w:val="21"/>
        </w:rPr>
        <w:t xml:space="preserve"> documents</w:t>
      </w:r>
      <w:r w:rsidR="00F112AD" w:rsidRPr="00AF43A2">
        <w:rPr>
          <w:rFonts w:asciiTheme="minorHAnsi" w:eastAsia="Times New Roman" w:hAnsiTheme="minorHAnsi" w:cstheme="minorHAnsi"/>
          <w:sz w:val="21"/>
        </w:rPr>
        <w:t>,</w:t>
      </w:r>
      <w:r w:rsidRPr="00AF43A2">
        <w:rPr>
          <w:rFonts w:asciiTheme="minorHAnsi" w:eastAsia="Times New Roman" w:hAnsiTheme="minorHAnsi" w:cstheme="minorHAnsi"/>
          <w:sz w:val="21"/>
        </w:rPr>
        <w:t xml:space="preserve"> </w:t>
      </w:r>
      <w:r w:rsidRPr="00AF43A2">
        <w:rPr>
          <w:rFonts w:asciiTheme="minorHAnsi" w:eastAsia="Times New Roman" w:hAnsiTheme="minorHAnsi" w:cstheme="minorHAnsi"/>
          <w:b/>
          <w:bCs/>
          <w:sz w:val="21"/>
        </w:rPr>
        <w:t>Programmatic Gap Table(s), Funding Landscape Table(s), Performance Framework, Budget and Essential Data Table(s)</w:t>
      </w:r>
      <w:r w:rsidRPr="00AF43A2">
        <w:rPr>
          <w:rFonts w:asciiTheme="minorHAnsi" w:eastAsia="Times New Roman" w:hAnsiTheme="minorHAnsi" w:cstheme="minorHAnsi"/>
          <w:sz w:val="21"/>
        </w:rPr>
        <w:t>.</w:t>
      </w:r>
    </w:p>
    <w:p w14:paraId="3E738F92" w14:textId="3BEE3578" w:rsidR="00485066" w:rsidRPr="00AF43A2" w:rsidRDefault="00854A89" w:rsidP="000A0528">
      <w:pPr>
        <w:spacing w:after="0" w:line="240" w:lineRule="auto"/>
        <w:rPr>
          <w:rFonts w:asciiTheme="minorHAnsi" w:hAnsiTheme="minorHAnsi" w:cstheme="minorHAnsi"/>
          <w:sz w:val="21"/>
          <w:szCs w:val="20"/>
        </w:rPr>
      </w:pPr>
      <w:r w:rsidRPr="00AF43A2">
        <w:rPr>
          <w:rStyle w:val="eop"/>
          <w:rFonts w:asciiTheme="minorHAnsi" w:hAnsiTheme="minorHAnsi" w:cstheme="minorHAnsi"/>
          <w:sz w:val="21"/>
        </w:rPr>
        <w:t> </w:t>
      </w:r>
    </w:p>
    <w:p w14:paraId="725798D2" w14:textId="4325C6E0" w:rsidR="00485066" w:rsidRPr="00AF43A2" w:rsidRDefault="00B4096F" w:rsidP="000A0528">
      <w:pPr>
        <w:pStyle w:val="21"/>
        <w:numPr>
          <w:ilvl w:val="1"/>
          <w:numId w:val="18"/>
        </w:numPr>
        <w:spacing w:before="0" w:after="0" w:line="240" w:lineRule="auto"/>
        <w:rPr>
          <w:rFonts w:asciiTheme="minorHAnsi" w:hAnsiTheme="minorHAnsi" w:cstheme="minorHAnsi"/>
          <w:b w:val="0"/>
          <w:sz w:val="21"/>
          <w:szCs w:val="20"/>
        </w:rPr>
      </w:pPr>
      <w:r w:rsidRPr="00AF43A2">
        <w:rPr>
          <w:rFonts w:asciiTheme="minorHAnsi" w:hAnsiTheme="minorHAnsi" w:cstheme="minorHAnsi"/>
          <w:sz w:val="21"/>
          <w:szCs w:val="20"/>
        </w:rPr>
        <w:t xml:space="preserve">Overall Context and </w:t>
      </w:r>
      <w:r w:rsidR="00B63C35" w:rsidRPr="00AF43A2">
        <w:rPr>
          <w:rFonts w:asciiTheme="minorHAnsi" w:hAnsiTheme="minorHAnsi" w:cstheme="minorHAnsi"/>
          <w:sz w:val="21"/>
          <w:szCs w:val="20"/>
        </w:rPr>
        <w:t>Funding Priorities</w:t>
      </w:r>
    </w:p>
    <w:p w14:paraId="258EA6C1" w14:textId="77777777" w:rsidR="00485066" w:rsidRPr="00AF43A2" w:rsidRDefault="00485066" w:rsidP="000A0528">
      <w:pPr>
        <w:spacing w:after="0" w:line="240" w:lineRule="auto"/>
        <w:rPr>
          <w:rFonts w:asciiTheme="minorHAnsi" w:hAnsiTheme="minorHAnsi" w:cstheme="minorHAnsi"/>
          <w:bCs/>
          <w:sz w:val="8"/>
          <w:szCs w:val="8"/>
        </w:rPr>
      </w:pPr>
    </w:p>
    <w:p w14:paraId="787CA4B2" w14:textId="3F7EB6CB" w:rsidR="00A77418" w:rsidRPr="00AF43A2" w:rsidRDefault="001D5CEF" w:rsidP="000A0528">
      <w:pPr>
        <w:pStyle w:val="paragraph"/>
        <w:spacing w:before="0" w:beforeAutospacing="0" w:after="0" w:afterAutospacing="0"/>
        <w:jc w:val="both"/>
        <w:textAlignment w:val="baseline"/>
        <w:rPr>
          <w:rFonts w:asciiTheme="minorHAnsi" w:hAnsiTheme="minorHAnsi" w:cstheme="minorHAnsi"/>
          <w:sz w:val="21"/>
          <w:szCs w:val="22"/>
        </w:rPr>
      </w:pPr>
      <w:r w:rsidRPr="00AF43A2">
        <w:rPr>
          <w:rStyle w:val="normaltextrun"/>
          <w:rFonts w:asciiTheme="minorHAnsi" w:hAnsiTheme="minorHAnsi" w:cstheme="minorHAnsi"/>
          <w:sz w:val="21"/>
          <w:szCs w:val="22"/>
        </w:rPr>
        <w:t xml:space="preserve">a) </w:t>
      </w:r>
      <w:r w:rsidR="00F112AD" w:rsidRPr="00AF43A2">
        <w:rPr>
          <w:rStyle w:val="normaltextrun"/>
          <w:rFonts w:asciiTheme="minorHAnsi" w:hAnsiTheme="minorHAnsi" w:cstheme="minorHAnsi"/>
          <w:sz w:val="21"/>
          <w:szCs w:val="22"/>
        </w:rPr>
        <w:t>H</w:t>
      </w:r>
      <w:r w:rsidR="00DF3ABE" w:rsidRPr="00AF43A2">
        <w:rPr>
          <w:rStyle w:val="normaltextrun"/>
          <w:rFonts w:asciiTheme="minorHAnsi" w:hAnsiTheme="minorHAnsi" w:cstheme="minorHAnsi"/>
          <w:sz w:val="21"/>
          <w:szCs w:val="22"/>
        </w:rPr>
        <w:t>ighlight the</w:t>
      </w:r>
      <w:r w:rsidRPr="00AF43A2">
        <w:rPr>
          <w:rStyle w:val="normaltextrun"/>
          <w:rFonts w:asciiTheme="minorHAnsi" w:hAnsiTheme="minorHAnsi" w:cstheme="minorHAnsi"/>
          <w:sz w:val="21"/>
          <w:szCs w:val="22"/>
        </w:rPr>
        <w:t xml:space="preserve"> </w:t>
      </w:r>
      <w:r w:rsidR="00A77418" w:rsidRPr="00AF43A2">
        <w:rPr>
          <w:rStyle w:val="normaltextrun"/>
          <w:rFonts w:asciiTheme="minorHAnsi" w:hAnsiTheme="minorHAnsi" w:cstheme="minorHAnsi"/>
          <w:sz w:val="21"/>
          <w:szCs w:val="22"/>
        </w:rPr>
        <w:t xml:space="preserve">critical elements of the </w:t>
      </w:r>
      <w:r w:rsidR="00A77418" w:rsidRPr="00AF43A2">
        <w:rPr>
          <w:rStyle w:val="normaltextrun"/>
          <w:rFonts w:asciiTheme="minorHAnsi" w:hAnsiTheme="minorHAnsi" w:cstheme="minorHAnsi"/>
          <w:b/>
          <w:sz w:val="21"/>
          <w:szCs w:val="22"/>
        </w:rPr>
        <w:t>country context</w:t>
      </w:r>
      <w:r w:rsidR="00A77418" w:rsidRPr="00AF43A2">
        <w:rPr>
          <w:rStyle w:val="normaltextrun"/>
          <w:rFonts w:asciiTheme="minorHAnsi" w:hAnsiTheme="minorHAnsi" w:cstheme="minorHAnsi"/>
          <w:sz w:val="21"/>
          <w:szCs w:val="22"/>
        </w:rPr>
        <w:t xml:space="preserve"> that informed the development of this funding request</w:t>
      </w:r>
      <w:r w:rsidR="00907DE9" w:rsidRPr="00AF43A2">
        <w:rPr>
          <w:rStyle w:val="eop"/>
          <w:rFonts w:asciiTheme="minorHAnsi" w:hAnsiTheme="minorHAnsi" w:cstheme="minorHAnsi"/>
          <w:sz w:val="21"/>
          <w:szCs w:val="22"/>
        </w:rPr>
        <w:t xml:space="preserve">, including </w:t>
      </w:r>
      <w:r w:rsidR="00CF198D" w:rsidRPr="00AF43A2">
        <w:rPr>
          <w:rStyle w:val="eop"/>
          <w:rFonts w:asciiTheme="minorHAnsi" w:hAnsiTheme="minorHAnsi" w:cstheme="minorHAnsi"/>
          <w:sz w:val="21"/>
          <w:szCs w:val="22"/>
        </w:rPr>
        <w:t xml:space="preserve">key and/or vulnerable </w:t>
      </w:r>
      <w:r w:rsidR="0067503A" w:rsidRPr="00AF43A2">
        <w:rPr>
          <w:rStyle w:val="eop"/>
          <w:rFonts w:asciiTheme="minorHAnsi" w:hAnsiTheme="minorHAnsi" w:cstheme="minorHAnsi"/>
          <w:sz w:val="21"/>
          <w:szCs w:val="22"/>
        </w:rPr>
        <w:t xml:space="preserve">populations, </w:t>
      </w:r>
      <w:r w:rsidR="00907DE9" w:rsidRPr="00AF43A2">
        <w:rPr>
          <w:rStyle w:val="eop"/>
          <w:rFonts w:asciiTheme="minorHAnsi" w:hAnsiTheme="minorHAnsi" w:cstheme="minorHAnsi"/>
          <w:sz w:val="21"/>
          <w:szCs w:val="22"/>
        </w:rPr>
        <w:t>human rights and gender cons</w:t>
      </w:r>
      <w:r w:rsidR="0067503A" w:rsidRPr="00AF43A2">
        <w:rPr>
          <w:rStyle w:val="eop"/>
          <w:rFonts w:asciiTheme="minorHAnsi" w:hAnsiTheme="minorHAnsi" w:cstheme="minorHAnsi"/>
          <w:sz w:val="21"/>
          <w:szCs w:val="22"/>
        </w:rPr>
        <w:t xml:space="preserve">iderations. </w:t>
      </w:r>
    </w:p>
    <w:p w14:paraId="76A84ED0" w14:textId="77777777" w:rsidR="00B71019" w:rsidRPr="00AF43A2" w:rsidRDefault="00B71019" w:rsidP="000A0528">
      <w:pPr>
        <w:pStyle w:val="paragraph"/>
        <w:spacing w:before="0" w:beforeAutospacing="0" w:after="0" w:afterAutospacing="0"/>
        <w:jc w:val="both"/>
        <w:textAlignment w:val="baseline"/>
        <w:rPr>
          <w:rFonts w:asciiTheme="minorHAnsi" w:eastAsia="Calibri" w:hAnsiTheme="minorHAnsi" w:cstheme="minorHAnsi"/>
          <w:sz w:val="22"/>
        </w:rPr>
      </w:pPr>
    </w:p>
    <w:tbl>
      <w:tblPr>
        <w:tblStyle w:val="aa"/>
        <w:tblW w:w="0" w:type="auto"/>
        <w:tblLook w:val="04A0" w:firstRow="1" w:lastRow="0" w:firstColumn="1" w:lastColumn="0" w:noHBand="0" w:noVBand="1"/>
      </w:tblPr>
      <w:tblGrid>
        <w:gridCol w:w="10456"/>
      </w:tblGrid>
      <w:tr w:rsidR="00485066" w:rsidRPr="00AF43A2" w14:paraId="277B5374" w14:textId="77777777" w:rsidTr="00EF5156">
        <w:tc>
          <w:tcPr>
            <w:tcW w:w="10790" w:type="dxa"/>
            <w:shd w:val="clear" w:color="auto" w:fill="auto"/>
          </w:tcPr>
          <w:p w14:paraId="2E4EB42B" w14:textId="77777777" w:rsidR="00EF5156" w:rsidRPr="00AF43A2" w:rsidRDefault="00EF5156" w:rsidP="000A0528">
            <w:pPr>
              <w:spacing w:after="0" w:line="240" w:lineRule="auto"/>
              <w:jc w:val="both"/>
              <w:rPr>
                <w:rFonts w:asciiTheme="minorHAnsi" w:eastAsia="Calibri" w:hAnsiTheme="minorHAnsi" w:cstheme="minorHAnsi"/>
                <w:b/>
                <w:color w:val="000000"/>
                <w:sz w:val="21"/>
                <w:szCs w:val="21"/>
                <w:lang w:val="en-GB"/>
              </w:rPr>
            </w:pPr>
            <w:r w:rsidRPr="00AF43A2">
              <w:rPr>
                <w:rFonts w:asciiTheme="minorHAnsi" w:eastAsia="Calibri" w:hAnsiTheme="minorHAnsi" w:cstheme="minorHAnsi"/>
                <w:b/>
                <w:color w:val="000000"/>
                <w:sz w:val="21"/>
                <w:szCs w:val="21"/>
                <w:lang w:val="en-GB"/>
              </w:rPr>
              <w:t>Epidemiology of HIV in Kazakhstan</w:t>
            </w:r>
          </w:p>
          <w:p w14:paraId="4B358961" w14:textId="0114DE2F" w:rsidR="00AB6B00" w:rsidRPr="00AB6B00" w:rsidRDefault="00EF5156" w:rsidP="000A0528">
            <w:pPr>
              <w:spacing w:after="0" w:line="240" w:lineRule="auto"/>
              <w:jc w:val="both"/>
              <w:rPr>
                <w:rFonts w:asciiTheme="minorHAnsi" w:eastAsia="Calibri" w:hAnsiTheme="minorHAnsi" w:cstheme="minorHAnsi"/>
                <w:i/>
                <w:color w:val="1E1E1E" w:themeColor="background2"/>
                <w:sz w:val="21"/>
                <w:szCs w:val="21"/>
                <w:lang w:val="en-GB"/>
              </w:rPr>
            </w:pPr>
            <w:r w:rsidRPr="00AF43A2">
              <w:rPr>
                <w:rFonts w:asciiTheme="minorHAnsi" w:eastAsia="Calibri" w:hAnsiTheme="minorHAnsi" w:cstheme="minorHAnsi"/>
                <w:color w:val="000000"/>
                <w:sz w:val="21"/>
                <w:szCs w:val="21"/>
                <w:lang w:val="en-GB"/>
              </w:rPr>
              <w:t>In 2019, Kazakhstan registered 3,675 new HIV cases, including 3,518 Kazakh citizens and 157 immigrants. Of these new HIV infections</w:t>
            </w:r>
            <w:r w:rsidR="004872E2"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65,5% were males and 34,5% females. In 2018</w:t>
            </w:r>
            <w:r w:rsidR="004872E2"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Kazakhstan registered 16.8 HIV cases per 100,000 population, while in 2019 this number had increased to 19.1, an increase by 13.6%. The total number of PLHIV ever registered with health authorities is 25,753, with 21,951 in active care and 17,535 in treatment by the end of </w:t>
            </w:r>
            <w:r w:rsidRPr="00AF43A2">
              <w:rPr>
                <w:rFonts w:asciiTheme="minorHAnsi" w:eastAsia="Calibri" w:hAnsiTheme="minorHAnsi" w:cstheme="minorHAnsi"/>
                <w:color w:val="1E1E1E" w:themeColor="background2"/>
                <w:sz w:val="21"/>
                <w:szCs w:val="21"/>
                <w:lang w:val="en-GB"/>
              </w:rPr>
              <w:t>2019</w:t>
            </w:r>
            <w:r w:rsidR="00030AF5" w:rsidRPr="00AF43A2">
              <w:rPr>
                <w:rFonts w:asciiTheme="minorHAnsi" w:eastAsia="Calibri" w:hAnsiTheme="minorHAnsi" w:cstheme="minorHAnsi"/>
                <w:color w:val="1E1E1E" w:themeColor="background2"/>
                <w:sz w:val="21"/>
                <w:szCs w:val="21"/>
                <w:lang w:val="en-GB"/>
              </w:rPr>
              <w:t xml:space="preserve"> </w:t>
            </w:r>
            <w:r w:rsidR="00425E08" w:rsidRPr="00425E08">
              <w:rPr>
                <w:rFonts w:asciiTheme="minorHAnsi" w:eastAsia="Calibri" w:hAnsiTheme="minorHAnsi" w:cstheme="minorHAnsi"/>
                <w:i/>
                <w:color w:val="1E1E1E" w:themeColor="background2"/>
                <w:sz w:val="21"/>
                <w:szCs w:val="21"/>
                <w:lang w:val="en-GB"/>
              </w:rPr>
              <w:t xml:space="preserve">(see Annex </w:t>
            </w:r>
            <w:r w:rsidR="00097CE9">
              <w:rPr>
                <w:rFonts w:asciiTheme="minorHAnsi" w:eastAsia="Calibri" w:hAnsiTheme="minorHAnsi" w:cstheme="minorHAnsi"/>
                <w:i/>
                <w:color w:val="1E1E1E" w:themeColor="background2"/>
                <w:sz w:val="21"/>
                <w:szCs w:val="21"/>
                <w:lang w:val="en-GB"/>
              </w:rPr>
              <w:t>2</w:t>
            </w:r>
            <w:r w:rsidR="00425E08" w:rsidRPr="00425E08">
              <w:rPr>
                <w:rFonts w:asciiTheme="minorHAnsi" w:eastAsia="Calibri" w:hAnsiTheme="minorHAnsi" w:cstheme="minorHAnsi"/>
                <w:i/>
                <w:color w:val="1E1E1E" w:themeColor="background2"/>
                <w:sz w:val="21"/>
                <w:szCs w:val="21"/>
                <w:lang w:val="en-GB"/>
              </w:rPr>
              <w:t xml:space="preserve">, </w:t>
            </w:r>
            <w:r w:rsidR="00097CE9">
              <w:rPr>
                <w:rFonts w:asciiTheme="minorHAnsi" w:eastAsia="Calibri" w:hAnsiTheme="minorHAnsi" w:cstheme="minorHAnsi"/>
                <w:i/>
                <w:color w:val="1E1E1E" w:themeColor="background2"/>
                <w:sz w:val="21"/>
                <w:szCs w:val="21"/>
                <w:lang w:val="en-GB"/>
              </w:rPr>
              <w:t>slide 10</w:t>
            </w:r>
            <w:r w:rsidR="00425E08" w:rsidRPr="00425E08">
              <w:rPr>
                <w:rFonts w:asciiTheme="minorHAnsi" w:eastAsia="Calibri" w:hAnsiTheme="minorHAnsi" w:cstheme="minorHAnsi"/>
                <w:i/>
                <w:color w:val="1E1E1E" w:themeColor="background2"/>
                <w:sz w:val="21"/>
                <w:szCs w:val="21"/>
                <w:lang w:val="en-GB"/>
              </w:rPr>
              <w:t>).</w:t>
            </w:r>
          </w:p>
          <w:p w14:paraId="0C7CE6E3" w14:textId="2E93278C" w:rsidR="00EF5156" w:rsidRPr="00AF43A2" w:rsidRDefault="00EF5156" w:rsidP="000A0528">
            <w:pPr>
              <w:spacing w:after="0" w:line="240" w:lineRule="auto"/>
              <w:ind w:firstLine="284"/>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000000"/>
                <w:sz w:val="21"/>
                <w:szCs w:val="21"/>
                <w:lang w:val="en-GB"/>
              </w:rPr>
              <w:t xml:space="preserve">The </w:t>
            </w:r>
            <w:r w:rsidRPr="00AF43A2">
              <w:rPr>
                <w:rFonts w:asciiTheme="minorHAnsi" w:eastAsia="Calibri" w:hAnsiTheme="minorHAnsi" w:cstheme="minorHAnsi"/>
                <w:b/>
                <w:i/>
                <w:color w:val="000000"/>
                <w:sz w:val="21"/>
                <w:szCs w:val="21"/>
                <w:lang w:val="en-GB"/>
              </w:rPr>
              <w:t>most affected regions</w:t>
            </w:r>
            <w:r w:rsidRPr="00AF43A2">
              <w:rPr>
                <w:rFonts w:asciiTheme="minorHAnsi" w:eastAsia="Calibri" w:hAnsiTheme="minorHAnsi" w:cstheme="minorHAnsi"/>
                <w:color w:val="000000"/>
                <w:sz w:val="21"/>
                <w:szCs w:val="21"/>
                <w:lang w:val="en-GB"/>
              </w:rPr>
              <w:t xml:space="preserve"> in Kazakhstan are Pavlodar with an incidence of 50 per 100,000 population</w:t>
            </w:r>
            <w:r w:rsidR="004872E2"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followed by Kostanay with 40.1</w:t>
            </w:r>
            <w:r w:rsidR="004872E2"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North Kazakhstan Region with 34.8</w:t>
            </w:r>
            <w:r w:rsidR="004872E2"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and Karaganda with 31.5. 62.7% of all cases are registered in AIDS clinical stage 1; 18.5% in clinical stage 2; 16.2% in clinical stage 3 and 2.7% in clinical stage 4. </w:t>
            </w:r>
          </w:p>
          <w:p w14:paraId="2EB237EE" w14:textId="0E0F0123" w:rsidR="00EF5156" w:rsidRPr="00AF43A2" w:rsidRDefault="00EF5156" w:rsidP="000A0528">
            <w:pPr>
              <w:spacing w:after="0" w:line="240" w:lineRule="auto"/>
              <w:ind w:firstLine="284"/>
              <w:jc w:val="both"/>
              <w:rPr>
                <w:rFonts w:asciiTheme="minorHAnsi" w:eastAsia="Calibri" w:hAnsiTheme="minorHAnsi" w:cstheme="minorHAnsi"/>
                <w:b/>
                <w:i/>
                <w:color w:val="1E1E1E" w:themeColor="background2"/>
                <w:sz w:val="21"/>
                <w:szCs w:val="21"/>
                <w:lang w:val="en-GB"/>
              </w:rPr>
            </w:pPr>
            <w:r w:rsidRPr="00AF43A2">
              <w:rPr>
                <w:rFonts w:asciiTheme="minorHAnsi" w:eastAsia="Calibri" w:hAnsiTheme="minorHAnsi" w:cstheme="minorHAnsi"/>
                <w:b/>
                <w:i/>
                <w:color w:val="000000"/>
                <w:sz w:val="21"/>
                <w:szCs w:val="21"/>
                <w:lang w:val="en-GB"/>
              </w:rPr>
              <w:t>AIDS-related deaths –</w:t>
            </w:r>
            <w:r w:rsidRPr="00AF43A2">
              <w:rPr>
                <w:rFonts w:asciiTheme="minorHAnsi" w:eastAsia="Calibri" w:hAnsiTheme="minorHAnsi" w:cstheme="minorHAnsi"/>
                <w:color w:val="000000"/>
                <w:sz w:val="21"/>
                <w:szCs w:val="21"/>
                <w:lang w:val="en-GB"/>
              </w:rPr>
              <w:t xml:space="preserve"> In 2019, the AIDS mortality rate was 10/1000 PLHIV, compared to 11/1000 in 2018. The mortality rate in </w:t>
            </w:r>
            <w:r w:rsidRPr="00AF43A2">
              <w:rPr>
                <w:rFonts w:asciiTheme="minorHAnsi" w:eastAsia="Calibri" w:hAnsiTheme="minorHAnsi" w:cstheme="minorHAnsi"/>
                <w:color w:val="1E1E1E" w:themeColor="background2"/>
                <w:sz w:val="21"/>
                <w:szCs w:val="21"/>
                <w:lang w:val="en-GB"/>
              </w:rPr>
              <w:t>PLHIV from any other causes was 29 per 1000 PLHIV in 2018, compared to 26/1000 in 2019</w:t>
            </w:r>
            <w:r w:rsidR="00030AF5" w:rsidRPr="00AF43A2">
              <w:rPr>
                <w:rFonts w:asciiTheme="minorHAnsi" w:eastAsia="Calibri" w:hAnsiTheme="minorHAnsi" w:cstheme="minorHAnsi"/>
                <w:color w:val="1E1E1E" w:themeColor="background2"/>
                <w:sz w:val="21"/>
                <w:szCs w:val="21"/>
                <w:lang w:val="en-GB"/>
              </w:rPr>
              <w:t xml:space="preserve"> </w:t>
            </w:r>
            <w:r w:rsidR="00425E08" w:rsidRPr="00425E08">
              <w:rPr>
                <w:rFonts w:asciiTheme="minorHAnsi" w:eastAsia="Calibri" w:hAnsiTheme="minorHAnsi" w:cstheme="minorHAnsi"/>
                <w:i/>
                <w:color w:val="1E1E1E" w:themeColor="background2"/>
                <w:sz w:val="21"/>
                <w:szCs w:val="21"/>
                <w:lang w:val="en-GB"/>
              </w:rPr>
              <w:t xml:space="preserve">(see Annex </w:t>
            </w:r>
            <w:r w:rsidR="00097CE9">
              <w:rPr>
                <w:rFonts w:asciiTheme="minorHAnsi" w:eastAsia="Calibri" w:hAnsiTheme="minorHAnsi" w:cstheme="minorHAnsi"/>
                <w:i/>
                <w:color w:val="1E1E1E" w:themeColor="background2"/>
                <w:sz w:val="21"/>
                <w:szCs w:val="21"/>
                <w:lang w:val="en-GB"/>
              </w:rPr>
              <w:t>2</w:t>
            </w:r>
            <w:r w:rsidR="00425E08" w:rsidRPr="00425E08">
              <w:rPr>
                <w:rFonts w:asciiTheme="minorHAnsi" w:eastAsia="Calibri" w:hAnsiTheme="minorHAnsi" w:cstheme="minorHAnsi"/>
                <w:i/>
                <w:color w:val="1E1E1E" w:themeColor="background2"/>
                <w:sz w:val="21"/>
                <w:szCs w:val="21"/>
                <w:lang w:val="en-GB"/>
              </w:rPr>
              <w:t xml:space="preserve">, </w:t>
            </w:r>
            <w:r w:rsidR="00097CE9">
              <w:rPr>
                <w:rFonts w:asciiTheme="minorHAnsi" w:eastAsia="Calibri" w:hAnsiTheme="minorHAnsi" w:cstheme="minorHAnsi"/>
                <w:i/>
                <w:color w:val="1E1E1E" w:themeColor="background2"/>
                <w:sz w:val="21"/>
                <w:szCs w:val="21"/>
                <w:lang w:val="en-GB"/>
              </w:rPr>
              <w:t>slide 37</w:t>
            </w:r>
            <w:r w:rsidR="00425E08" w:rsidRPr="00425E08">
              <w:rPr>
                <w:rFonts w:asciiTheme="minorHAnsi" w:eastAsia="Calibri" w:hAnsiTheme="minorHAnsi" w:cstheme="minorHAnsi"/>
                <w:i/>
                <w:color w:val="1E1E1E" w:themeColor="background2"/>
                <w:sz w:val="21"/>
                <w:szCs w:val="21"/>
                <w:lang w:val="en-GB"/>
              </w:rPr>
              <w:t>).</w:t>
            </w:r>
          </w:p>
          <w:p w14:paraId="06187869" w14:textId="77777777" w:rsidR="00EF5156" w:rsidRPr="00425E08" w:rsidRDefault="00EF5156" w:rsidP="000A0528">
            <w:pPr>
              <w:spacing w:after="0" w:line="240" w:lineRule="auto"/>
              <w:ind w:firstLine="284"/>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b/>
                <w:i/>
                <w:color w:val="1E1E1E" w:themeColor="background2"/>
                <w:sz w:val="21"/>
                <w:szCs w:val="21"/>
                <w:lang w:val="en-GB"/>
              </w:rPr>
              <w:t>HIV prevalence among pregnant women</w:t>
            </w:r>
            <w:r w:rsidRPr="00AF43A2">
              <w:rPr>
                <w:rFonts w:asciiTheme="minorHAnsi" w:eastAsia="Calibri" w:hAnsiTheme="minorHAnsi" w:cstheme="minorHAnsi"/>
                <w:color w:val="1E1E1E" w:themeColor="background2"/>
                <w:sz w:val="21"/>
                <w:szCs w:val="21"/>
                <w:lang w:val="en-GB"/>
              </w:rPr>
              <w:t xml:space="preserve"> decreased from 2.7 in 2017 to 1.3 in 2019.  Kazakhstan submitted a request to WHO for </w:t>
            </w:r>
            <w:r w:rsidRPr="00AF43A2">
              <w:rPr>
                <w:rFonts w:asciiTheme="minorHAnsi" w:eastAsia="Calibri" w:hAnsiTheme="minorHAnsi" w:cstheme="minorHAnsi"/>
                <w:color w:val="000000"/>
                <w:sz w:val="21"/>
                <w:szCs w:val="21"/>
                <w:lang w:val="en-GB"/>
              </w:rPr>
              <w:t xml:space="preserve">certification of elimination of mother-to-child transmission of HIV. In 2019 in Kazakhstan, 49 cases of HIV infection were registered among adolescents (10-19 years old) and 999 cases of HIV infection among </w:t>
            </w:r>
            <w:r w:rsidRPr="00425E08">
              <w:rPr>
                <w:rFonts w:asciiTheme="minorHAnsi" w:eastAsia="Calibri" w:hAnsiTheme="minorHAnsi" w:cstheme="minorHAnsi"/>
                <w:color w:val="000000"/>
                <w:sz w:val="21"/>
                <w:szCs w:val="21"/>
                <w:lang w:val="en-GB"/>
              </w:rPr>
              <w:t>young women (15-49 years old).</w:t>
            </w:r>
          </w:p>
          <w:p w14:paraId="0F314B65" w14:textId="04C4C47A" w:rsidR="00EF5156" w:rsidRPr="00425E08" w:rsidRDefault="00EF5156" w:rsidP="000A0528">
            <w:pPr>
              <w:spacing w:after="0" w:line="240" w:lineRule="auto"/>
              <w:ind w:firstLine="284"/>
              <w:jc w:val="both"/>
              <w:rPr>
                <w:rFonts w:asciiTheme="minorHAnsi" w:eastAsia="Calibri" w:hAnsiTheme="minorHAnsi" w:cstheme="minorHAnsi"/>
                <w:color w:val="00B050"/>
                <w:sz w:val="21"/>
                <w:szCs w:val="21"/>
                <w:lang w:val="en-GB"/>
              </w:rPr>
            </w:pPr>
            <w:r w:rsidRPr="00425E08">
              <w:rPr>
                <w:rFonts w:asciiTheme="minorHAnsi" w:eastAsia="Calibri" w:hAnsiTheme="minorHAnsi" w:cstheme="minorHAnsi"/>
                <w:color w:val="000000"/>
                <w:sz w:val="21"/>
                <w:szCs w:val="21"/>
                <w:lang w:val="en-GB"/>
              </w:rPr>
              <w:t xml:space="preserve">Kazakhstan still has a </w:t>
            </w:r>
            <w:r w:rsidRPr="00425E08">
              <w:rPr>
                <w:rFonts w:asciiTheme="minorHAnsi" w:eastAsia="Calibri" w:hAnsiTheme="minorHAnsi" w:cstheme="minorHAnsi"/>
                <w:b/>
                <w:i/>
                <w:color w:val="000000"/>
                <w:sz w:val="21"/>
                <w:szCs w:val="21"/>
                <w:lang w:val="en-GB"/>
              </w:rPr>
              <w:t>concentrated HIV epidemic</w:t>
            </w:r>
            <w:r w:rsidR="004872E2" w:rsidRPr="00425E08">
              <w:rPr>
                <w:rFonts w:asciiTheme="minorHAnsi" w:eastAsia="Calibri" w:hAnsiTheme="minorHAnsi" w:cstheme="minorHAnsi"/>
                <w:color w:val="000000"/>
                <w:sz w:val="21"/>
                <w:szCs w:val="21"/>
                <w:lang w:val="en-GB"/>
              </w:rPr>
              <w:t>;</w:t>
            </w:r>
            <w:r w:rsidRPr="00425E08">
              <w:rPr>
                <w:rFonts w:asciiTheme="minorHAnsi" w:eastAsia="Calibri" w:hAnsiTheme="minorHAnsi" w:cstheme="minorHAnsi"/>
                <w:color w:val="000000"/>
                <w:sz w:val="21"/>
                <w:szCs w:val="21"/>
                <w:lang w:val="en-GB"/>
              </w:rPr>
              <w:t xml:space="preserve"> in recent years</w:t>
            </w:r>
            <w:r w:rsidR="004872E2" w:rsidRPr="00425E08">
              <w:rPr>
                <w:rFonts w:asciiTheme="minorHAnsi" w:eastAsia="Calibri" w:hAnsiTheme="minorHAnsi" w:cstheme="minorHAnsi"/>
                <w:color w:val="000000"/>
                <w:sz w:val="21"/>
                <w:szCs w:val="21"/>
                <w:lang w:val="en-GB"/>
              </w:rPr>
              <w:t>, however, there</w:t>
            </w:r>
            <w:r w:rsidRPr="00425E08">
              <w:rPr>
                <w:rFonts w:asciiTheme="minorHAnsi" w:eastAsia="Calibri" w:hAnsiTheme="minorHAnsi" w:cstheme="minorHAnsi"/>
                <w:color w:val="000000"/>
                <w:sz w:val="21"/>
                <w:szCs w:val="21"/>
                <w:lang w:val="en-GB"/>
              </w:rPr>
              <w:t xml:space="preserve"> has been a shift </w:t>
            </w:r>
            <w:r w:rsidR="004872E2" w:rsidRPr="00425E08">
              <w:rPr>
                <w:rFonts w:asciiTheme="minorHAnsi" w:eastAsia="Calibri" w:hAnsiTheme="minorHAnsi" w:cstheme="minorHAnsi"/>
                <w:color w:val="000000"/>
                <w:sz w:val="21"/>
                <w:szCs w:val="21"/>
                <w:lang w:val="en-GB"/>
              </w:rPr>
              <w:t xml:space="preserve">in terms of </w:t>
            </w:r>
            <w:r w:rsidR="004872E2" w:rsidRPr="00425E08">
              <w:rPr>
                <w:rFonts w:asciiTheme="minorHAnsi" w:eastAsia="Calibri" w:hAnsiTheme="minorHAnsi" w:cstheme="minorHAnsi"/>
                <w:color w:val="1E1E1E" w:themeColor="background2"/>
                <w:sz w:val="21"/>
                <w:szCs w:val="21"/>
                <w:lang w:val="en-GB"/>
              </w:rPr>
              <w:t xml:space="preserve">the highest number of new cases </w:t>
            </w:r>
            <w:r w:rsidRPr="00425E08">
              <w:rPr>
                <w:rFonts w:asciiTheme="minorHAnsi" w:eastAsia="Calibri" w:hAnsiTheme="minorHAnsi" w:cstheme="minorHAnsi"/>
                <w:color w:val="1E1E1E" w:themeColor="background2"/>
                <w:sz w:val="21"/>
                <w:szCs w:val="21"/>
                <w:lang w:val="en-GB"/>
              </w:rPr>
              <w:t>from PWID to MSM</w:t>
            </w:r>
            <w:r w:rsidR="004872E2" w:rsidRPr="00425E08">
              <w:rPr>
                <w:rFonts w:asciiTheme="minorHAnsi" w:eastAsia="Calibri" w:hAnsiTheme="minorHAnsi" w:cstheme="minorHAnsi"/>
                <w:color w:val="1E1E1E" w:themeColor="background2"/>
                <w:sz w:val="21"/>
                <w:szCs w:val="21"/>
                <w:lang w:val="en-GB"/>
              </w:rPr>
              <w:t xml:space="preserve">. </w:t>
            </w:r>
            <w:r w:rsidR="00216759" w:rsidRPr="00425E08">
              <w:rPr>
                <w:rFonts w:asciiTheme="minorHAnsi" w:eastAsia="Calibri" w:hAnsiTheme="minorHAnsi" w:cstheme="minorHAnsi"/>
                <w:color w:val="1E1E1E" w:themeColor="background2"/>
                <w:sz w:val="21"/>
                <w:szCs w:val="21"/>
                <w:lang w:val="en-GB"/>
              </w:rPr>
              <w:t>H</w:t>
            </w:r>
            <w:r w:rsidR="00CB5977" w:rsidRPr="00425E08">
              <w:rPr>
                <w:rFonts w:asciiTheme="minorHAnsi" w:eastAsia="Calibri" w:hAnsiTheme="minorHAnsi" w:cstheme="minorHAnsi"/>
                <w:color w:val="1E1E1E" w:themeColor="background2"/>
                <w:sz w:val="21"/>
                <w:szCs w:val="21"/>
                <w:lang w:val="en-GB"/>
              </w:rPr>
              <w:t>IV</w:t>
            </w:r>
            <w:r w:rsidR="00216759" w:rsidRPr="00425E08">
              <w:rPr>
                <w:rFonts w:asciiTheme="minorHAnsi" w:eastAsia="Calibri" w:hAnsiTheme="minorHAnsi" w:cstheme="minorHAnsi"/>
                <w:color w:val="1E1E1E" w:themeColor="background2"/>
                <w:sz w:val="21"/>
                <w:szCs w:val="21"/>
                <w:lang w:val="en-GB"/>
              </w:rPr>
              <w:t xml:space="preserve"> prevalence among sex workers (SWs) is considerably lower than among </w:t>
            </w:r>
            <w:r w:rsidR="00CB5977" w:rsidRPr="00425E08">
              <w:rPr>
                <w:rFonts w:asciiTheme="minorHAnsi" w:eastAsia="Calibri" w:hAnsiTheme="minorHAnsi" w:cstheme="minorHAnsi"/>
                <w:color w:val="1E1E1E" w:themeColor="background2"/>
                <w:sz w:val="21"/>
                <w:szCs w:val="21"/>
                <w:lang w:val="en-GB"/>
              </w:rPr>
              <w:t xml:space="preserve">MSM and PWID: it decreased from 1.9% in 2017 to 1.4% in 2019 </w:t>
            </w:r>
            <w:r w:rsidR="00CB5977" w:rsidRPr="00425E08">
              <w:rPr>
                <w:rFonts w:asciiTheme="minorHAnsi" w:eastAsia="Calibri" w:hAnsiTheme="minorHAnsi" w:cstheme="minorHAnsi"/>
                <w:i/>
                <w:color w:val="1E1E1E" w:themeColor="background2"/>
                <w:sz w:val="21"/>
                <w:szCs w:val="21"/>
                <w:lang w:val="en-GB"/>
              </w:rPr>
              <w:t>(</w:t>
            </w:r>
            <w:r w:rsidR="005E180F" w:rsidRPr="00425E08">
              <w:rPr>
                <w:rFonts w:asciiTheme="minorHAnsi" w:eastAsia="Calibri" w:hAnsiTheme="minorHAnsi" w:cstheme="minorHAnsi"/>
                <w:i/>
                <w:color w:val="1E1E1E" w:themeColor="background2"/>
                <w:sz w:val="21"/>
                <w:szCs w:val="21"/>
                <w:lang w:val="en-GB"/>
              </w:rPr>
              <w:t>see Annex 2, slide 10</w:t>
            </w:r>
            <w:r w:rsidR="00CB5977" w:rsidRPr="00425E08">
              <w:rPr>
                <w:rFonts w:asciiTheme="minorHAnsi" w:eastAsia="Calibri" w:hAnsiTheme="minorHAnsi" w:cstheme="minorHAnsi"/>
                <w:i/>
                <w:color w:val="1E1E1E" w:themeColor="background2"/>
                <w:sz w:val="21"/>
                <w:szCs w:val="21"/>
                <w:lang w:val="en-GB"/>
              </w:rPr>
              <w:t>)</w:t>
            </w:r>
            <w:r w:rsidRPr="00425E08">
              <w:rPr>
                <w:rFonts w:asciiTheme="minorHAnsi" w:eastAsia="Calibri" w:hAnsiTheme="minorHAnsi" w:cstheme="minorHAnsi"/>
                <w:i/>
                <w:color w:val="1E1E1E" w:themeColor="background2"/>
                <w:sz w:val="21"/>
                <w:szCs w:val="21"/>
                <w:lang w:val="en-GB"/>
              </w:rPr>
              <w:t>.</w:t>
            </w:r>
            <w:r w:rsidRPr="00425E08">
              <w:rPr>
                <w:rFonts w:asciiTheme="minorHAnsi" w:eastAsia="Calibri" w:hAnsiTheme="minorHAnsi" w:cstheme="minorHAnsi"/>
                <w:color w:val="1E1E1E" w:themeColor="background2"/>
                <w:sz w:val="21"/>
                <w:szCs w:val="21"/>
                <w:lang w:val="en-GB"/>
              </w:rPr>
              <w:t xml:space="preserve"> </w:t>
            </w:r>
            <w:r w:rsidRPr="00425E08">
              <w:rPr>
                <w:rFonts w:asciiTheme="minorHAnsi" w:eastAsia="Calibri" w:hAnsiTheme="minorHAnsi" w:cstheme="minorHAnsi"/>
                <w:color w:val="000000"/>
                <w:sz w:val="21"/>
                <w:szCs w:val="21"/>
                <w:lang w:val="en-GB"/>
              </w:rPr>
              <w:t xml:space="preserve">Results from the last IBBS study in 2018 showed a decrease in HIV prevalence among PWID from 8.5% in 2016 and 7.9% in </w:t>
            </w:r>
            <w:r w:rsidRPr="0004163B">
              <w:rPr>
                <w:rFonts w:asciiTheme="minorHAnsi" w:eastAsia="Calibri" w:hAnsiTheme="minorHAnsi" w:cstheme="minorHAnsi"/>
                <w:color w:val="000000"/>
                <w:sz w:val="21"/>
                <w:szCs w:val="21"/>
                <w:lang w:val="en-GB"/>
              </w:rPr>
              <w:t>2018</w:t>
            </w:r>
            <w:r w:rsidR="00310BBB" w:rsidRPr="0004163B">
              <w:rPr>
                <w:rFonts w:asciiTheme="minorHAnsi" w:eastAsia="Calibri" w:hAnsiTheme="minorHAnsi" w:cstheme="minorHAnsi"/>
                <w:color w:val="000000"/>
                <w:sz w:val="21"/>
                <w:szCs w:val="21"/>
              </w:rPr>
              <w:t xml:space="preserve"> </w:t>
            </w:r>
            <w:r w:rsidR="00310BBB" w:rsidRPr="0004163B">
              <w:rPr>
                <w:rFonts w:asciiTheme="minorHAnsi" w:eastAsia="Calibri" w:hAnsiTheme="minorHAnsi" w:cstheme="minorHAnsi"/>
                <w:i/>
                <w:iCs/>
                <w:color w:val="000000"/>
                <w:sz w:val="21"/>
                <w:szCs w:val="21"/>
                <w:lang w:val="en-GB"/>
              </w:rPr>
              <w:t xml:space="preserve">(see Annex </w:t>
            </w:r>
            <w:r w:rsidR="00310BBB" w:rsidRPr="0004163B">
              <w:rPr>
                <w:rFonts w:asciiTheme="minorHAnsi" w:eastAsia="Calibri" w:hAnsiTheme="minorHAnsi" w:cstheme="minorHAnsi"/>
                <w:i/>
                <w:iCs/>
                <w:color w:val="000000"/>
                <w:sz w:val="21"/>
                <w:szCs w:val="21"/>
              </w:rPr>
              <w:t>6</w:t>
            </w:r>
            <w:r w:rsidR="00310BBB" w:rsidRPr="0004163B">
              <w:rPr>
                <w:rFonts w:asciiTheme="minorHAnsi" w:eastAsia="Calibri" w:hAnsiTheme="minorHAnsi" w:cstheme="minorHAnsi"/>
                <w:i/>
                <w:iCs/>
                <w:color w:val="000000"/>
                <w:sz w:val="21"/>
                <w:szCs w:val="21"/>
                <w:lang w:val="en-GB"/>
              </w:rPr>
              <w:t>, p.</w:t>
            </w:r>
            <w:r w:rsidR="00310BBB" w:rsidRPr="0004163B">
              <w:rPr>
                <w:rFonts w:asciiTheme="minorHAnsi" w:eastAsia="Calibri" w:hAnsiTheme="minorHAnsi" w:cstheme="minorHAnsi"/>
                <w:i/>
                <w:iCs/>
                <w:color w:val="000000"/>
                <w:sz w:val="21"/>
                <w:szCs w:val="21"/>
              </w:rPr>
              <w:t>1</w:t>
            </w:r>
            <w:r w:rsidR="00310BBB" w:rsidRPr="0004163B">
              <w:rPr>
                <w:rFonts w:asciiTheme="minorHAnsi" w:eastAsia="Calibri" w:hAnsiTheme="minorHAnsi" w:cstheme="minorHAnsi"/>
                <w:i/>
                <w:iCs/>
                <w:color w:val="000000"/>
                <w:sz w:val="21"/>
                <w:szCs w:val="21"/>
                <w:lang w:val="en-GB"/>
              </w:rPr>
              <w:t>)</w:t>
            </w:r>
            <w:r w:rsidRPr="0004163B">
              <w:rPr>
                <w:rFonts w:asciiTheme="minorHAnsi" w:eastAsia="Calibri" w:hAnsiTheme="minorHAnsi" w:cstheme="minorHAnsi"/>
                <w:color w:val="000000"/>
                <w:sz w:val="21"/>
                <w:szCs w:val="21"/>
                <w:lang w:val="en-GB"/>
              </w:rPr>
              <w:t>:</w:t>
            </w:r>
            <w:r w:rsidRPr="00425E08">
              <w:rPr>
                <w:rFonts w:asciiTheme="minorHAnsi" w:eastAsia="Calibri" w:hAnsiTheme="minorHAnsi" w:cstheme="minorHAnsi"/>
                <w:color w:val="000000"/>
                <w:sz w:val="21"/>
                <w:szCs w:val="21"/>
                <w:lang w:val="en-GB"/>
              </w:rPr>
              <w:t xml:space="preserve"> this was the first decrease </w:t>
            </w:r>
            <w:r w:rsidRPr="00425E08">
              <w:rPr>
                <w:rFonts w:asciiTheme="minorHAnsi" w:eastAsia="Calibri" w:hAnsiTheme="minorHAnsi" w:cstheme="minorHAnsi"/>
                <w:color w:val="1E1E1E" w:themeColor="background2"/>
                <w:sz w:val="21"/>
                <w:szCs w:val="21"/>
                <w:lang w:val="en-GB"/>
              </w:rPr>
              <w:t>– albeit small – since a steady increase oh HIV among PWID since 2010 (see Figure 1). HCV rates among PWID are very high, although they have witnessed a considerable decline from 70.7% in 2014 to 52.9% in 2018.</w:t>
            </w:r>
            <w:r w:rsidR="00CB5977" w:rsidRPr="00425E08">
              <w:rPr>
                <w:rFonts w:asciiTheme="minorHAnsi" w:eastAsia="Calibri" w:hAnsiTheme="minorHAnsi" w:cstheme="minorHAnsi"/>
                <w:color w:val="1E1E1E" w:themeColor="background2"/>
                <w:sz w:val="21"/>
                <w:szCs w:val="21"/>
                <w:lang w:val="en-GB"/>
              </w:rPr>
              <w:t xml:space="preserve"> While the majority of PWID are males, females comprise a sizeable proportion of PWID, varying from 1.2% in Shymkent to 31% in Ekibastuz</w:t>
            </w:r>
            <w:r w:rsidR="00030AF5" w:rsidRPr="00425E08">
              <w:rPr>
                <w:rFonts w:asciiTheme="minorHAnsi" w:eastAsia="Calibri" w:hAnsiTheme="minorHAnsi" w:cstheme="minorHAnsi"/>
                <w:color w:val="1E1E1E" w:themeColor="background2"/>
                <w:sz w:val="21"/>
                <w:szCs w:val="21"/>
                <w:lang w:val="en-GB"/>
              </w:rPr>
              <w:t xml:space="preserve"> </w:t>
            </w:r>
            <w:r w:rsidR="00030AF5" w:rsidRPr="00425E08">
              <w:rPr>
                <w:rFonts w:asciiTheme="minorHAnsi" w:eastAsia="Calibri" w:hAnsiTheme="minorHAnsi" w:cstheme="minorHAnsi"/>
                <w:i/>
                <w:color w:val="1E1E1E" w:themeColor="background2"/>
                <w:sz w:val="21"/>
                <w:szCs w:val="21"/>
                <w:lang w:val="en-GB"/>
              </w:rPr>
              <w:t>(</w:t>
            </w:r>
            <w:r w:rsidR="00D460C4" w:rsidRPr="00425E08">
              <w:rPr>
                <w:rFonts w:asciiTheme="minorHAnsi" w:eastAsia="Calibri" w:hAnsiTheme="minorHAnsi" w:cstheme="minorHAnsi"/>
                <w:i/>
                <w:color w:val="1E1E1E" w:themeColor="background2"/>
                <w:sz w:val="21"/>
                <w:szCs w:val="21"/>
                <w:lang w:val="en-GB"/>
              </w:rPr>
              <w:t>See Annex 4, p.4</w:t>
            </w:r>
            <w:r w:rsidR="00030AF5" w:rsidRPr="00425E08">
              <w:rPr>
                <w:rFonts w:asciiTheme="minorHAnsi" w:eastAsia="Calibri" w:hAnsiTheme="minorHAnsi" w:cstheme="minorHAnsi"/>
                <w:i/>
                <w:color w:val="1E1E1E" w:themeColor="background2"/>
                <w:sz w:val="21"/>
                <w:szCs w:val="21"/>
                <w:lang w:val="en-GB"/>
              </w:rPr>
              <w:t>)</w:t>
            </w:r>
            <w:r w:rsidR="00CB5977" w:rsidRPr="00425E08">
              <w:rPr>
                <w:rFonts w:asciiTheme="minorHAnsi" w:eastAsia="Calibri" w:hAnsiTheme="minorHAnsi" w:cstheme="minorHAnsi"/>
                <w:color w:val="1E1E1E" w:themeColor="background2"/>
                <w:sz w:val="21"/>
                <w:szCs w:val="21"/>
                <w:lang w:val="en-GB"/>
              </w:rPr>
              <w:t>.</w:t>
            </w:r>
            <w:r w:rsidR="00906A0C" w:rsidRPr="00425E08">
              <w:rPr>
                <w:rFonts w:asciiTheme="minorHAnsi" w:eastAsia="Calibri" w:hAnsiTheme="minorHAnsi" w:cstheme="minorHAnsi"/>
                <w:color w:val="1E1E1E" w:themeColor="background2"/>
                <w:sz w:val="21"/>
                <w:szCs w:val="21"/>
                <w:lang w:val="en-GB"/>
              </w:rPr>
              <w:t xml:space="preserve"> </w:t>
            </w:r>
            <w:r w:rsidR="005761C7" w:rsidRPr="00425E08">
              <w:rPr>
                <w:rFonts w:asciiTheme="minorHAnsi" w:eastAsia="Calibri" w:hAnsiTheme="minorHAnsi" w:cstheme="minorHAnsi"/>
                <w:color w:val="1E1E1E" w:themeColor="background2"/>
                <w:sz w:val="21"/>
                <w:szCs w:val="21"/>
                <w:lang w:val="en-GB"/>
              </w:rPr>
              <w:t>F</w:t>
            </w:r>
            <w:r w:rsidR="00906A0C" w:rsidRPr="00425E08">
              <w:rPr>
                <w:rFonts w:asciiTheme="minorHAnsi" w:eastAsia="Calibri" w:hAnsiTheme="minorHAnsi" w:cstheme="minorHAnsi"/>
                <w:color w:val="1E1E1E" w:themeColor="background2"/>
                <w:sz w:val="21"/>
                <w:szCs w:val="21"/>
                <w:lang w:val="en-GB"/>
              </w:rPr>
              <w:t xml:space="preserve">rom </w:t>
            </w:r>
            <w:r w:rsidR="005761C7" w:rsidRPr="00425E08">
              <w:rPr>
                <w:rFonts w:asciiTheme="minorHAnsi" w:eastAsia="Calibri" w:hAnsiTheme="minorHAnsi" w:cstheme="minorHAnsi"/>
                <w:color w:val="1E1E1E" w:themeColor="background2"/>
                <w:sz w:val="21"/>
                <w:szCs w:val="21"/>
                <w:lang w:val="en-GB"/>
              </w:rPr>
              <w:t xml:space="preserve">1 </w:t>
            </w:r>
            <w:r w:rsidR="00906A0C" w:rsidRPr="00425E08">
              <w:rPr>
                <w:rFonts w:asciiTheme="minorHAnsi" w:eastAsia="Calibri" w:hAnsiTheme="minorHAnsi" w:cstheme="minorHAnsi"/>
                <w:color w:val="1E1E1E" w:themeColor="background2"/>
                <w:sz w:val="21"/>
                <w:szCs w:val="21"/>
                <w:lang w:val="en-GB"/>
              </w:rPr>
              <w:t xml:space="preserve">January 2016 </w:t>
            </w:r>
            <w:r w:rsidR="005761C7" w:rsidRPr="00425E08">
              <w:rPr>
                <w:rFonts w:asciiTheme="minorHAnsi" w:eastAsia="Calibri" w:hAnsiTheme="minorHAnsi" w:cstheme="minorHAnsi"/>
                <w:color w:val="1E1E1E" w:themeColor="background2"/>
                <w:sz w:val="21"/>
                <w:szCs w:val="21"/>
                <w:lang w:val="en-GB"/>
              </w:rPr>
              <w:t>to 30</w:t>
            </w:r>
            <w:r w:rsidR="00906A0C" w:rsidRPr="00425E08">
              <w:rPr>
                <w:rFonts w:asciiTheme="minorHAnsi" w:eastAsia="Calibri" w:hAnsiTheme="minorHAnsi" w:cstheme="minorHAnsi"/>
                <w:color w:val="1E1E1E" w:themeColor="background2"/>
                <w:sz w:val="21"/>
                <w:szCs w:val="21"/>
                <w:lang w:val="en-GB"/>
              </w:rPr>
              <w:t xml:space="preserve"> June 2017, 14.2% of all HIV cases reported were among </w:t>
            </w:r>
            <w:r w:rsidR="00906A0C" w:rsidRPr="00425E08">
              <w:rPr>
                <w:rFonts w:asciiTheme="minorHAnsi" w:eastAsia="Calibri" w:hAnsiTheme="minorHAnsi" w:cstheme="minorHAnsi"/>
                <w:i/>
                <w:color w:val="1E1E1E" w:themeColor="background2"/>
                <w:sz w:val="21"/>
                <w:szCs w:val="21"/>
                <w:lang w:val="en-GB"/>
              </w:rPr>
              <w:t>women</w:t>
            </w:r>
            <w:r w:rsidR="00906A0C" w:rsidRPr="00425E08">
              <w:rPr>
                <w:rFonts w:asciiTheme="minorHAnsi" w:eastAsia="Calibri" w:hAnsiTheme="minorHAnsi" w:cstheme="minorHAnsi"/>
                <w:color w:val="1E1E1E" w:themeColor="background2"/>
                <w:sz w:val="21"/>
                <w:szCs w:val="21"/>
                <w:lang w:val="en-GB"/>
              </w:rPr>
              <w:t xml:space="preserve"> who inject drugs, which indicates a continued high risk of infection among this group of women. Women injecting drugs are less likely to report HIV infection via injectin</w:t>
            </w:r>
            <w:r w:rsidR="00EA65A4" w:rsidRPr="00425E08">
              <w:rPr>
                <w:rFonts w:asciiTheme="minorHAnsi" w:eastAsia="Calibri" w:hAnsiTheme="minorHAnsi" w:cstheme="minorHAnsi"/>
                <w:color w:val="1E1E1E" w:themeColor="background2"/>
                <w:sz w:val="21"/>
                <w:szCs w:val="21"/>
                <w:lang w:val="en-GB"/>
              </w:rPr>
              <w:t>g drug use</w:t>
            </w:r>
            <w:r w:rsidR="00906A0C" w:rsidRPr="00425E08">
              <w:rPr>
                <w:rFonts w:asciiTheme="minorHAnsi" w:eastAsia="Calibri" w:hAnsiTheme="minorHAnsi" w:cstheme="minorHAnsi"/>
                <w:color w:val="1E1E1E" w:themeColor="background2"/>
                <w:sz w:val="21"/>
                <w:szCs w:val="21"/>
                <w:lang w:val="en-GB"/>
              </w:rPr>
              <w:t xml:space="preserve"> than </w:t>
            </w:r>
            <w:r w:rsidR="00C82882" w:rsidRPr="00425E08">
              <w:rPr>
                <w:rFonts w:asciiTheme="minorHAnsi" w:eastAsia="Calibri" w:hAnsiTheme="minorHAnsi" w:cstheme="minorHAnsi"/>
                <w:color w:val="1E1E1E" w:themeColor="background2"/>
                <w:sz w:val="21"/>
                <w:szCs w:val="21"/>
                <w:lang w:val="en-GB"/>
              </w:rPr>
              <w:t xml:space="preserve">through </w:t>
            </w:r>
            <w:r w:rsidR="00906A0C" w:rsidRPr="00425E08">
              <w:rPr>
                <w:rFonts w:asciiTheme="minorHAnsi" w:eastAsia="Calibri" w:hAnsiTheme="minorHAnsi" w:cstheme="minorHAnsi"/>
                <w:color w:val="1E1E1E" w:themeColor="background2"/>
                <w:sz w:val="21"/>
                <w:szCs w:val="21"/>
                <w:lang w:val="en-GB"/>
              </w:rPr>
              <w:t>sexual intercourse, as injectin</w:t>
            </w:r>
            <w:r w:rsidR="00EA65A4" w:rsidRPr="00425E08">
              <w:rPr>
                <w:rFonts w:asciiTheme="minorHAnsi" w:eastAsia="Calibri" w:hAnsiTheme="minorHAnsi" w:cstheme="minorHAnsi"/>
                <w:color w:val="1E1E1E" w:themeColor="background2"/>
                <w:sz w:val="21"/>
                <w:szCs w:val="21"/>
                <w:lang w:val="en-GB"/>
              </w:rPr>
              <w:t>g</w:t>
            </w:r>
            <w:r w:rsidR="00906A0C" w:rsidRPr="00425E08">
              <w:rPr>
                <w:rFonts w:asciiTheme="minorHAnsi" w:eastAsia="Calibri" w:hAnsiTheme="minorHAnsi" w:cstheme="minorHAnsi"/>
                <w:color w:val="1E1E1E" w:themeColor="background2"/>
                <w:sz w:val="21"/>
                <w:szCs w:val="21"/>
                <w:lang w:val="en-GB"/>
              </w:rPr>
              <w:t xml:space="preserve"> drug use by a female is a highly stigmati</w:t>
            </w:r>
            <w:r w:rsidR="00C82882" w:rsidRPr="00425E08">
              <w:rPr>
                <w:rFonts w:asciiTheme="minorHAnsi" w:eastAsia="Calibri" w:hAnsiTheme="minorHAnsi" w:cstheme="minorHAnsi"/>
                <w:color w:val="1E1E1E" w:themeColor="background2"/>
                <w:sz w:val="21"/>
                <w:szCs w:val="21"/>
                <w:lang w:val="en-GB"/>
              </w:rPr>
              <w:t>s</w:t>
            </w:r>
            <w:r w:rsidR="00906A0C" w:rsidRPr="00425E08">
              <w:rPr>
                <w:rFonts w:asciiTheme="minorHAnsi" w:eastAsia="Calibri" w:hAnsiTheme="minorHAnsi" w:cstheme="minorHAnsi"/>
                <w:color w:val="1E1E1E" w:themeColor="background2"/>
                <w:sz w:val="21"/>
                <w:szCs w:val="21"/>
                <w:lang w:val="en-GB"/>
              </w:rPr>
              <w:t>ed behaviour</w:t>
            </w:r>
            <w:r w:rsidR="00C82882" w:rsidRPr="00425E08">
              <w:rPr>
                <w:rFonts w:asciiTheme="minorHAnsi" w:eastAsia="Calibri" w:hAnsiTheme="minorHAnsi" w:cstheme="minorHAnsi"/>
                <w:color w:val="1E1E1E" w:themeColor="background2"/>
                <w:sz w:val="21"/>
                <w:szCs w:val="21"/>
                <w:lang w:val="en-GB"/>
              </w:rPr>
              <w:t>, which</w:t>
            </w:r>
            <w:r w:rsidR="00906A0C" w:rsidRPr="00425E08">
              <w:rPr>
                <w:rFonts w:asciiTheme="minorHAnsi" w:eastAsia="Calibri" w:hAnsiTheme="minorHAnsi" w:cstheme="minorHAnsi"/>
                <w:color w:val="1E1E1E" w:themeColor="background2"/>
                <w:sz w:val="21"/>
                <w:szCs w:val="21"/>
                <w:lang w:val="en-GB"/>
              </w:rPr>
              <w:t xml:space="preserve"> may result in blaming </w:t>
            </w:r>
            <w:r w:rsidR="00EA65A4" w:rsidRPr="00425E08">
              <w:rPr>
                <w:rFonts w:asciiTheme="minorHAnsi" w:eastAsia="Calibri" w:hAnsiTheme="minorHAnsi" w:cstheme="minorHAnsi"/>
                <w:color w:val="1E1E1E" w:themeColor="background2"/>
                <w:sz w:val="21"/>
                <w:szCs w:val="21"/>
                <w:lang w:val="en-GB"/>
              </w:rPr>
              <w:t>them</w:t>
            </w:r>
            <w:r w:rsidR="00906A0C" w:rsidRPr="00425E08">
              <w:rPr>
                <w:rFonts w:asciiTheme="minorHAnsi" w:eastAsia="Calibri" w:hAnsiTheme="minorHAnsi" w:cstheme="minorHAnsi"/>
                <w:color w:val="1E1E1E" w:themeColor="background2"/>
                <w:sz w:val="21"/>
                <w:szCs w:val="21"/>
                <w:lang w:val="en-GB"/>
              </w:rPr>
              <w:t xml:space="preserve"> </w:t>
            </w:r>
            <w:r w:rsidR="00C82882" w:rsidRPr="00425E08">
              <w:rPr>
                <w:rFonts w:asciiTheme="minorHAnsi" w:eastAsia="Calibri" w:hAnsiTheme="minorHAnsi" w:cstheme="minorHAnsi"/>
                <w:color w:val="1E1E1E" w:themeColor="background2"/>
                <w:sz w:val="21"/>
                <w:szCs w:val="21"/>
                <w:lang w:val="en-GB"/>
              </w:rPr>
              <w:t>of</w:t>
            </w:r>
            <w:r w:rsidR="00906A0C" w:rsidRPr="00425E08">
              <w:rPr>
                <w:rFonts w:asciiTheme="minorHAnsi" w:eastAsia="Calibri" w:hAnsiTheme="minorHAnsi" w:cstheme="minorHAnsi"/>
                <w:color w:val="1E1E1E" w:themeColor="background2"/>
                <w:sz w:val="21"/>
                <w:szCs w:val="21"/>
                <w:lang w:val="en-GB"/>
              </w:rPr>
              <w:t xml:space="preserve"> illegal activity</w:t>
            </w:r>
            <w:r w:rsidR="00EA65A4" w:rsidRPr="00425E08">
              <w:rPr>
                <w:rFonts w:asciiTheme="minorHAnsi" w:eastAsia="Calibri" w:hAnsiTheme="minorHAnsi" w:cstheme="minorHAnsi"/>
                <w:color w:val="1E1E1E" w:themeColor="background2"/>
                <w:sz w:val="21"/>
                <w:szCs w:val="21"/>
                <w:lang w:val="en-GB"/>
              </w:rPr>
              <w:t xml:space="preserve"> (</w:t>
            </w:r>
            <w:r w:rsidR="00906A0C" w:rsidRPr="00425E08">
              <w:rPr>
                <w:rFonts w:asciiTheme="minorHAnsi" w:eastAsia="Calibri" w:hAnsiTheme="minorHAnsi" w:cstheme="minorHAnsi"/>
                <w:color w:val="1E1E1E" w:themeColor="background2"/>
                <w:sz w:val="21"/>
                <w:szCs w:val="21"/>
                <w:lang w:val="en-GB"/>
              </w:rPr>
              <w:t>drug possession</w:t>
            </w:r>
            <w:r w:rsidR="00EA65A4" w:rsidRPr="00425E08">
              <w:rPr>
                <w:rFonts w:asciiTheme="minorHAnsi" w:eastAsia="Calibri" w:hAnsiTheme="minorHAnsi" w:cstheme="minorHAnsi"/>
                <w:color w:val="1E1E1E" w:themeColor="background2"/>
                <w:sz w:val="21"/>
                <w:szCs w:val="21"/>
                <w:lang w:val="en-GB"/>
              </w:rPr>
              <w:t>)</w:t>
            </w:r>
            <w:r w:rsidR="00906A0C" w:rsidRPr="00425E08">
              <w:rPr>
                <w:rFonts w:asciiTheme="minorHAnsi" w:eastAsia="Calibri" w:hAnsiTheme="minorHAnsi" w:cstheme="minorHAnsi"/>
                <w:color w:val="1E1E1E" w:themeColor="background2"/>
                <w:sz w:val="21"/>
                <w:szCs w:val="21"/>
                <w:lang w:val="en-GB"/>
              </w:rPr>
              <w:t xml:space="preserve"> </w:t>
            </w:r>
            <w:r w:rsidR="00C82882" w:rsidRPr="00425E08">
              <w:rPr>
                <w:rFonts w:asciiTheme="minorHAnsi" w:eastAsia="Calibri" w:hAnsiTheme="minorHAnsi" w:cstheme="minorHAnsi"/>
                <w:color w:val="1E1E1E" w:themeColor="background2"/>
                <w:sz w:val="21"/>
                <w:szCs w:val="21"/>
                <w:lang w:val="en-GB"/>
              </w:rPr>
              <w:t>and</w:t>
            </w:r>
            <w:r w:rsidR="00906A0C" w:rsidRPr="00425E08">
              <w:rPr>
                <w:rFonts w:asciiTheme="minorHAnsi" w:eastAsia="Calibri" w:hAnsiTheme="minorHAnsi" w:cstheme="minorHAnsi"/>
                <w:color w:val="1E1E1E" w:themeColor="background2"/>
                <w:sz w:val="21"/>
                <w:szCs w:val="21"/>
                <w:lang w:val="en-GB"/>
              </w:rPr>
              <w:t xml:space="preserve"> may also jeopardi</w:t>
            </w:r>
            <w:r w:rsidR="00C82882" w:rsidRPr="00425E08">
              <w:rPr>
                <w:rFonts w:asciiTheme="minorHAnsi" w:eastAsia="Calibri" w:hAnsiTheme="minorHAnsi" w:cstheme="minorHAnsi"/>
                <w:color w:val="1E1E1E" w:themeColor="background2"/>
                <w:sz w:val="21"/>
                <w:szCs w:val="21"/>
                <w:lang w:val="en-GB"/>
              </w:rPr>
              <w:t>s</w:t>
            </w:r>
            <w:r w:rsidR="00906A0C" w:rsidRPr="00425E08">
              <w:rPr>
                <w:rFonts w:asciiTheme="minorHAnsi" w:eastAsia="Calibri" w:hAnsiTheme="minorHAnsi" w:cstheme="minorHAnsi"/>
                <w:color w:val="1E1E1E" w:themeColor="background2"/>
                <w:sz w:val="21"/>
                <w:szCs w:val="21"/>
                <w:lang w:val="en-GB"/>
              </w:rPr>
              <w:t>e the custody of the</w:t>
            </w:r>
            <w:r w:rsidR="00C82882" w:rsidRPr="00425E08">
              <w:rPr>
                <w:rFonts w:asciiTheme="minorHAnsi" w:eastAsia="Calibri" w:hAnsiTheme="minorHAnsi" w:cstheme="minorHAnsi"/>
                <w:color w:val="1E1E1E" w:themeColor="background2"/>
                <w:sz w:val="21"/>
                <w:szCs w:val="21"/>
                <w:lang w:val="en-GB"/>
              </w:rPr>
              <w:t>ir</w:t>
            </w:r>
            <w:r w:rsidR="00906A0C" w:rsidRPr="00425E08">
              <w:rPr>
                <w:rFonts w:asciiTheme="minorHAnsi" w:eastAsia="Calibri" w:hAnsiTheme="minorHAnsi" w:cstheme="minorHAnsi"/>
                <w:color w:val="1E1E1E" w:themeColor="background2"/>
                <w:sz w:val="21"/>
                <w:szCs w:val="21"/>
                <w:lang w:val="en-GB"/>
              </w:rPr>
              <w:t xml:space="preserve"> child</w:t>
            </w:r>
            <w:r w:rsidR="00C82882" w:rsidRPr="00425E08">
              <w:rPr>
                <w:rFonts w:asciiTheme="minorHAnsi" w:eastAsia="Calibri" w:hAnsiTheme="minorHAnsi" w:cstheme="minorHAnsi"/>
                <w:color w:val="1E1E1E" w:themeColor="background2"/>
                <w:sz w:val="21"/>
                <w:szCs w:val="21"/>
                <w:lang w:val="en-GB"/>
              </w:rPr>
              <w:t xml:space="preserve">ren </w:t>
            </w:r>
            <w:r w:rsidR="00C82882" w:rsidRPr="00425E08">
              <w:rPr>
                <w:rFonts w:asciiTheme="minorHAnsi" w:eastAsia="Calibri" w:hAnsiTheme="minorHAnsi" w:cstheme="minorHAnsi"/>
                <w:i/>
                <w:color w:val="1E1E1E" w:themeColor="background2"/>
                <w:sz w:val="21"/>
                <w:szCs w:val="21"/>
                <w:lang w:val="en-GB"/>
              </w:rPr>
              <w:t>(</w:t>
            </w:r>
            <w:r w:rsidR="007C1F34" w:rsidRPr="00425E08">
              <w:rPr>
                <w:rFonts w:asciiTheme="minorHAnsi" w:eastAsia="Calibri" w:hAnsiTheme="minorHAnsi" w:cstheme="minorHAnsi"/>
                <w:i/>
                <w:color w:val="1E1E1E" w:themeColor="background2"/>
                <w:sz w:val="21"/>
                <w:szCs w:val="21"/>
                <w:lang w:val="en-GB"/>
              </w:rPr>
              <w:t>see Annex 3</w:t>
            </w:r>
            <w:r w:rsidR="00C11323" w:rsidRPr="00425E08">
              <w:rPr>
                <w:rFonts w:asciiTheme="minorHAnsi" w:eastAsia="Calibri" w:hAnsiTheme="minorHAnsi" w:cstheme="minorHAnsi"/>
                <w:i/>
                <w:color w:val="1E1E1E" w:themeColor="background2"/>
                <w:sz w:val="21"/>
                <w:szCs w:val="21"/>
                <w:lang w:val="en-GB"/>
              </w:rPr>
              <w:t>, p.10</w:t>
            </w:r>
            <w:r w:rsidR="00C82882" w:rsidRPr="00425E08">
              <w:rPr>
                <w:rFonts w:asciiTheme="minorHAnsi" w:eastAsia="Calibri" w:hAnsiTheme="minorHAnsi" w:cstheme="minorHAnsi"/>
                <w:i/>
                <w:color w:val="1E1E1E" w:themeColor="background2"/>
                <w:sz w:val="21"/>
                <w:szCs w:val="21"/>
                <w:lang w:val="en-GB"/>
              </w:rPr>
              <w:t>).</w:t>
            </w:r>
          </w:p>
          <w:p w14:paraId="79B16E04" w14:textId="77777777" w:rsidR="00906A0C" w:rsidRPr="00425E08" w:rsidRDefault="00906A0C" w:rsidP="000A0528">
            <w:pPr>
              <w:spacing w:after="0" w:line="240" w:lineRule="auto"/>
              <w:jc w:val="both"/>
              <w:rPr>
                <w:rFonts w:asciiTheme="minorHAnsi" w:eastAsia="Calibri" w:hAnsiTheme="minorHAnsi" w:cstheme="minorHAnsi"/>
                <w:color w:val="000000"/>
                <w:sz w:val="8"/>
                <w:szCs w:val="8"/>
                <w:lang w:val="en-GB"/>
              </w:rPr>
            </w:pPr>
          </w:p>
          <w:p w14:paraId="71260D86" w14:textId="1EC00327" w:rsidR="00EF5156" w:rsidRPr="00AF43A2" w:rsidRDefault="00EF5156" w:rsidP="000A0528">
            <w:pPr>
              <w:spacing w:after="0" w:line="240" w:lineRule="auto"/>
              <w:jc w:val="both"/>
              <w:rPr>
                <w:rFonts w:asciiTheme="minorHAnsi" w:eastAsia="Calibri" w:hAnsiTheme="minorHAnsi" w:cstheme="minorHAnsi"/>
                <w:sz w:val="21"/>
                <w:szCs w:val="21"/>
                <w:lang w:val="en-GB"/>
              </w:rPr>
            </w:pPr>
            <w:r w:rsidRPr="00425E08">
              <w:rPr>
                <w:rFonts w:asciiTheme="minorHAnsi" w:eastAsia="Calibri" w:hAnsiTheme="minorHAnsi" w:cstheme="minorHAnsi"/>
                <w:b/>
                <w:sz w:val="21"/>
                <w:szCs w:val="21"/>
                <w:lang w:val="en-GB"/>
              </w:rPr>
              <w:t xml:space="preserve">Figure 1: </w:t>
            </w:r>
            <w:r w:rsidRPr="00425E08">
              <w:rPr>
                <w:rFonts w:asciiTheme="minorHAnsi" w:eastAsia="Calibri" w:hAnsiTheme="minorHAnsi" w:cstheme="minorHAnsi"/>
                <w:b/>
                <w:color w:val="1E1E1E" w:themeColor="background2"/>
                <w:sz w:val="21"/>
                <w:szCs w:val="21"/>
                <w:lang w:val="en-GB"/>
              </w:rPr>
              <w:t>Prevalence of HIV, HCV and syphilis among PWID in Kazakhstan, 2010-2018</w:t>
            </w:r>
            <w:r w:rsidR="00A16256" w:rsidRPr="00425E08">
              <w:rPr>
                <w:rFonts w:asciiTheme="minorHAnsi" w:eastAsia="Calibri" w:hAnsiTheme="minorHAnsi" w:cstheme="minorHAnsi"/>
                <w:b/>
                <w:color w:val="1E1E1E" w:themeColor="background2"/>
                <w:sz w:val="21"/>
                <w:szCs w:val="21"/>
                <w:lang w:val="en-GB"/>
              </w:rPr>
              <w:t xml:space="preserve"> </w:t>
            </w:r>
            <w:r w:rsidR="00A16256" w:rsidRPr="00425E08">
              <w:rPr>
                <w:rFonts w:asciiTheme="minorHAnsi" w:eastAsia="Calibri" w:hAnsiTheme="minorHAnsi" w:cstheme="minorHAnsi"/>
                <w:color w:val="1E1E1E" w:themeColor="background2"/>
                <w:sz w:val="21"/>
                <w:szCs w:val="21"/>
                <w:lang w:val="en-GB"/>
              </w:rPr>
              <w:t xml:space="preserve">(ESR analysis in Epi Info) </w:t>
            </w:r>
            <w:r w:rsidRPr="00425E08">
              <w:rPr>
                <w:rFonts w:asciiTheme="minorHAnsi" w:eastAsia="Calibri" w:hAnsiTheme="minorHAnsi" w:cstheme="minorHAnsi"/>
                <w:i/>
                <w:color w:val="1E1E1E" w:themeColor="background2"/>
                <w:sz w:val="21"/>
                <w:szCs w:val="21"/>
                <w:lang w:val="en-GB"/>
              </w:rPr>
              <w:t>(</w:t>
            </w:r>
            <w:r w:rsidR="005E180F" w:rsidRPr="00425E08">
              <w:rPr>
                <w:rFonts w:asciiTheme="minorHAnsi" w:eastAsia="Calibri" w:hAnsiTheme="minorHAnsi" w:cstheme="minorHAnsi"/>
                <w:i/>
                <w:color w:val="1E1E1E" w:themeColor="background2"/>
                <w:sz w:val="21"/>
                <w:szCs w:val="21"/>
                <w:lang w:val="en-GB"/>
              </w:rPr>
              <w:t xml:space="preserve">see Annex 4, </w:t>
            </w:r>
            <w:r w:rsidR="00C11323" w:rsidRPr="00425E08">
              <w:rPr>
                <w:rFonts w:asciiTheme="minorHAnsi" w:eastAsia="Calibri" w:hAnsiTheme="minorHAnsi" w:cstheme="minorHAnsi"/>
                <w:i/>
                <w:color w:val="1E1E1E" w:themeColor="background2"/>
                <w:sz w:val="21"/>
                <w:szCs w:val="21"/>
                <w:lang w:val="en-GB"/>
              </w:rPr>
              <w:t>Fig. 19, p.17</w:t>
            </w:r>
            <w:r w:rsidRPr="00425E08">
              <w:rPr>
                <w:rFonts w:asciiTheme="minorHAnsi" w:eastAsia="Calibri" w:hAnsiTheme="minorHAnsi" w:cstheme="minorHAnsi"/>
                <w:i/>
                <w:color w:val="1E1E1E" w:themeColor="background2"/>
                <w:sz w:val="21"/>
                <w:szCs w:val="21"/>
                <w:lang w:val="en-GB"/>
              </w:rPr>
              <w:t>)</w:t>
            </w:r>
          </w:p>
          <w:p w14:paraId="5BE1B17C" w14:textId="77777777" w:rsidR="00EF5156" w:rsidRPr="00AF43A2" w:rsidRDefault="00EF5156" w:rsidP="000A0528">
            <w:pPr>
              <w:spacing w:after="0" w:line="240" w:lineRule="auto"/>
              <w:jc w:val="both"/>
              <w:rPr>
                <w:rFonts w:asciiTheme="minorHAnsi" w:eastAsia="Calibri" w:hAnsiTheme="minorHAnsi" w:cstheme="minorHAnsi"/>
                <w:b/>
                <w:sz w:val="8"/>
                <w:szCs w:val="8"/>
                <w:lang w:val="en-GB"/>
              </w:rPr>
            </w:pPr>
          </w:p>
          <w:p w14:paraId="7C62B9C9" w14:textId="77777777" w:rsidR="00EF5156" w:rsidRPr="00AF43A2" w:rsidRDefault="00EF5156" w:rsidP="000A0528">
            <w:pPr>
              <w:spacing w:after="0" w:line="240" w:lineRule="auto"/>
              <w:jc w:val="center"/>
              <w:rPr>
                <w:rFonts w:asciiTheme="minorHAnsi" w:eastAsia="Calibri" w:hAnsiTheme="minorHAnsi" w:cstheme="minorHAnsi"/>
                <w:sz w:val="21"/>
                <w:szCs w:val="21"/>
                <w:lang w:val="en-GB"/>
              </w:rPr>
            </w:pPr>
            <w:r w:rsidRPr="00AF43A2">
              <w:rPr>
                <w:rFonts w:asciiTheme="minorHAnsi" w:eastAsia="Calibri" w:hAnsiTheme="minorHAnsi" w:cstheme="minorHAnsi"/>
                <w:noProof/>
                <w:sz w:val="21"/>
                <w:szCs w:val="21"/>
                <w:lang w:val="en-GB" w:eastAsia="ru-RU"/>
              </w:rPr>
              <w:drawing>
                <wp:inline distT="0" distB="0" distL="0" distR="0" wp14:anchorId="0BA6ECF5" wp14:editId="5E4AE5EA">
                  <wp:extent cx="5719445" cy="2540635"/>
                  <wp:effectExtent l="0" t="0" r="8255" b="120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7E48C1"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71BA1450" w14:textId="45CBAC7E" w:rsidR="00EF5156" w:rsidRPr="004B2F72" w:rsidRDefault="00EF5156" w:rsidP="000A0528">
            <w:pPr>
              <w:spacing w:after="0" w:line="240" w:lineRule="auto"/>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1E1E1E" w:themeColor="background2"/>
                <w:sz w:val="21"/>
                <w:szCs w:val="21"/>
                <w:lang w:val="en-GB"/>
              </w:rPr>
              <w:lastRenderedPageBreak/>
              <w:t xml:space="preserve">The </w:t>
            </w:r>
            <w:r w:rsidR="004A6F93" w:rsidRPr="00AF43A2">
              <w:rPr>
                <w:rFonts w:asciiTheme="minorHAnsi" w:eastAsia="Calibri" w:hAnsiTheme="minorHAnsi" w:cstheme="minorHAnsi"/>
                <w:color w:val="1E1E1E" w:themeColor="background2"/>
                <w:sz w:val="21"/>
                <w:szCs w:val="21"/>
                <w:lang w:val="en-GB"/>
              </w:rPr>
              <w:t>increasing proportion of MSM among new HIV infections, compared to PWID,</w:t>
            </w:r>
            <w:r w:rsidRPr="00AF43A2">
              <w:rPr>
                <w:rFonts w:asciiTheme="minorHAnsi" w:eastAsia="Calibri" w:hAnsiTheme="minorHAnsi" w:cstheme="minorHAnsi"/>
                <w:color w:val="1E1E1E" w:themeColor="background2"/>
                <w:sz w:val="21"/>
                <w:szCs w:val="21"/>
                <w:lang w:val="en-GB"/>
              </w:rPr>
              <w:t xml:space="preserve"> is evidenced by a clear increase </w:t>
            </w:r>
            <w:r w:rsidRPr="004B2F72">
              <w:rPr>
                <w:rFonts w:asciiTheme="minorHAnsi" w:eastAsia="Calibri" w:hAnsiTheme="minorHAnsi" w:cstheme="minorHAnsi"/>
                <w:color w:val="1E1E1E" w:themeColor="background2"/>
                <w:sz w:val="21"/>
                <w:szCs w:val="21"/>
                <w:lang w:val="en-GB"/>
              </w:rPr>
              <w:t xml:space="preserve">in HIV prevalence from 3.2% in 2015 to 6.6% in 2019 </w:t>
            </w:r>
            <w:r w:rsidR="001B23C0" w:rsidRPr="004B2F72">
              <w:rPr>
                <w:rFonts w:asciiTheme="minorHAnsi" w:eastAsia="Calibri" w:hAnsiTheme="minorHAnsi" w:cstheme="minorHAnsi"/>
                <w:i/>
                <w:sz w:val="21"/>
                <w:szCs w:val="21"/>
                <w:lang w:val="en-GB"/>
              </w:rPr>
              <w:t>(see Figure 2 below)</w:t>
            </w:r>
          </w:p>
          <w:p w14:paraId="0AAA392D" w14:textId="77777777" w:rsidR="00EF5156" w:rsidRPr="004B2F72" w:rsidRDefault="00EF5156" w:rsidP="000A0528">
            <w:pPr>
              <w:spacing w:after="0" w:line="240" w:lineRule="auto"/>
              <w:jc w:val="both"/>
              <w:rPr>
                <w:rFonts w:asciiTheme="minorHAnsi" w:eastAsia="Calibri" w:hAnsiTheme="minorHAnsi" w:cstheme="minorHAnsi"/>
                <w:b/>
                <w:sz w:val="8"/>
                <w:szCs w:val="8"/>
                <w:lang w:val="en-GB"/>
              </w:rPr>
            </w:pPr>
          </w:p>
          <w:p w14:paraId="7AE7BA68" w14:textId="0584F23A" w:rsidR="00EF5156" w:rsidRPr="00AF43A2" w:rsidRDefault="00EF5156" w:rsidP="000A0528">
            <w:pPr>
              <w:spacing w:after="0" w:line="240" w:lineRule="auto"/>
              <w:jc w:val="both"/>
              <w:rPr>
                <w:rFonts w:asciiTheme="minorHAnsi" w:eastAsia="Calibri" w:hAnsiTheme="minorHAnsi" w:cstheme="minorHAnsi"/>
                <w:b/>
                <w:sz w:val="21"/>
                <w:szCs w:val="24"/>
                <w:lang w:val="en-GB"/>
              </w:rPr>
            </w:pPr>
            <w:r w:rsidRPr="004B2F72">
              <w:rPr>
                <w:rFonts w:asciiTheme="minorHAnsi" w:eastAsia="Calibri" w:hAnsiTheme="minorHAnsi" w:cstheme="minorHAnsi"/>
                <w:b/>
                <w:sz w:val="21"/>
                <w:szCs w:val="21"/>
                <w:lang w:val="en-GB"/>
              </w:rPr>
              <w:t xml:space="preserve">Figure 2: </w:t>
            </w:r>
            <w:r w:rsidRPr="004B2F72">
              <w:rPr>
                <w:rFonts w:asciiTheme="minorHAnsi" w:eastAsia="Calibri" w:hAnsiTheme="minorHAnsi" w:cstheme="minorHAnsi"/>
                <w:b/>
                <w:sz w:val="21"/>
                <w:szCs w:val="24"/>
                <w:lang w:val="en-GB"/>
              </w:rPr>
              <w:t xml:space="preserve">Prevalence of HIV, HCV and syphilis (%) among MSM, Kazakhstan, 2007-2019 </w:t>
            </w:r>
            <w:r w:rsidRPr="004B2F72">
              <w:rPr>
                <w:rFonts w:asciiTheme="minorHAnsi" w:eastAsia="Calibri" w:hAnsiTheme="minorHAnsi" w:cstheme="minorHAnsi"/>
                <w:i/>
                <w:sz w:val="21"/>
                <w:szCs w:val="21"/>
                <w:lang w:val="en-GB"/>
              </w:rPr>
              <w:t>(</w:t>
            </w:r>
            <w:r w:rsidR="00C11323" w:rsidRPr="004B2F72">
              <w:rPr>
                <w:rFonts w:asciiTheme="minorHAnsi" w:eastAsia="Calibri" w:hAnsiTheme="minorHAnsi" w:cstheme="minorHAnsi"/>
                <w:i/>
                <w:sz w:val="21"/>
                <w:szCs w:val="21"/>
                <w:lang w:val="en-GB"/>
              </w:rPr>
              <w:t>see Annex 5, Fig. 2, p. 4)</w:t>
            </w:r>
          </w:p>
          <w:p w14:paraId="0D06FF85" w14:textId="2159684D" w:rsidR="00EF5156" w:rsidRPr="00AF43A2" w:rsidRDefault="00EF5156" w:rsidP="000A0528">
            <w:pPr>
              <w:spacing w:after="0" w:line="240" w:lineRule="auto"/>
              <w:jc w:val="both"/>
              <w:rPr>
                <w:rFonts w:asciiTheme="minorHAnsi" w:eastAsia="Calibri" w:hAnsiTheme="minorHAnsi" w:cstheme="minorHAnsi"/>
                <w:color w:val="000000"/>
                <w:sz w:val="10"/>
                <w:szCs w:val="10"/>
                <w:lang w:val="en-GB"/>
              </w:rPr>
            </w:pPr>
          </w:p>
          <w:p w14:paraId="76B22EA0" w14:textId="7E030E83"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b/>
                <w:noProof/>
                <w:sz w:val="18"/>
                <w:szCs w:val="28"/>
                <w:lang w:val="ru-RU" w:eastAsia="ru-RU"/>
              </w:rPr>
              <w:drawing>
                <wp:anchor distT="0" distB="0" distL="114300" distR="114300" simplePos="0" relativeHeight="251660288" behindDoc="1" locked="0" layoutInCell="1" allowOverlap="1" wp14:anchorId="4600868A" wp14:editId="099A310A">
                  <wp:simplePos x="0" y="0"/>
                  <wp:positionH relativeFrom="column">
                    <wp:posOffset>390728</wp:posOffset>
                  </wp:positionH>
                  <wp:positionV relativeFrom="paragraph">
                    <wp:posOffset>33020</wp:posOffset>
                  </wp:positionV>
                  <wp:extent cx="5719445" cy="2548255"/>
                  <wp:effectExtent l="0" t="0" r="8255" b="17145"/>
                  <wp:wrapThrough wrapText="bothSides">
                    <wp:wrapPolygon edited="0">
                      <wp:start x="0" y="0"/>
                      <wp:lineTo x="0" y="21638"/>
                      <wp:lineTo x="21583" y="21638"/>
                      <wp:lineTo x="21583" y="0"/>
                      <wp:lineTo x="0" y="0"/>
                    </wp:wrapPolygon>
                  </wp:wrapThrough>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5077243"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543CDA8D"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3A53DA1D"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5421CFFE"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7F3DA3A1"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7E00AB90"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1873B777"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27D80341"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4AC83E3F"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1002C3D5"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33C81AEC"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68D52F79" w14:textId="77777777" w:rsidR="00EF5156" w:rsidRPr="00AF43A2" w:rsidRDefault="00EF5156" w:rsidP="000A0528">
            <w:pPr>
              <w:spacing w:after="0" w:line="240" w:lineRule="auto"/>
              <w:jc w:val="both"/>
              <w:rPr>
                <w:rFonts w:asciiTheme="minorHAnsi" w:eastAsia="Calibri" w:hAnsiTheme="minorHAnsi" w:cstheme="minorHAnsi"/>
                <w:color w:val="000000"/>
                <w:sz w:val="8"/>
                <w:szCs w:val="8"/>
                <w:lang w:val="en-GB"/>
              </w:rPr>
            </w:pPr>
          </w:p>
          <w:p w14:paraId="34563C05"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77EAC56D"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457095A2"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48E9938D"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5E783E49" w14:textId="7777777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p>
          <w:p w14:paraId="139E35EC" w14:textId="681AEE01"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000000"/>
                <w:sz w:val="21"/>
                <w:szCs w:val="21"/>
                <w:lang w:val="en-GB"/>
              </w:rPr>
              <w:t xml:space="preserve">A population size estimation of MSM in 2017 showed an estimated number </w:t>
            </w:r>
            <w:r w:rsidRPr="00425E08">
              <w:rPr>
                <w:rFonts w:asciiTheme="minorHAnsi" w:eastAsia="Calibri" w:hAnsiTheme="minorHAnsi" w:cstheme="minorHAnsi"/>
                <w:color w:val="000000"/>
                <w:sz w:val="21"/>
                <w:szCs w:val="21"/>
                <w:lang w:val="en-GB"/>
              </w:rPr>
              <w:t>of 62,000</w:t>
            </w:r>
            <w:r w:rsidR="00425E08" w:rsidRPr="00425E08">
              <w:rPr>
                <w:rFonts w:asciiTheme="minorHAnsi" w:eastAsia="Calibri" w:hAnsiTheme="minorHAnsi" w:cstheme="minorHAnsi"/>
                <w:color w:val="000000"/>
                <w:sz w:val="21"/>
                <w:szCs w:val="21"/>
                <w:lang w:val="en-GB"/>
              </w:rPr>
              <w:t xml:space="preserve"> </w:t>
            </w:r>
            <w:r w:rsidR="00425E08" w:rsidRPr="00425E08">
              <w:rPr>
                <w:rFonts w:eastAsia="Calibri" w:cstheme="minorHAnsi"/>
                <w:i/>
                <w:color w:val="1E1E1E" w:themeColor="background2"/>
                <w:sz w:val="21"/>
                <w:szCs w:val="21"/>
                <w:lang w:val="en-GB"/>
              </w:rPr>
              <w:t>(see Annex 12; p.2)</w:t>
            </w:r>
            <w:r w:rsidRPr="00425E08">
              <w:rPr>
                <w:rFonts w:asciiTheme="minorHAnsi" w:eastAsia="Calibri" w:hAnsiTheme="minorHAnsi" w:cstheme="minorHAnsi"/>
                <w:i/>
                <w:color w:val="000000"/>
                <w:sz w:val="21"/>
                <w:szCs w:val="21"/>
                <w:lang w:val="en-GB"/>
              </w:rPr>
              <w:t>,</w:t>
            </w:r>
            <w:r w:rsidRPr="00425E08">
              <w:rPr>
                <w:rFonts w:asciiTheme="minorHAnsi" w:eastAsia="Calibri" w:hAnsiTheme="minorHAnsi" w:cstheme="minorHAnsi"/>
                <w:color w:val="000000"/>
                <w:sz w:val="21"/>
                <w:szCs w:val="21"/>
                <w:lang w:val="en-GB"/>
              </w:rPr>
              <w:t xml:space="preserve"> but</w:t>
            </w:r>
            <w:r w:rsidRPr="00AF43A2">
              <w:rPr>
                <w:rFonts w:asciiTheme="minorHAnsi" w:eastAsia="Calibri" w:hAnsiTheme="minorHAnsi" w:cstheme="minorHAnsi"/>
                <w:color w:val="000000"/>
                <w:sz w:val="21"/>
                <w:szCs w:val="21"/>
                <w:lang w:val="en-GB"/>
              </w:rPr>
              <w:t xml:space="preserve"> other studies </w:t>
            </w:r>
            <w:r w:rsidR="00EA65A4" w:rsidRPr="00AF43A2">
              <w:rPr>
                <w:rFonts w:asciiTheme="minorHAnsi" w:eastAsia="Calibri" w:hAnsiTheme="minorHAnsi" w:cstheme="minorHAnsi"/>
                <w:color w:val="000000"/>
                <w:sz w:val="21"/>
                <w:szCs w:val="21"/>
                <w:lang w:val="en-GB"/>
              </w:rPr>
              <w:t>indicate</w:t>
            </w:r>
            <w:r w:rsidRPr="00AF43A2">
              <w:rPr>
                <w:rFonts w:asciiTheme="minorHAnsi" w:eastAsia="Calibri" w:hAnsiTheme="minorHAnsi" w:cstheme="minorHAnsi"/>
                <w:color w:val="000000"/>
                <w:sz w:val="21"/>
                <w:szCs w:val="21"/>
                <w:lang w:val="en-GB"/>
              </w:rPr>
              <w:t xml:space="preserve"> that the estimated number of MSM in Kazakhstan </w:t>
            </w:r>
            <w:r w:rsidR="00EA65A4" w:rsidRPr="00AF43A2">
              <w:rPr>
                <w:rFonts w:asciiTheme="minorHAnsi" w:eastAsia="Calibri" w:hAnsiTheme="minorHAnsi" w:cstheme="minorHAnsi"/>
                <w:color w:val="000000"/>
                <w:sz w:val="21"/>
                <w:szCs w:val="21"/>
                <w:lang w:val="en-GB"/>
              </w:rPr>
              <w:t>may</w:t>
            </w:r>
            <w:r w:rsidRPr="00AF43A2">
              <w:rPr>
                <w:rFonts w:asciiTheme="minorHAnsi" w:eastAsia="Calibri" w:hAnsiTheme="minorHAnsi" w:cstheme="minorHAnsi"/>
                <w:color w:val="000000"/>
                <w:sz w:val="21"/>
                <w:szCs w:val="21"/>
                <w:lang w:val="en-GB"/>
              </w:rPr>
              <w:t xml:space="preserve"> be significantly higher (154,000).</w:t>
            </w:r>
          </w:p>
          <w:p w14:paraId="37876791" w14:textId="18FC3999" w:rsidR="00EF5156" w:rsidRDefault="00EF5156" w:rsidP="000A0528">
            <w:pPr>
              <w:spacing w:after="0" w:line="240" w:lineRule="auto"/>
              <w:ind w:firstLine="284"/>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000000"/>
                <w:sz w:val="21"/>
                <w:szCs w:val="21"/>
                <w:lang w:val="en-GB"/>
              </w:rPr>
              <w:t>During the last five years</w:t>
            </w:r>
            <w:r w:rsidR="00EA65A4"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Kazakhstan achieved significant </w:t>
            </w:r>
            <w:r w:rsidRPr="00AF43A2">
              <w:rPr>
                <w:rFonts w:asciiTheme="minorHAnsi" w:eastAsia="Calibri" w:hAnsiTheme="minorHAnsi" w:cstheme="minorHAnsi"/>
                <w:color w:val="1E1E1E" w:themeColor="background2"/>
                <w:sz w:val="21"/>
                <w:szCs w:val="21"/>
                <w:lang w:val="en-GB"/>
              </w:rPr>
              <w:t xml:space="preserve">results in terms of policy alignment and government funding to implement HIV prevention </w:t>
            </w:r>
            <w:r w:rsidRPr="00AF43A2">
              <w:rPr>
                <w:rFonts w:asciiTheme="minorHAnsi" w:eastAsia="Calibri" w:hAnsiTheme="minorHAnsi" w:cstheme="minorHAnsi"/>
                <w:i/>
                <w:color w:val="1E1E1E" w:themeColor="background2"/>
                <w:sz w:val="21"/>
                <w:szCs w:val="21"/>
                <w:lang w:val="en-GB"/>
              </w:rPr>
              <w:t>interventions among MSM</w:t>
            </w:r>
            <w:r w:rsidR="00A16256" w:rsidRPr="00AF43A2">
              <w:rPr>
                <w:rFonts w:asciiTheme="minorHAnsi" w:eastAsia="Calibri" w:hAnsiTheme="minorHAnsi" w:cstheme="minorHAnsi"/>
                <w:i/>
                <w:color w:val="1E1E1E" w:themeColor="background2"/>
                <w:sz w:val="21"/>
                <w:szCs w:val="21"/>
                <w:lang w:val="en-GB"/>
              </w:rPr>
              <w:t xml:space="preserve"> and </w:t>
            </w:r>
            <w:r w:rsidRPr="00AF43A2">
              <w:rPr>
                <w:rFonts w:asciiTheme="minorHAnsi" w:eastAsia="Calibri" w:hAnsiTheme="minorHAnsi" w:cstheme="minorHAnsi"/>
                <w:i/>
                <w:color w:val="1E1E1E" w:themeColor="background2"/>
                <w:sz w:val="21"/>
                <w:szCs w:val="21"/>
                <w:lang w:val="en-GB"/>
              </w:rPr>
              <w:t>transgender</w:t>
            </w:r>
            <w:r w:rsidR="00A16256" w:rsidRPr="00AF43A2">
              <w:rPr>
                <w:rFonts w:asciiTheme="minorHAnsi" w:eastAsia="Calibri" w:hAnsiTheme="minorHAnsi" w:cstheme="minorHAnsi"/>
                <w:i/>
                <w:color w:val="1E1E1E" w:themeColor="background2"/>
                <w:sz w:val="21"/>
                <w:szCs w:val="21"/>
                <w:lang w:val="en-GB"/>
              </w:rPr>
              <w:t xml:space="preserve"> people</w:t>
            </w:r>
            <w:r w:rsidRPr="00AF43A2">
              <w:rPr>
                <w:rFonts w:asciiTheme="minorHAnsi" w:eastAsia="Calibri" w:hAnsiTheme="minorHAnsi" w:cstheme="minorHAnsi"/>
                <w: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including approving internal PrEP guidelines and reaching them with service. </w:t>
            </w:r>
          </w:p>
          <w:p w14:paraId="1F3A63B2" w14:textId="77777777" w:rsidR="00B1659B" w:rsidRPr="00B1659B" w:rsidRDefault="00B1659B" w:rsidP="000A0528">
            <w:pPr>
              <w:spacing w:after="0" w:line="240" w:lineRule="auto"/>
              <w:ind w:firstLine="284"/>
              <w:jc w:val="both"/>
              <w:rPr>
                <w:rFonts w:asciiTheme="minorHAnsi" w:eastAsia="Calibri" w:hAnsiTheme="minorHAnsi" w:cstheme="minorHAnsi"/>
                <w:color w:val="1E1E1E" w:themeColor="background2"/>
                <w:sz w:val="8"/>
                <w:szCs w:val="8"/>
                <w:lang w:val="en-GB"/>
              </w:rPr>
            </w:pPr>
          </w:p>
          <w:p w14:paraId="600E205B" w14:textId="77777777" w:rsidR="00B1659B" w:rsidRPr="00B1659B" w:rsidRDefault="00B1659B" w:rsidP="00B1659B">
            <w:pPr>
              <w:spacing w:after="0" w:line="240" w:lineRule="auto"/>
              <w:jc w:val="both"/>
              <w:rPr>
                <w:rFonts w:asciiTheme="minorHAnsi" w:eastAsia="Calibri" w:hAnsiTheme="minorHAnsi" w:cstheme="minorHAnsi"/>
                <w:b/>
                <w:color w:val="1E1E1E" w:themeColor="background2"/>
                <w:sz w:val="21"/>
                <w:szCs w:val="21"/>
                <w:lang w:val="en-GB"/>
              </w:rPr>
            </w:pPr>
            <w:r w:rsidRPr="00B1659B">
              <w:rPr>
                <w:rFonts w:asciiTheme="minorHAnsi" w:eastAsia="Calibri" w:hAnsiTheme="minorHAnsi" w:cstheme="minorHAnsi"/>
                <w:b/>
                <w:color w:val="1E1E1E" w:themeColor="background2"/>
                <w:sz w:val="21"/>
                <w:szCs w:val="21"/>
                <w:lang w:val="en-GB"/>
              </w:rPr>
              <w:t>Emerging use of new psychoactive substances</w:t>
            </w:r>
          </w:p>
          <w:p w14:paraId="381C2985" w14:textId="03C4BDB4" w:rsidR="00A63B1A" w:rsidRPr="00B1659B" w:rsidRDefault="00EF5156" w:rsidP="00B1659B">
            <w:pPr>
              <w:spacing w:after="0" w:line="240" w:lineRule="auto"/>
              <w:jc w:val="both"/>
              <w:rPr>
                <w:rFonts w:asciiTheme="minorHAnsi" w:eastAsia="Calibri" w:hAnsiTheme="minorHAnsi" w:cstheme="minorHAnsi"/>
                <w:color w:val="FF0000"/>
                <w:sz w:val="21"/>
                <w:szCs w:val="21"/>
                <w:lang w:val="en-GB"/>
              </w:rPr>
            </w:pPr>
            <w:r w:rsidRPr="00AF43A2">
              <w:rPr>
                <w:rFonts w:asciiTheme="minorHAnsi" w:eastAsia="Calibri" w:hAnsiTheme="minorHAnsi" w:cstheme="minorHAnsi"/>
                <w:color w:val="1E1E1E" w:themeColor="background2"/>
                <w:sz w:val="21"/>
                <w:szCs w:val="21"/>
                <w:lang w:val="en-GB"/>
              </w:rPr>
              <w:t xml:space="preserve">HIV </w:t>
            </w:r>
            <w:r w:rsidRPr="00B1659B">
              <w:rPr>
                <w:rFonts w:asciiTheme="minorHAnsi" w:eastAsia="Calibri" w:hAnsiTheme="minorHAnsi" w:cstheme="minorHAnsi"/>
                <w:color w:val="1E1E1E" w:themeColor="background2"/>
                <w:sz w:val="21"/>
                <w:szCs w:val="21"/>
                <w:lang w:val="en-GB"/>
              </w:rPr>
              <w:t xml:space="preserve">transmission does not </w:t>
            </w:r>
            <w:r w:rsidR="004A6F93" w:rsidRPr="00B1659B">
              <w:rPr>
                <w:rFonts w:asciiTheme="minorHAnsi" w:eastAsia="Calibri" w:hAnsiTheme="minorHAnsi" w:cstheme="minorHAnsi"/>
                <w:color w:val="1E1E1E" w:themeColor="background2"/>
                <w:sz w:val="21"/>
                <w:szCs w:val="21"/>
                <w:lang w:val="en-GB"/>
              </w:rPr>
              <w:t xml:space="preserve">only </w:t>
            </w:r>
            <w:r w:rsidRPr="00B1659B">
              <w:rPr>
                <w:rFonts w:asciiTheme="minorHAnsi" w:eastAsia="Calibri" w:hAnsiTheme="minorHAnsi" w:cstheme="minorHAnsi"/>
                <w:color w:val="1E1E1E" w:themeColor="background2"/>
                <w:sz w:val="21"/>
                <w:szCs w:val="21"/>
                <w:lang w:val="en-GB"/>
              </w:rPr>
              <w:t>occur</w:t>
            </w:r>
            <w:r w:rsidR="00EA65A4" w:rsidRPr="00B1659B">
              <w:rPr>
                <w:rFonts w:asciiTheme="minorHAnsi" w:eastAsia="Calibri" w:hAnsiTheme="minorHAnsi" w:cstheme="minorHAnsi"/>
                <w:color w:val="1E1E1E" w:themeColor="background2"/>
                <w:sz w:val="21"/>
                <w:szCs w:val="21"/>
                <w:lang w:val="en-GB"/>
              </w:rPr>
              <w:t xml:space="preserve"> only</w:t>
            </w:r>
            <w:r w:rsidRPr="00B1659B">
              <w:rPr>
                <w:rFonts w:asciiTheme="minorHAnsi" w:eastAsia="Calibri" w:hAnsiTheme="minorHAnsi" w:cstheme="minorHAnsi"/>
                <w:color w:val="1E1E1E" w:themeColor="background2"/>
                <w:sz w:val="21"/>
                <w:szCs w:val="21"/>
                <w:lang w:val="en-GB"/>
              </w:rPr>
              <w:t xml:space="preserve"> in “classical” PWID, but</w:t>
            </w:r>
            <w:r w:rsidR="004A6F93" w:rsidRPr="00B1659B">
              <w:rPr>
                <w:rFonts w:asciiTheme="minorHAnsi" w:eastAsia="Calibri" w:hAnsiTheme="minorHAnsi" w:cstheme="minorHAnsi"/>
                <w:color w:val="1E1E1E" w:themeColor="background2"/>
                <w:sz w:val="21"/>
                <w:szCs w:val="21"/>
                <w:lang w:val="en-GB"/>
              </w:rPr>
              <w:t xml:space="preserve"> may</w:t>
            </w:r>
            <w:r w:rsidRPr="00B1659B">
              <w:rPr>
                <w:rFonts w:asciiTheme="minorHAnsi" w:eastAsia="Calibri" w:hAnsiTheme="minorHAnsi" w:cstheme="minorHAnsi"/>
                <w:color w:val="1E1E1E" w:themeColor="background2"/>
                <w:sz w:val="21"/>
                <w:szCs w:val="21"/>
                <w:lang w:val="en-GB"/>
              </w:rPr>
              <w:t xml:space="preserve"> </w:t>
            </w:r>
            <w:r w:rsidR="004A6F93" w:rsidRPr="00B1659B">
              <w:rPr>
                <w:rFonts w:asciiTheme="minorHAnsi" w:eastAsia="Calibri" w:hAnsiTheme="minorHAnsi" w:cstheme="minorHAnsi"/>
                <w:color w:val="1E1E1E" w:themeColor="background2"/>
                <w:sz w:val="21"/>
                <w:szCs w:val="21"/>
                <w:lang w:val="en-GB"/>
              </w:rPr>
              <w:t>increasingly also</w:t>
            </w:r>
            <w:r w:rsidRPr="00B1659B">
              <w:rPr>
                <w:rFonts w:asciiTheme="minorHAnsi" w:eastAsia="Calibri" w:hAnsiTheme="minorHAnsi" w:cstheme="minorHAnsi"/>
                <w:color w:val="1E1E1E" w:themeColor="background2"/>
                <w:sz w:val="21"/>
                <w:szCs w:val="21"/>
                <w:lang w:val="en-GB"/>
              </w:rPr>
              <w:t xml:space="preserve"> </w:t>
            </w:r>
            <w:r w:rsidR="004A6F93" w:rsidRPr="00B1659B">
              <w:rPr>
                <w:rFonts w:asciiTheme="minorHAnsi" w:eastAsia="Calibri" w:hAnsiTheme="minorHAnsi" w:cstheme="minorHAnsi"/>
                <w:color w:val="1E1E1E" w:themeColor="background2"/>
                <w:sz w:val="21"/>
                <w:szCs w:val="21"/>
                <w:lang w:val="en-GB"/>
              </w:rPr>
              <w:t xml:space="preserve">be seen </w:t>
            </w:r>
            <w:r w:rsidRPr="00B1659B">
              <w:rPr>
                <w:rFonts w:asciiTheme="minorHAnsi" w:eastAsia="Calibri" w:hAnsiTheme="minorHAnsi" w:cstheme="minorHAnsi"/>
                <w:color w:val="1E1E1E" w:themeColor="background2"/>
                <w:sz w:val="21"/>
                <w:szCs w:val="21"/>
                <w:lang w:val="en-GB"/>
              </w:rPr>
              <w:t xml:space="preserve">in people who use </w:t>
            </w:r>
            <w:r w:rsidR="004A6F93" w:rsidRPr="00B1659B">
              <w:rPr>
                <w:rFonts w:asciiTheme="minorHAnsi" w:eastAsia="Calibri" w:hAnsiTheme="minorHAnsi" w:cstheme="minorHAnsi"/>
                <w:color w:val="1E1E1E" w:themeColor="background2"/>
                <w:sz w:val="21"/>
                <w:szCs w:val="21"/>
                <w:lang w:val="en-GB"/>
              </w:rPr>
              <w:t>so-called n</w:t>
            </w:r>
            <w:r w:rsidRPr="00B1659B">
              <w:rPr>
                <w:rFonts w:asciiTheme="minorHAnsi" w:eastAsia="Calibri" w:hAnsiTheme="minorHAnsi" w:cstheme="minorHAnsi"/>
                <w:color w:val="1E1E1E" w:themeColor="background2"/>
                <w:sz w:val="21"/>
                <w:szCs w:val="21"/>
                <w:lang w:val="en-GB"/>
              </w:rPr>
              <w:t>ew psychoactive substances (NPS)</w:t>
            </w:r>
            <w:r w:rsidR="00EA65A4" w:rsidRPr="00B1659B">
              <w:rPr>
                <w:rFonts w:asciiTheme="minorHAnsi" w:eastAsia="Calibri" w:hAnsiTheme="minorHAnsi" w:cstheme="minorHAnsi"/>
                <w:color w:val="1E1E1E" w:themeColor="background2"/>
                <w:sz w:val="21"/>
                <w:szCs w:val="21"/>
                <w:lang w:val="en-GB"/>
              </w:rPr>
              <w:t>, both injecting or through other ways of administration</w:t>
            </w:r>
            <w:r w:rsidR="00B1659B" w:rsidRPr="00B1659B">
              <w:rPr>
                <w:rFonts w:asciiTheme="minorHAnsi" w:eastAsia="Calibri" w:hAnsiTheme="minorHAnsi" w:cstheme="minorHAnsi"/>
                <w:color w:val="1E1E1E" w:themeColor="background2"/>
                <w:sz w:val="21"/>
                <w:szCs w:val="21"/>
                <w:lang w:val="en-GB"/>
              </w:rPr>
              <w:t xml:space="preserve">. </w:t>
            </w:r>
            <w:r w:rsidR="00A63B1A" w:rsidRPr="00B1659B">
              <w:rPr>
                <w:rFonts w:asciiTheme="minorHAnsi" w:eastAsia="Calibri" w:hAnsiTheme="minorHAnsi" w:cstheme="minorHAnsi"/>
                <w:color w:val="1E1E1E" w:themeColor="background2"/>
                <w:sz w:val="21"/>
                <w:szCs w:val="21"/>
                <w:lang w:val="en-GB"/>
              </w:rPr>
              <w:t xml:space="preserve">All Central Asian countries have reported the emergence of NPS to UNODC. Most NPS were identified in Kazakhstan and Uzbekistan, in particular synthetic </w:t>
            </w:r>
            <w:proofErr w:type="spellStart"/>
            <w:r w:rsidR="00A63B1A" w:rsidRPr="00B1659B">
              <w:rPr>
                <w:rFonts w:asciiTheme="minorHAnsi" w:eastAsia="Calibri" w:hAnsiTheme="minorHAnsi" w:cstheme="minorHAnsi"/>
                <w:color w:val="1E1E1E" w:themeColor="background2"/>
                <w:sz w:val="21"/>
                <w:szCs w:val="21"/>
                <w:lang w:val="en-GB"/>
              </w:rPr>
              <w:t>cathinones</w:t>
            </w:r>
            <w:proofErr w:type="spellEnd"/>
            <w:r w:rsidR="00A63B1A" w:rsidRPr="00B1659B">
              <w:rPr>
                <w:rFonts w:asciiTheme="minorHAnsi" w:eastAsia="Calibri" w:hAnsiTheme="minorHAnsi" w:cstheme="minorHAnsi"/>
                <w:color w:val="1E1E1E" w:themeColor="background2"/>
                <w:sz w:val="21"/>
                <w:szCs w:val="21"/>
                <w:lang w:val="en-GB"/>
              </w:rPr>
              <w:t xml:space="preserve"> and synthetic cannabinoids, and to a lesser extent phenylethylamines. Between 2013 and 2016 a total of 58 NPS were reported by the four </w:t>
            </w:r>
            <w:r w:rsidR="00B1659B" w:rsidRPr="00B1659B">
              <w:rPr>
                <w:rFonts w:asciiTheme="minorHAnsi" w:eastAsia="Calibri" w:hAnsiTheme="minorHAnsi" w:cstheme="minorHAnsi"/>
                <w:color w:val="1E1E1E" w:themeColor="background2"/>
                <w:sz w:val="21"/>
                <w:szCs w:val="21"/>
                <w:lang w:val="en-GB"/>
              </w:rPr>
              <w:t xml:space="preserve">Central Asian </w:t>
            </w:r>
            <w:r w:rsidR="00A63B1A" w:rsidRPr="00B1659B">
              <w:rPr>
                <w:rFonts w:asciiTheme="minorHAnsi" w:eastAsia="Calibri" w:hAnsiTheme="minorHAnsi" w:cstheme="minorHAnsi"/>
                <w:color w:val="1E1E1E" w:themeColor="background2"/>
                <w:sz w:val="21"/>
                <w:szCs w:val="21"/>
                <w:lang w:val="en-GB"/>
              </w:rPr>
              <w:t>countries</w:t>
            </w:r>
            <w:r w:rsidR="00B1659B" w:rsidRPr="00B1659B">
              <w:rPr>
                <w:rFonts w:asciiTheme="minorHAnsi" w:eastAsia="Calibri" w:hAnsiTheme="minorHAnsi" w:cstheme="minorHAnsi"/>
                <w:color w:val="1E1E1E" w:themeColor="background2"/>
                <w:sz w:val="21"/>
                <w:szCs w:val="21"/>
                <w:lang w:val="en-GB"/>
              </w:rPr>
              <w:t xml:space="preserve">. </w:t>
            </w:r>
            <w:r w:rsidR="00A63B1A" w:rsidRPr="00B1659B">
              <w:rPr>
                <w:rFonts w:asciiTheme="minorHAnsi" w:eastAsia="Calibri" w:hAnsiTheme="minorHAnsi" w:cstheme="minorHAnsi"/>
                <w:color w:val="1E1E1E" w:themeColor="background2"/>
                <w:sz w:val="21"/>
                <w:szCs w:val="21"/>
                <w:lang w:val="en-GB"/>
              </w:rPr>
              <w:t>In 2016, a pilot assessment of NPS use among people who received inpatient drug treatment in Kazakhstan was carried out. It showed that the proportion of</w:t>
            </w:r>
            <w:r w:rsidR="00B1659B" w:rsidRPr="00B1659B">
              <w:rPr>
                <w:rFonts w:asciiTheme="minorHAnsi" w:eastAsia="Calibri" w:hAnsiTheme="minorHAnsi" w:cstheme="minorHAnsi"/>
                <w:color w:val="1E1E1E" w:themeColor="background2"/>
                <w:sz w:val="21"/>
                <w:szCs w:val="21"/>
                <w:lang w:val="en-GB"/>
              </w:rPr>
              <w:t xml:space="preserve"> </w:t>
            </w:r>
            <w:r w:rsidR="00A63B1A" w:rsidRPr="00B1659B">
              <w:rPr>
                <w:rFonts w:asciiTheme="minorHAnsi" w:eastAsia="Calibri" w:hAnsiTheme="minorHAnsi" w:cstheme="minorHAnsi"/>
                <w:color w:val="1E1E1E" w:themeColor="background2"/>
                <w:sz w:val="21"/>
                <w:szCs w:val="21"/>
                <w:lang w:val="en-GB"/>
              </w:rPr>
              <w:t>patients nationwide who received addiction treatment for NPS as the primary substance was relatively low (3.2%)</w:t>
            </w:r>
            <w:r w:rsidR="00B1659B">
              <w:rPr>
                <w:rFonts w:asciiTheme="minorHAnsi" w:eastAsia="Calibri" w:hAnsiTheme="minorHAnsi" w:cstheme="minorHAnsi"/>
                <w:color w:val="1E1E1E" w:themeColor="background2"/>
                <w:sz w:val="21"/>
                <w:szCs w:val="21"/>
                <w:lang w:val="en-GB"/>
              </w:rPr>
              <w:t xml:space="preserve"> </w:t>
            </w:r>
            <w:r w:rsidR="00B1659B" w:rsidRPr="00B1659B">
              <w:rPr>
                <w:rFonts w:asciiTheme="minorHAnsi" w:eastAsia="Calibri" w:hAnsiTheme="minorHAnsi" w:cstheme="minorHAnsi"/>
                <w:i/>
                <w:color w:val="1E1E1E" w:themeColor="background2"/>
                <w:sz w:val="21"/>
                <w:szCs w:val="21"/>
                <w:lang w:val="en-GB"/>
              </w:rPr>
              <w:t>(see Annex 16, p.</w:t>
            </w:r>
            <w:r w:rsidR="00452AEB">
              <w:rPr>
                <w:rFonts w:asciiTheme="minorHAnsi" w:eastAsia="Calibri" w:hAnsiTheme="minorHAnsi" w:cstheme="minorHAnsi"/>
                <w:i/>
                <w:color w:val="1E1E1E" w:themeColor="background2"/>
                <w:sz w:val="21"/>
                <w:szCs w:val="21"/>
                <w:lang w:val="en-GB"/>
              </w:rPr>
              <w:t>4</w:t>
            </w:r>
            <w:r w:rsidR="00B1659B" w:rsidRPr="00B1659B">
              <w:rPr>
                <w:rFonts w:asciiTheme="minorHAnsi" w:eastAsia="Calibri" w:hAnsiTheme="minorHAnsi" w:cstheme="minorHAnsi"/>
                <w:i/>
                <w:color w:val="1E1E1E" w:themeColor="background2"/>
                <w:sz w:val="21"/>
                <w:szCs w:val="21"/>
                <w:lang w:val="en-GB"/>
              </w:rPr>
              <w:t>)</w:t>
            </w:r>
            <w:r w:rsidR="00B1659B" w:rsidRPr="00B1659B">
              <w:rPr>
                <w:rFonts w:asciiTheme="minorHAnsi" w:eastAsia="Calibri" w:hAnsiTheme="minorHAnsi" w:cstheme="minorHAnsi"/>
                <w:color w:val="1E1E1E" w:themeColor="background2"/>
                <w:sz w:val="21"/>
                <w:szCs w:val="21"/>
                <w:lang w:val="en-GB"/>
              </w:rPr>
              <w:t>.</w:t>
            </w:r>
            <w:r w:rsidR="00A63B1A" w:rsidRPr="00B1659B">
              <w:rPr>
                <w:rFonts w:asciiTheme="minorHAnsi" w:eastAsia="Calibri" w:hAnsiTheme="minorHAnsi" w:cstheme="minorHAnsi"/>
                <w:color w:val="1E1E1E" w:themeColor="background2"/>
                <w:sz w:val="21"/>
                <w:szCs w:val="21"/>
                <w:lang w:val="en-GB"/>
              </w:rPr>
              <w:t xml:space="preserve"> However, there were large differences, with Almaty and Petropavlovsk regions reporting over 10% of people in treatment with an NPS dependence. Among the nationwide sample of NPS dependent individuals, 70% of those who ever used </w:t>
            </w:r>
            <w:proofErr w:type="spellStart"/>
            <w:r w:rsidR="00A63B1A" w:rsidRPr="00B1659B">
              <w:rPr>
                <w:rFonts w:asciiTheme="minorHAnsi" w:eastAsia="Calibri" w:hAnsiTheme="minorHAnsi" w:cstheme="minorHAnsi"/>
                <w:color w:val="1E1E1E" w:themeColor="background2"/>
                <w:sz w:val="21"/>
                <w:szCs w:val="21"/>
                <w:lang w:val="en-GB"/>
              </w:rPr>
              <w:t>cathinones</w:t>
            </w:r>
            <w:proofErr w:type="spellEnd"/>
            <w:r w:rsidR="00A63B1A" w:rsidRPr="00B1659B">
              <w:rPr>
                <w:rFonts w:asciiTheme="minorHAnsi" w:eastAsia="Calibri" w:hAnsiTheme="minorHAnsi" w:cstheme="minorHAnsi"/>
                <w:color w:val="1E1E1E" w:themeColor="background2"/>
                <w:sz w:val="21"/>
                <w:szCs w:val="21"/>
                <w:lang w:val="en-GB"/>
              </w:rPr>
              <w:t xml:space="preserve"> injected them. In Petropavlovsk, injecting of </w:t>
            </w:r>
            <w:proofErr w:type="spellStart"/>
            <w:r w:rsidR="00A63B1A" w:rsidRPr="00B1659B">
              <w:rPr>
                <w:rFonts w:asciiTheme="minorHAnsi" w:eastAsia="Calibri" w:hAnsiTheme="minorHAnsi" w:cstheme="minorHAnsi"/>
                <w:color w:val="1E1E1E" w:themeColor="background2"/>
                <w:sz w:val="21"/>
                <w:szCs w:val="21"/>
                <w:lang w:val="en-GB"/>
              </w:rPr>
              <w:t>cathinones</w:t>
            </w:r>
            <w:proofErr w:type="spellEnd"/>
            <w:r w:rsidR="00A63B1A" w:rsidRPr="00B1659B">
              <w:rPr>
                <w:rFonts w:asciiTheme="minorHAnsi" w:eastAsia="Calibri" w:hAnsiTheme="minorHAnsi" w:cstheme="minorHAnsi"/>
                <w:color w:val="1E1E1E" w:themeColor="background2"/>
                <w:sz w:val="21"/>
                <w:szCs w:val="21"/>
                <w:lang w:val="en-GB"/>
              </w:rPr>
              <w:t xml:space="preserve"> in the context of other factors (risk behavio</w:t>
            </w:r>
            <w:r w:rsidR="00B1659B" w:rsidRPr="00B1659B">
              <w:rPr>
                <w:rFonts w:asciiTheme="minorHAnsi" w:eastAsia="Calibri" w:hAnsiTheme="minorHAnsi" w:cstheme="minorHAnsi"/>
                <w:color w:val="1E1E1E" w:themeColor="background2"/>
                <w:sz w:val="21"/>
                <w:szCs w:val="21"/>
                <w:lang w:val="en-GB"/>
              </w:rPr>
              <w:t>u</w:t>
            </w:r>
            <w:r w:rsidR="00A63B1A" w:rsidRPr="00B1659B">
              <w:rPr>
                <w:rFonts w:asciiTheme="minorHAnsi" w:eastAsia="Calibri" w:hAnsiTheme="minorHAnsi" w:cstheme="minorHAnsi"/>
                <w:color w:val="1E1E1E" w:themeColor="background2"/>
                <w:sz w:val="21"/>
                <w:szCs w:val="21"/>
                <w:lang w:val="en-GB"/>
              </w:rPr>
              <w:t>r, scaled-up HIV testing) has been associated with an increase in HIV infections among problem drug users in 2017-2018</w:t>
            </w:r>
            <w:r w:rsidR="00B1659B">
              <w:rPr>
                <w:rFonts w:asciiTheme="minorHAnsi" w:eastAsia="Calibri" w:hAnsiTheme="minorHAnsi" w:cstheme="minorHAnsi"/>
                <w:color w:val="1E1E1E" w:themeColor="background2"/>
                <w:sz w:val="21"/>
                <w:szCs w:val="21"/>
                <w:lang w:val="en-GB"/>
              </w:rPr>
              <w:t xml:space="preserve"> </w:t>
            </w:r>
            <w:r w:rsidR="00B1659B" w:rsidRPr="00B1659B">
              <w:rPr>
                <w:rFonts w:asciiTheme="minorHAnsi" w:eastAsia="Calibri" w:hAnsiTheme="minorHAnsi" w:cstheme="minorHAnsi"/>
                <w:i/>
                <w:color w:val="1E1E1E" w:themeColor="background2"/>
                <w:sz w:val="21"/>
                <w:szCs w:val="21"/>
                <w:lang w:val="en-GB"/>
              </w:rPr>
              <w:t>(see Annex 16, p.</w:t>
            </w:r>
            <w:r w:rsidR="00452AEB">
              <w:rPr>
                <w:rFonts w:asciiTheme="minorHAnsi" w:eastAsia="Calibri" w:hAnsiTheme="minorHAnsi" w:cstheme="minorHAnsi"/>
                <w:i/>
                <w:color w:val="1E1E1E" w:themeColor="background2"/>
                <w:sz w:val="21"/>
                <w:szCs w:val="21"/>
                <w:lang w:val="en-GB"/>
              </w:rPr>
              <w:t>4</w:t>
            </w:r>
            <w:r w:rsidR="00B1659B" w:rsidRPr="00B1659B">
              <w:rPr>
                <w:rFonts w:asciiTheme="minorHAnsi" w:eastAsia="Calibri" w:hAnsiTheme="minorHAnsi" w:cstheme="minorHAnsi"/>
                <w:i/>
                <w:color w:val="1E1E1E" w:themeColor="background2"/>
                <w:sz w:val="21"/>
                <w:szCs w:val="21"/>
                <w:lang w:val="en-GB"/>
              </w:rPr>
              <w:t>)</w:t>
            </w:r>
            <w:r w:rsidR="00A63B1A" w:rsidRPr="00B1659B">
              <w:rPr>
                <w:rFonts w:asciiTheme="minorHAnsi" w:eastAsia="Calibri" w:hAnsiTheme="minorHAnsi" w:cstheme="minorHAnsi"/>
                <w:color w:val="1E1E1E" w:themeColor="background2"/>
                <w:sz w:val="21"/>
                <w:szCs w:val="21"/>
                <w:lang w:val="en-GB"/>
              </w:rPr>
              <w:t>. One of the main reason why people used NPS was the absence of traditional drugs</w:t>
            </w:r>
            <w:r w:rsidR="00B1659B">
              <w:rPr>
                <w:rFonts w:asciiTheme="minorHAnsi" w:eastAsia="Calibri" w:hAnsiTheme="minorHAnsi" w:cstheme="minorHAnsi"/>
                <w:color w:val="1E1E1E" w:themeColor="background2"/>
                <w:sz w:val="21"/>
                <w:szCs w:val="21"/>
                <w:lang w:val="en-GB"/>
              </w:rPr>
              <w:t>.</w:t>
            </w:r>
            <w:r w:rsidR="00B1659B" w:rsidRPr="00B1659B">
              <w:rPr>
                <w:rFonts w:asciiTheme="minorHAnsi" w:eastAsia="Calibri" w:hAnsiTheme="minorHAnsi" w:cstheme="minorHAnsi"/>
                <w:color w:val="1E1E1E" w:themeColor="background2"/>
                <w:sz w:val="21"/>
                <w:szCs w:val="21"/>
                <w:lang w:val="en-GB"/>
              </w:rPr>
              <w:t xml:space="preserve"> In addition, NPS use is often associated with high-risk, unprotected sex with multiple non-regular partners, including so-called “chemsex”, also among MSM.</w:t>
            </w:r>
          </w:p>
          <w:p w14:paraId="7F73DA1C" w14:textId="77777777" w:rsidR="00EF5156" w:rsidRPr="00AF43A2" w:rsidRDefault="00EF5156" w:rsidP="000A0528">
            <w:pPr>
              <w:spacing w:after="0" w:line="240" w:lineRule="auto"/>
              <w:jc w:val="both"/>
              <w:rPr>
                <w:rFonts w:asciiTheme="minorHAnsi" w:eastAsia="Calibri" w:hAnsiTheme="minorHAnsi" w:cstheme="minorHAnsi"/>
                <w:color w:val="FF0000"/>
                <w:sz w:val="10"/>
                <w:szCs w:val="10"/>
                <w:lang w:val="en-GB"/>
              </w:rPr>
            </w:pPr>
          </w:p>
          <w:p w14:paraId="1A835072" w14:textId="77777777" w:rsidR="00EF5156" w:rsidRPr="00AF43A2" w:rsidRDefault="00EF5156" w:rsidP="000A0528">
            <w:pPr>
              <w:spacing w:after="0" w:line="240" w:lineRule="auto"/>
              <w:jc w:val="both"/>
              <w:rPr>
                <w:rFonts w:asciiTheme="minorHAnsi" w:eastAsia="Calibri" w:hAnsiTheme="minorHAnsi" w:cstheme="minorHAnsi"/>
                <w:b/>
                <w:color w:val="000000"/>
                <w:sz w:val="21"/>
                <w:szCs w:val="21"/>
                <w:lang w:val="en-GB"/>
              </w:rPr>
            </w:pPr>
            <w:r w:rsidRPr="00AF43A2">
              <w:rPr>
                <w:rFonts w:asciiTheme="minorHAnsi" w:eastAsia="Calibri" w:hAnsiTheme="minorHAnsi" w:cstheme="minorHAnsi"/>
                <w:b/>
                <w:color w:val="000000"/>
                <w:sz w:val="21"/>
                <w:szCs w:val="21"/>
                <w:lang w:val="en-GB"/>
              </w:rPr>
              <w:t>90-90-90</w:t>
            </w:r>
          </w:p>
          <w:p w14:paraId="3AB1EB06" w14:textId="709C918F"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000000"/>
                <w:sz w:val="21"/>
                <w:szCs w:val="21"/>
                <w:lang w:val="en-GB"/>
              </w:rPr>
              <w:t xml:space="preserve">Kazakhstan is among countries that monitors the </w:t>
            </w:r>
            <w:r w:rsidR="00EA65A4" w:rsidRPr="00AF43A2">
              <w:rPr>
                <w:rFonts w:asciiTheme="minorHAnsi" w:eastAsia="Calibri" w:hAnsiTheme="minorHAnsi" w:cstheme="minorHAnsi"/>
                <w:color w:val="000000"/>
                <w:sz w:val="21"/>
                <w:szCs w:val="21"/>
                <w:lang w:val="en-GB"/>
              </w:rPr>
              <w:t xml:space="preserve">90-90-90 </w:t>
            </w:r>
            <w:r w:rsidRPr="00AF43A2">
              <w:rPr>
                <w:rFonts w:asciiTheme="minorHAnsi" w:eastAsia="Calibri" w:hAnsiTheme="minorHAnsi" w:cstheme="minorHAnsi"/>
                <w:color w:val="000000"/>
                <w:sz w:val="21"/>
                <w:szCs w:val="21"/>
                <w:lang w:val="en-GB"/>
              </w:rPr>
              <w:t>Fast</w:t>
            </w:r>
            <w:r w:rsidR="00EA65A4"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Track targets. The national AIDS response is guided by an Action Plan that has been aligned to </w:t>
            </w:r>
            <w:r w:rsidR="00EA65A4" w:rsidRPr="00AF43A2">
              <w:rPr>
                <w:rFonts w:asciiTheme="minorHAnsi" w:eastAsia="Calibri" w:hAnsiTheme="minorHAnsi" w:cstheme="minorHAnsi"/>
                <w:color w:val="000000"/>
                <w:sz w:val="21"/>
                <w:szCs w:val="21"/>
                <w:lang w:val="en-GB"/>
              </w:rPr>
              <w:t xml:space="preserve">global </w:t>
            </w:r>
            <w:r w:rsidRPr="00AF43A2">
              <w:rPr>
                <w:rFonts w:asciiTheme="minorHAnsi" w:eastAsia="Calibri" w:hAnsiTheme="minorHAnsi" w:cstheme="minorHAnsi"/>
                <w:color w:val="000000"/>
                <w:sz w:val="21"/>
                <w:szCs w:val="21"/>
                <w:lang w:val="en-GB"/>
              </w:rPr>
              <w:t xml:space="preserve">UNAIDS and WHO </w:t>
            </w:r>
            <w:r w:rsidR="00EA65A4" w:rsidRPr="00AF43A2">
              <w:rPr>
                <w:rFonts w:asciiTheme="minorHAnsi" w:eastAsia="Calibri" w:hAnsiTheme="minorHAnsi" w:cstheme="minorHAnsi"/>
                <w:color w:val="000000"/>
                <w:sz w:val="21"/>
                <w:szCs w:val="21"/>
                <w:lang w:val="en-GB"/>
              </w:rPr>
              <w:t>p</w:t>
            </w:r>
            <w:r w:rsidRPr="00AF43A2">
              <w:rPr>
                <w:rFonts w:asciiTheme="minorHAnsi" w:eastAsia="Calibri" w:hAnsiTheme="minorHAnsi" w:cstheme="minorHAnsi"/>
                <w:color w:val="000000"/>
                <w:sz w:val="21"/>
                <w:szCs w:val="21"/>
                <w:lang w:val="en-GB"/>
              </w:rPr>
              <w:t xml:space="preserve">olicies. The National Health Programme </w:t>
            </w:r>
            <w:r w:rsidRPr="00AF43A2">
              <w:rPr>
                <w:rFonts w:asciiTheme="minorHAnsi" w:eastAsia="Calibri" w:hAnsiTheme="minorHAnsi" w:cstheme="minorHAnsi"/>
                <w:i/>
                <w:color w:val="000000"/>
                <w:sz w:val="21"/>
                <w:szCs w:val="21"/>
                <w:lang w:val="en-GB"/>
              </w:rPr>
              <w:t>“</w:t>
            </w:r>
            <w:proofErr w:type="spellStart"/>
            <w:r w:rsidRPr="00AF43A2">
              <w:rPr>
                <w:rFonts w:asciiTheme="minorHAnsi" w:eastAsia="Calibri" w:hAnsiTheme="minorHAnsi" w:cstheme="minorHAnsi"/>
                <w:i/>
                <w:color w:val="000000"/>
                <w:sz w:val="21"/>
                <w:szCs w:val="21"/>
                <w:lang w:val="en-GB"/>
              </w:rPr>
              <w:t>Densaulyk</w:t>
            </w:r>
            <w:proofErr w:type="spellEnd"/>
            <w:r w:rsidRPr="00AF43A2">
              <w:rPr>
                <w:rFonts w:asciiTheme="minorHAnsi" w:eastAsia="Calibri" w:hAnsiTheme="minorHAnsi" w:cstheme="minorHAnsi"/>
                <w:i/>
                <w:color w:val="000000"/>
                <w:sz w:val="21"/>
                <w:szCs w:val="21"/>
                <w:lang w:val="en-GB"/>
              </w:rPr>
              <w:t>”</w:t>
            </w:r>
            <w:r w:rsidRPr="00AF43A2">
              <w:rPr>
                <w:rFonts w:asciiTheme="minorHAnsi" w:eastAsia="Calibri" w:hAnsiTheme="minorHAnsi" w:cstheme="minorHAnsi"/>
                <w:color w:val="000000"/>
                <w:sz w:val="21"/>
                <w:szCs w:val="21"/>
                <w:lang w:val="en-GB"/>
              </w:rPr>
              <w:t xml:space="preserve"> state</w:t>
            </w:r>
            <w:r w:rsidR="00EA65A4" w:rsidRPr="00AF43A2">
              <w:rPr>
                <w:rFonts w:asciiTheme="minorHAnsi" w:eastAsia="Calibri" w:hAnsiTheme="minorHAnsi" w:cstheme="minorHAnsi"/>
                <w:color w:val="000000"/>
                <w:sz w:val="21"/>
                <w:szCs w:val="21"/>
                <w:lang w:val="en-GB"/>
              </w:rPr>
              <w:t>s that</w:t>
            </w:r>
            <w:r w:rsidRPr="00AF43A2">
              <w:rPr>
                <w:rFonts w:asciiTheme="minorHAnsi" w:eastAsia="Calibri" w:hAnsiTheme="minorHAnsi" w:cstheme="minorHAnsi"/>
                <w:color w:val="000000"/>
                <w:sz w:val="21"/>
                <w:szCs w:val="21"/>
                <w:lang w:val="en-GB"/>
              </w:rPr>
              <w:t xml:space="preserve"> “</w:t>
            </w:r>
            <w:r w:rsidR="00EA65A4" w:rsidRPr="00AF43A2">
              <w:rPr>
                <w:rFonts w:asciiTheme="minorHAnsi" w:eastAsia="Calibri" w:hAnsiTheme="minorHAnsi" w:cstheme="minorHAnsi"/>
                <w:color w:val="000000"/>
                <w:sz w:val="21"/>
                <w:szCs w:val="21"/>
                <w:lang w:val="en-GB"/>
              </w:rPr>
              <w:t>c</w:t>
            </w:r>
            <w:r w:rsidRPr="00AF43A2">
              <w:rPr>
                <w:rFonts w:asciiTheme="minorHAnsi" w:eastAsia="Calibri" w:hAnsiTheme="minorHAnsi" w:cstheme="minorHAnsi"/>
                <w:color w:val="000000"/>
                <w:sz w:val="21"/>
                <w:szCs w:val="21"/>
                <w:lang w:val="en-GB"/>
              </w:rPr>
              <w:t xml:space="preserve">onditions for effective implementation of the international recommendations to fight HIV, including UNAIDS Strategy 90-90-90 </w:t>
            </w:r>
            <w:r w:rsidR="00EA65A4" w:rsidRPr="00AF43A2">
              <w:rPr>
                <w:rFonts w:asciiTheme="minorHAnsi" w:eastAsia="Calibri" w:hAnsiTheme="minorHAnsi" w:cstheme="minorHAnsi"/>
                <w:color w:val="000000"/>
                <w:sz w:val="21"/>
                <w:szCs w:val="21"/>
                <w:lang w:val="en-GB"/>
              </w:rPr>
              <w:t>have been</w:t>
            </w:r>
            <w:r w:rsidRPr="00AF43A2">
              <w:rPr>
                <w:rFonts w:asciiTheme="minorHAnsi" w:eastAsia="Calibri" w:hAnsiTheme="minorHAnsi" w:cstheme="minorHAnsi"/>
                <w:color w:val="000000"/>
                <w:sz w:val="21"/>
                <w:szCs w:val="21"/>
                <w:lang w:val="en-GB"/>
              </w:rPr>
              <w:t xml:space="preserve"> created with the ambitious goal to eradicate HIV/AIDS</w:t>
            </w:r>
            <w:r w:rsidRPr="0004163B">
              <w:rPr>
                <w:rFonts w:asciiTheme="minorHAnsi" w:eastAsia="Calibri" w:hAnsiTheme="minorHAnsi" w:cstheme="minorHAnsi"/>
                <w:color w:val="000000"/>
                <w:sz w:val="21"/>
                <w:szCs w:val="21"/>
                <w:lang w:val="en-GB"/>
              </w:rPr>
              <w:t>”</w:t>
            </w:r>
            <w:r w:rsidR="00C27AD4" w:rsidRPr="0004163B">
              <w:rPr>
                <w:rFonts w:asciiTheme="minorHAnsi" w:eastAsia="Calibri" w:hAnsiTheme="minorHAnsi" w:cstheme="minorHAnsi"/>
                <w:color w:val="000000"/>
                <w:sz w:val="21"/>
                <w:szCs w:val="21"/>
              </w:rPr>
              <w:t xml:space="preserve"> </w:t>
            </w:r>
            <w:r w:rsidR="00C27AD4" w:rsidRPr="0004163B">
              <w:rPr>
                <w:rFonts w:asciiTheme="minorHAnsi" w:eastAsia="Calibri" w:hAnsiTheme="minorHAnsi" w:cstheme="minorHAnsi"/>
                <w:i/>
                <w:iCs/>
                <w:color w:val="000000"/>
                <w:sz w:val="21"/>
                <w:szCs w:val="21"/>
                <w:lang w:val="en-GB"/>
              </w:rPr>
              <w:t xml:space="preserve">(see Annex </w:t>
            </w:r>
            <w:r w:rsidR="00C27AD4" w:rsidRPr="0004163B">
              <w:rPr>
                <w:rFonts w:asciiTheme="minorHAnsi" w:eastAsia="Calibri" w:hAnsiTheme="minorHAnsi" w:cstheme="minorHAnsi"/>
                <w:i/>
                <w:iCs/>
                <w:color w:val="000000"/>
                <w:sz w:val="21"/>
                <w:szCs w:val="21"/>
              </w:rPr>
              <w:t>9</w:t>
            </w:r>
            <w:r w:rsidR="00C27AD4" w:rsidRPr="0004163B">
              <w:rPr>
                <w:rFonts w:asciiTheme="minorHAnsi" w:eastAsia="Calibri" w:hAnsiTheme="minorHAnsi" w:cstheme="minorHAnsi"/>
                <w:i/>
                <w:iCs/>
                <w:color w:val="000000"/>
                <w:sz w:val="21"/>
                <w:szCs w:val="21"/>
                <w:lang w:val="en-GB"/>
              </w:rPr>
              <w:t>, p.6).</w:t>
            </w:r>
          </w:p>
          <w:p w14:paraId="56921534" w14:textId="38D96E72" w:rsidR="00EF5156" w:rsidRPr="00AF43A2" w:rsidRDefault="00EF5156" w:rsidP="000A0528">
            <w:pPr>
              <w:spacing w:after="0" w:line="240" w:lineRule="auto"/>
              <w:ind w:firstLine="284"/>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1E1E1E" w:themeColor="background2"/>
                <w:sz w:val="21"/>
                <w:szCs w:val="21"/>
                <w:lang w:val="en-GB"/>
              </w:rPr>
              <w:t xml:space="preserve">Kazakhstan </w:t>
            </w:r>
            <w:r w:rsidR="00EA65A4" w:rsidRPr="00AF43A2">
              <w:rPr>
                <w:rFonts w:asciiTheme="minorHAnsi" w:eastAsia="Calibri" w:hAnsiTheme="minorHAnsi" w:cstheme="minorHAnsi"/>
                <w:color w:val="1E1E1E" w:themeColor="background2"/>
                <w:sz w:val="21"/>
                <w:szCs w:val="21"/>
                <w:lang w:val="en-GB"/>
              </w:rPr>
              <w:t>has seen</w:t>
            </w:r>
            <w:r w:rsidRPr="00AF43A2">
              <w:rPr>
                <w:rFonts w:asciiTheme="minorHAnsi" w:eastAsia="Calibri" w:hAnsiTheme="minorHAnsi" w:cstheme="minorHAnsi"/>
                <w:color w:val="1E1E1E" w:themeColor="background2"/>
                <w:sz w:val="21"/>
                <w:szCs w:val="21"/>
                <w:lang w:val="en-GB"/>
              </w:rPr>
              <w:t xml:space="preserve"> steady progress </w:t>
            </w:r>
            <w:r w:rsidR="00EA65A4" w:rsidRPr="00AF43A2">
              <w:rPr>
                <w:rFonts w:asciiTheme="minorHAnsi" w:eastAsia="Calibri" w:hAnsiTheme="minorHAnsi" w:cstheme="minorHAnsi"/>
                <w:color w:val="1E1E1E" w:themeColor="background2"/>
                <w:sz w:val="21"/>
                <w:szCs w:val="21"/>
                <w:lang w:val="en-GB"/>
              </w:rPr>
              <w:t>towards the</w:t>
            </w:r>
            <w:r w:rsidRPr="00AF43A2">
              <w:rPr>
                <w:rFonts w:asciiTheme="minorHAnsi" w:eastAsia="Calibri" w:hAnsiTheme="minorHAnsi" w:cstheme="minorHAnsi"/>
                <w:color w:val="1E1E1E" w:themeColor="background2"/>
                <w:sz w:val="21"/>
                <w:szCs w:val="21"/>
                <w:lang w:val="en-GB"/>
              </w:rPr>
              <w:t xml:space="preserve"> 90-90-90 targets. In 2019</w:t>
            </w:r>
            <w:r w:rsidR="00EA65A4" w:rsidRPr="00AF43A2">
              <w:rPr>
                <w:rFonts w:asciiTheme="minorHAnsi" w:eastAsia="Calibri" w:hAnsiTheme="minorHAnsi" w:cstheme="minorHAnsi"/>
                <w:color w:val="1E1E1E" w:themeColor="background2"/>
                <w:sz w:val="21"/>
                <w:szCs w:val="21"/>
                <w:lang w:val="en-GB"/>
              </w:rPr>
              <w:t>, the situation showed that</w:t>
            </w:r>
            <w:r w:rsidRPr="00AF43A2">
              <w:rPr>
                <w:rFonts w:asciiTheme="minorHAnsi" w:eastAsia="Calibri" w:hAnsiTheme="minorHAnsi" w:cstheme="minorHAnsi"/>
                <w:color w:val="1E1E1E" w:themeColor="background2"/>
                <w:sz w:val="21"/>
                <w:szCs w:val="21"/>
                <w:lang w:val="en-GB"/>
              </w:rPr>
              <w:t xml:space="preserve"> </w:t>
            </w:r>
            <w:r w:rsidR="00A34937" w:rsidRPr="00AF43A2">
              <w:rPr>
                <w:rFonts w:asciiTheme="minorHAnsi" w:eastAsia="Calibri" w:hAnsiTheme="minorHAnsi" w:cstheme="minorHAnsi"/>
                <w:color w:val="1E1E1E" w:themeColor="background2"/>
                <w:sz w:val="21"/>
                <w:szCs w:val="21"/>
                <w:lang w:val="en-GB"/>
              </w:rPr>
              <w:t>8</w:t>
            </w:r>
            <w:r w:rsidR="00370741" w:rsidRPr="00AF43A2">
              <w:rPr>
                <w:rFonts w:asciiTheme="minorHAnsi" w:eastAsia="Calibri" w:hAnsiTheme="minorHAnsi" w:cstheme="minorHAnsi"/>
                <w:color w:val="1E1E1E" w:themeColor="background2"/>
                <w:sz w:val="21"/>
                <w:szCs w:val="21"/>
                <w:lang w:val="en-GB"/>
              </w:rPr>
              <w:t>2</w:t>
            </w:r>
            <w:r w:rsidRPr="00AF43A2">
              <w:rPr>
                <w:rFonts w:asciiTheme="minorHAnsi" w:eastAsia="Calibri" w:hAnsiTheme="minorHAnsi" w:cstheme="minorHAnsi"/>
                <w:color w:val="1E1E1E" w:themeColor="background2"/>
                <w:sz w:val="21"/>
                <w:szCs w:val="21"/>
                <w:lang w:val="en-GB"/>
              </w:rPr>
              <w:t xml:space="preserve">% of PLHIV knew their status; </w:t>
            </w:r>
            <w:r w:rsidR="00A34937" w:rsidRPr="00AF43A2">
              <w:rPr>
                <w:rFonts w:asciiTheme="minorHAnsi" w:eastAsia="Calibri" w:hAnsiTheme="minorHAnsi" w:cstheme="minorHAnsi"/>
                <w:color w:val="1E1E1E" w:themeColor="background2"/>
                <w:sz w:val="21"/>
                <w:szCs w:val="21"/>
                <w:lang w:val="en-GB"/>
              </w:rPr>
              <w:t>6</w:t>
            </w:r>
            <w:r w:rsidR="00370741" w:rsidRPr="00AF43A2">
              <w:rPr>
                <w:rFonts w:asciiTheme="minorHAnsi" w:eastAsia="Calibri" w:hAnsiTheme="minorHAnsi" w:cstheme="minorHAnsi"/>
                <w:color w:val="1E1E1E" w:themeColor="background2"/>
                <w:sz w:val="21"/>
                <w:szCs w:val="21"/>
                <w:lang w:val="en-GB"/>
              </w:rPr>
              <w:t>8</w:t>
            </w:r>
            <w:r w:rsidRPr="00AF43A2">
              <w:rPr>
                <w:rFonts w:asciiTheme="minorHAnsi" w:eastAsia="Calibri" w:hAnsiTheme="minorHAnsi" w:cstheme="minorHAnsi"/>
                <w:color w:val="1E1E1E" w:themeColor="background2"/>
                <w:sz w:val="21"/>
                <w:szCs w:val="21"/>
                <w:lang w:val="en-GB"/>
              </w:rPr>
              <w:t xml:space="preserve">% of those who knew their status received sustained ARV therapy; and </w:t>
            </w:r>
            <w:r w:rsidR="00370741" w:rsidRPr="00AF43A2">
              <w:rPr>
                <w:rFonts w:asciiTheme="minorHAnsi" w:eastAsia="Calibri" w:hAnsiTheme="minorHAnsi" w:cstheme="minorHAnsi"/>
                <w:color w:val="1E1E1E" w:themeColor="background2"/>
                <w:sz w:val="21"/>
                <w:szCs w:val="21"/>
                <w:lang w:val="en-GB"/>
              </w:rPr>
              <w:t>78</w:t>
            </w:r>
            <w:r w:rsidRPr="00AF43A2">
              <w:rPr>
                <w:rFonts w:asciiTheme="minorHAnsi" w:eastAsia="Calibri" w:hAnsiTheme="minorHAnsi" w:cstheme="minorHAnsi"/>
                <w:color w:val="1E1E1E" w:themeColor="background2"/>
                <w:sz w:val="21"/>
                <w:szCs w:val="21"/>
                <w:lang w:val="en-GB"/>
              </w:rPr>
              <w:t xml:space="preserve">% had viral suppression. Around 14% of the general population was </w:t>
            </w:r>
            <w:r w:rsidRPr="00AF43A2">
              <w:rPr>
                <w:rFonts w:asciiTheme="minorHAnsi" w:eastAsia="Calibri" w:hAnsiTheme="minorHAnsi" w:cstheme="minorHAnsi"/>
                <w:b/>
                <w:i/>
                <w:color w:val="1E1E1E" w:themeColor="background2"/>
                <w:sz w:val="21"/>
                <w:szCs w:val="21"/>
                <w:lang w:val="en-GB"/>
              </w:rPr>
              <w:t>tested</w:t>
            </w:r>
            <w:r w:rsidRPr="00AF43A2">
              <w:rPr>
                <w:rFonts w:asciiTheme="minorHAnsi" w:eastAsia="Calibri" w:hAnsiTheme="minorHAnsi" w:cstheme="minorHAnsi"/>
                <w:color w:val="1E1E1E" w:themeColor="background2"/>
                <w:sz w:val="21"/>
                <w:szCs w:val="21"/>
                <w:lang w:val="en-GB"/>
              </w:rPr>
              <w:t xml:space="preserve"> for HIV in Kazakhstan in 2019</w:t>
            </w:r>
            <w:r w:rsidR="00EA65A4" w:rsidRPr="00AF43A2">
              <w:rPr>
                <w:rFonts w:asciiTheme="minorHAnsi" w:eastAsia="Calibri" w:hAnsiTheme="minorHAnsi" w:cstheme="minorHAnsi"/>
                <w:color w:val="1E1E1E" w:themeColor="background2"/>
                <w:sz w:val="21"/>
                <w:szCs w:val="21"/>
                <w:lang w:val="en-GB"/>
              </w:rPr>
              <w:t xml:space="preserve">; with </w:t>
            </w:r>
            <w:r w:rsidRPr="00AF43A2">
              <w:rPr>
                <w:rFonts w:asciiTheme="minorHAnsi" w:eastAsia="Calibri" w:hAnsiTheme="minorHAnsi" w:cstheme="minorHAnsi"/>
                <w:color w:val="1E1E1E" w:themeColor="background2"/>
                <w:sz w:val="21"/>
                <w:szCs w:val="21"/>
                <w:lang w:val="en-GB"/>
              </w:rPr>
              <w:t>1.9%</w:t>
            </w:r>
            <w:r w:rsidR="00EA65A4" w:rsidRPr="00AF43A2">
              <w:rPr>
                <w:rFonts w:asciiTheme="minorHAnsi" w:eastAsia="Calibri" w:hAnsiTheme="minorHAnsi" w:cstheme="minorHAnsi"/>
                <w:color w:val="1E1E1E" w:themeColor="background2"/>
                <w:sz w:val="21"/>
                <w:szCs w:val="21"/>
                <w:lang w:val="en-GB"/>
              </w:rPr>
              <w:t xml:space="preserve"> of the total amount of HIV tests done among</w:t>
            </w:r>
            <w:r w:rsidRPr="00AF43A2">
              <w:rPr>
                <w:rFonts w:asciiTheme="minorHAnsi" w:eastAsia="Calibri" w:hAnsiTheme="minorHAnsi" w:cstheme="minorHAnsi"/>
                <w:color w:val="1E1E1E" w:themeColor="background2"/>
                <w:sz w:val="21"/>
                <w:szCs w:val="21"/>
                <w:lang w:val="en-GB"/>
              </w:rPr>
              <w:t xml:space="preserve"> key populations. In 2019, the diagnostic laboratories of </w:t>
            </w:r>
            <w:r w:rsidR="004A6F93" w:rsidRPr="00AF43A2">
              <w:rPr>
                <w:rFonts w:asciiTheme="minorHAnsi" w:eastAsia="Calibri" w:hAnsiTheme="minorHAnsi" w:cstheme="minorHAnsi"/>
                <w:color w:val="1E1E1E" w:themeColor="background2"/>
                <w:sz w:val="21"/>
                <w:szCs w:val="21"/>
                <w:lang w:val="en-GB"/>
              </w:rPr>
              <w:t xml:space="preserve">16 Regional </w:t>
            </w:r>
            <w:r w:rsidRPr="00AF43A2">
              <w:rPr>
                <w:rFonts w:asciiTheme="minorHAnsi" w:eastAsia="Calibri" w:hAnsiTheme="minorHAnsi" w:cstheme="minorHAnsi"/>
                <w:color w:val="1E1E1E" w:themeColor="background2"/>
                <w:sz w:val="21"/>
                <w:szCs w:val="21"/>
                <w:lang w:val="en-GB"/>
              </w:rPr>
              <w:t xml:space="preserve">AIDS </w:t>
            </w:r>
            <w:r w:rsidR="004A6F93" w:rsidRPr="00AF43A2">
              <w:rPr>
                <w:rFonts w:asciiTheme="minorHAnsi" w:eastAsia="Calibri" w:hAnsiTheme="minorHAnsi" w:cstheme="minorHAnsi"/>
                <w:color w:val="1E1E1E" w:themeColor="background2"/>
                <w:sz w:val="21"/>
                <w:szCs w:val="21"/>
                <w:lang w:val="en-GB"/>
              </w:rPr>
              <w:t>C</w:t>
            </w:r>
            <w:r w:rsidRPr="00AF43A2">
              <w:rPr>
                <w:rFonts w:asciiTheme="minorHAnsi" w:eastAsia="Calibri" w:hAnsiTheme="minorHAnsi" w:cstheme="minorHAnsi"/>
                <w:color w:val="1E1E1E" w:themeColor="background2"/>
                <w:sz w:val="21"/>
                <w:szCs w:val="21"/>
                <w:lang w:val="en-GB"/>
              </w:rPr>
              <w:t xml:space="preserve">entres conducted 3,069,199 HIV tests, of which 3,518 people (0.11%) were </w:t>
            </w:r>
            <w:r w:rsidR="00EA65A4" w:rsidRPr="00AF43A2">
              <w:rPr>
                <w:rFonts w:asciiTheme="minorHAnsi" w:eastAsia="Calibri" w:hAnsiTheme="minorHAnsi" w:cstheme="minorHAnsi"/>
                <w:color w:val="1E1E1E" w:themeColor="background2"/>
                <w:sz w:val="21"/>
                <w:szCs w:val="21"/>
                <w:lang w:val="en-GB"/>
              </w:rPr>
              <w:t>confirmed</w:t>
            </w:r>
            <w:r w:rsidRPr="00AF43A2">
              <w:rPr>
                <w:rFonts w:asciiTheme="minorHAnsi" w:eastAsia="Calibri" w:hAnsiTheme="minorHAnsi" w:cstheme="minorHAnsi"/>
                <w:color w:val="1E1E1E" w:themeColor="background2"/>
                <w:sz w:val="21"/>
                <w:szCs w:val="21"/>
                <w:lang w:val="en-GB"/>
              </w:rPr>
              <w:t xml:space="preserve"> HIV</w:t>
            </w:r>
            <w:r w:rsidR="00EA65A4"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positive by immunoblot.</w:t>
            </w:r>
          </w:p>
          <w:p w14:paraId="3D44456E" w14:textId="77777777" w:rsidR="00EF5156" w:rsidRPr="00AF43A2" w:rsidRDefault="00EF5156" w:rsidP="000A0528">
            <w:pPr>
              <w:spacing w:after="0" w:line="240" w:lineRule="auto"/>
              <w:jc w:val="both"/>
              <w:rPr>
                <w:rFonts w:asciiTheme="minorHAnsi" w:eastAsia="Calibri" w:hAnsiTheme="minorHAnsi" w:cstheme="minorHAnsi"/>
                <w:color w:val="FF0000"/>
                <w:sz w:val="8"/>
                <w:szCs w:val="8"/>
                <w:lang w:val="en-GB"/>
              </w:rPr>
            </w:pPr>
          </w:p>
          <w:p w14:paraId="7F28691F" w14:textId="0AABB352" w:rsidR="00EF5156" w:rsidRPr="00AF43A2" w:rsidRDefault="00EF5156" w:rsidP="000A0528">
            <w:pPr>
              <w:spacing w:after="0" w:line="240" w:lineRule="auto"/>
              <w:jc w:val="both"/>
              <w:rPr>
                <w:rFonts w:asciiTheme="minorHAnsi" w:eastAsia="Calibri" w:hAnsiTheme="minorHAnsi" w:cstheme="minorHAnsi"/>
                <w:b/>
                <w:i/>
                <w:color w:val="000000"/>
                <w:sz w:val="21"/>
                <w:szCs w:val="21"/>
                <w:lang w:val="en-GB"/>
              </w:rPr>
            </w:pPr>
            <w:r w:rsidRPr="00AF43A2">
              <w:rPr>
                <w:rFonts w:asciiTheme="minorHAnsi" w:eastAsia="Calibri" w:hAnsiTheme="minorHAnsi" w:cstheme="minorHAnsi"/>
                <w:b/>
                <w:i/>
                <w:color w:val="000000"/>
                <w:sz w:val="21"/>
                <w:szCs w:val="21"/>
                <w:lang w:val="en-GB"/>
              </w:rPr>
              <w:t xml:space="preserve">Eliminate new HIV infections among children </w:t>
            </w:r>
            <w:r w:rsidR="00EA65A4" w:rsidRPr="00AF43A2">
              <w:rPr>
                <w:rFonts w:asciiTheme="minorHAnsi" w:eastAsia="Calibri" w:hAnsiTheme="minorHAnsi" w:cstheme="minorHAnsi"/>
                <w:b/>
                <w:i/>
                <w:color w:val="000000"/>
                <w:sz w:val="21"/>
                <w:szCs w:val="21"/>
                <w:lang w:val="en-GB"/>
              </w:rPr>
              <w:t>and</w:t>
            </w:r>
            <w:r w:rsidRPr="00AF43A2">
              <w:rPr>
                <w:rFonts w:asciiTheme="minorHAnsi" w:eastAsia="Calibri" w:hAnsiTheme="minorHAnsi" w:cstheme="minorHAnsi"/>
                <w:b/>
                <w:i/>
                <w:color w:val="000000"/>
                <w:sz w:val="21"/>
                <w:szCs w:val="21"/>
                <w:lang w:val="en-GB"/>
              </w:rPr>
              <w:t xml:space="preserve"> paediatric HIV treatment – </w:t>
            </w:r>
            <w:r w:rsidRPr="00AF43A2">
              <w:rPr>
                <w:rFonts w:asciiTheme="minorHAnsi" w:eastAsia="Calibri" w:hAnsiTheme="minorHAnsi" w:cstheme="minorHAnsi"/>
                <w:color w:val="000000"/>
                <w:sz w:val="21"/>
                <w:szCs w:val="21"/>
                <w:lang w:val="en-GB"/>
              </w:rPr>
              <w:t xml:space="preserve">In Kazakhstan, health care for women during pregnancy, childbirth and the postnatal period is free of charge. All children born </w:t>
            </w:r>
            <w:r w:rsidR="00EA65A4" w:rsidRPr="00AF43A2">
              <w:rPr>
                <w:rFonts w:asciiTheme="minorHAnsi" w:eastAsia="Calibri" w:hAnsiTheme="minorHAnsi" w:cstheme="minorHAnsi"/>
                <w:color w:val="000000"/>
                <w:sz w:val="21"/>
                <w:szCs w:val="21"/>
                <w:lang w:val="en-GB"/>
              </w:rPr>
              <w:t>to</w:t>
            </w:r>
            <w:r w:rsidRPr="00AF43A2">
              <w:rPr>
                <w:rFonts w:asciiTheme="minorHAnsi" w:eastAsia="Calibri" w:hAnsiTheme="minorHAnsi" w:cstheme="minorHAnsi"/>
                <w:color w:val="000000"/>
                <w:sz w:val="21"/>
                <w:szCs w:val="21"/>
                <w:lang w:val="en-GB"/>
              </w:rPr>
              <w:t xml:space="preserve"> HIV-infected mothers are provided with free infant nutrition up to </w:t>
            </w:r>
            <w:r w:rsidR="00EA65A4" w:rsidRPr="00AF43A2">
              <w:rPr>
                <w:rFonts w:asciiTheme="minorHAnsi" w:eastAsia="Calibri" w:hAnsiTheme="minorHAnsi" w:cstheme="minorHAnsi"/>
                <w:color w:val="000000"/>
                <w:sz w:val="21"/>
                <w:szCs w:val="21"/>
                <w:lang w:val="en-GB"/>
              </w:rPr>
              <w:t>one</w:t>
            </w:r>
            <w:r w:rsidRPr="00AF43A2">
              <w:rPr>
                <w:rFonts w:asciiTheme="minorHAnsi" w:eastAsia="Calibri" w:hAnsiTheme="minorHAnsi" w:cstheme="minorHAnsi"/>
                <w:color w:val="000000"/>
                <w:sz w:val="21"/>
                <w:szCs w:val="21"/>
                <w:lang w:val="en-GB"/>
              </w:rPr>
              <w:t xml:space="preserve"> year</w:t>
            </w:r>
            <w:r w:rsidR="00EA65A4" w:rsidRPr="00AF43A2">
              <w:rPr>
                <w:rFonts w:asciiTheme="minorHAnsi" w:eastAsia="Calibri" w:hAnsiTheme="minorHAnsi" w:cstheme="minorHAnsi"/>
                <w:color w:val="000000"/>
                <w:sz w:val="21"/>
                <w:szCs w:val="21"/>
                <w:lang w:val="en-GB"/>
              </w:rPr>
              <w:t xml:space="preserve"> of age</w:t>
            </w:r>
            <w:r w:rsidRPr="00AF43A2">
              <w:rPr>
                <w:rFonts w:asciiTheme="minorHAnsi" w:eastAsia="Calibri" w:hAnsiTheme="minorHAnsi" w:cstheme="minorHAnsi"/>
                <w:color w:val="000000"/>
                <w:sz w:val="21"/>
                <w:szCs w:val="21"/>
                <w:lang w:val="en-GB"/>
              </w:rPr>
              <w:t>. An electronic register of pregnant women has been created at the national level</w:t>
            </w:r>
            <w:r w:rsidR="00EA65A4"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w:t>
            </w:r>
            <w:r w:rsidR="00EA65A4" w:rsidRPr="00AF43A2">
              <w:rPr>
                <w:rFonts w:asciiTheme="minorHAnsi" w:eastAsia="Calibri" w:hAnsiTheme="minorHAnsi" w:cstheme="minorHAnsi"/>
                <w:color w:val="000000"/>
                <w:sz w:val="21"/>
                <w:szCs w:val="21"/>
                <w:lang w:val="en-GB"/>
              </w:rPr>
              <w:t>which</w:t>
            </w:r>
            <w:r w:rsidRPr="00AF43A2">
              <w:rPr>
                <w:rFonts w:asciiTheme="minorHAnsi" w:eastAsia="Calibri" w:hAnsiTheme="minorHAnsi" w:cstheme="minorHAnsi"/>
                <w:color w:val="000000"/>
                <w:sz w:val="21"/>
                <w:szCs w:val="21"/>
                <w:lang w:val="en-GB"/>
              </w:rPr>
              <w:t xml:space="preserve"> allows track</w:t>
            </w:r>
            <w:r w:rsidR="00EA65A4" w:rsidRPr="00AF43A2">
              <w:rPr>
                <w:rFonts w:asciiTheme="minorHAnsi" w:eastAsia="Calibri" w:hAnsiTheme="minorHAnsi" w:cstheme="minorHAnsi"/>
                <w:color w:val="000000"/>
                <w:sz w:val="21"/>
                <w:szCs w:val="21"/>
                <w:lang w:val="en-GB"/>
              </w:rPr>
              <w:t>ing</w:t>
            </w:r>
            <w:r w:rsidRPr="00AF43A2">
              <w:rPr>
                <w:rFonts w:asciiTheme="minorHAnsi" w:eastAsia="Calibri" w:hAnsiTheme="minorHAnsi" w:cstheme="minorHAnsi"/>
                <w:color w:val="000000"/>
                <w:sz w:val="21"/>
                <w:szCs w:val="21"/>
                <w:lang w:val="en-GB"/>
              </w:rPr>
              <w:t xml:space="preserve"> all data on pregnant women from the </w:t>
            </w:r>
            <w:r w:rsidRPr="00AF43A2">
              <w:rPr>
                <w:rFonts w:asciiTheme="minorHAnsi" w:eastAsia="Calibri" w:hAnsiTheme="minorHAnsi" w:cstheme="minorHAnsi"/>
                <w:color w:val="000000"/>
                <w:sz w:val="21"/>
                <w:szCs w:val="21"/>
                <w:lang w:val="en-GB"/>
              </w:rPr>
              <w:lastRenderedPageBreak/>
              <w:t>moment of registration until the outcome of pregnancy.</w:t>
            </w:r>
            <w:r w:rsidRPr="00AF43A2">
              <w:rPr>
                <w:rFonts w:asciiTheme="minorHAnsi" w:eastAsia="Calibri" w:hAnsiTheme="minorHAnsi" w:cstheme="minorHAnsi"/>
                <w:color w:val="FF0000"/>
                <w:sz w:val="21"/>
                <w:szCs w:val="21"/>
                <w:lang w:val="en-GB"/>
              </w:rPr>
              <w:t xml:space="preserve"> </w:t>
            </w:r>
            <w:r w:rsidRPr="00AF43A2">
              <w:rPr>
                <w:rFonts w:asciiTheme="minorHAnsi" w:eastAsia="Calibri" w:hAnsiTheme="minorHAnsi" w:cstheme="minorHAnsi"/>
                <w:color w:val="000000"/>
                <w:sz w:val="21"/>
                <w:szCs w:val="21"/>
                <w:lang w:val="en-GB"/>
              </w:rPr>
              <w:t xml:space="preserve">A decrease in HIV prevalence has been registered among pregnant women from 2.7 in 2017 to 1.3 and in 2019 and the country submitted a request to WHO for certification of elimination mother-to-child transmission of HIV. </w:t>
            </w:r>
          </w:p>
          <w:p w14:paraId="2A8A5382" w14:textId="77777777" w:rsidR="00665428" w:rsidRPr="00AF43A2" w:rsidRDefault="00EF5156" w:rsidP="000A0528">
            <w:pPr>
              <w:spacing w:after="0" w:line="240" w:lineRule="auto"/>
              <w:ind w:firstLine="284"/>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000000"/>
                <w:sz w:val="21"/>
                <w:szCs w:val="21"/>
                <w:lang w:val="en-GB"/>
              </w:rPr>
              <w:t xml:space="preserve">Kazakhstan has updated its </w:t>
            </w:r>
            <w:r w:rsidRPr="00AF43A2">
              <w:rPr>
                <w:rFonts w:asciiTheme="minorHAnsi" w:eastAsia="Calibri" w:hAnsiTheme="minorHAnsi" w:cstheme="minorHAnsi"/>
                <w:b/>
                <w:i/>
                <w:color w:val="000000"/>
                <w:sz w:val="21"/>
                <w:szCs w:val="21"/>
                <w:lang w:val="en-GB"/>
              </w:rPr>
              <w:t>testing and treatment protocols</w:t>
            </w:r>
            <w:r w:rsidRPr="00AF43A2">
              <w:rPr>
                <w:rFonts w:asciiTheme="minorHAnsi" w:eastAsia="Calibri" w:hAnsiTheme="minorHAnsi" w:cstheme="minorHAnsi"/>
                <w:color w:val="000000"/>
                <w:sz w:val="21"/>
                <w:szCs w:val="21"/>
                <w:lang w:val="en-GB"/>
              </w:rPr>
              <w:t xml:space="preserve"> in 2019</w:t>
            </w:r>
            <w:r w:rsidR="00EA65A4"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aligning them to the latest WHO recommendations. Coverage of ARV preventive treatment for HIV-infected pregnant women in 2019 was 98%, and 99% for </w:t>
            </w:r>
            <w:proofErr w:type="spellStart"/>
            <w:r w:rsidRPr="00AF43A2">
              <w:rPr>
                <w:rFonts w:asciiTheme="minorHAnsi" w:eastAsia="Calibri" w:hAnsiTheme="minorHAnsi" w:cstheme="minorHAnsi"/>
                <w:color w:val="000000"/>
                <w:sz w:val="21"/>
                <w:szCs w:val="21"/>
                <w:lang w:val="en-GB"/>
              </w:rPr>
              <w:t>newborns</w:t>
            </w:r>
            <w:proofErr w:type="spellEnd"/>
            <w:r w:rsidRPr="00AF43A2">
              <w:rPr>
                <w:rFonts w:asciiTheme="minorHAnsi" w:eastAsia="Calibri" w:hAnsiTheme="minorHAnsi" w:cstheme="minorHAnsi"/>
                <w:color w:val="000000"/>
                <w:sz w:val="21"/>
                <w:szCs w:val="21"/>
                <w:lang w:val="en-GB"/>
              </w:rPr>
              <w:t>. The risk of perinatal transmission was 1.3%. In 2019 81,4% of infants born to women living with HIV received a virological test</w:t>
            </w:r>
            <w:r w:rsidR="00EA65A4" w:rsidRPr="00AF43A2">
              <w:rPr>
                <w:rFonts w:asciiTheme="minorHAnsi" w:eastAsia="Calibri" w:hAnsiTheme="minorHAnsi" w:cstheme="minorHAnsi"/>
                <w:color w:val="000000"/>
                <w:sz w:val="21"/>
                <w:szCs w:val="21"/>
                <w:lang w:val="en-GB"/>
              </w:rPr>
              <w:t xml:space="preserve"> (EID)</w:t>
            </w:r>
            <w:r w:rsidRPr="00AF43A2">
              <w:rPr>
                <w:rFonts w:asciiTheme="minorHAnsi" w:eastAsia="Calibri" w:hAnsiTheme="minorHAnsi" w:cstheme="minorHAnsi"/>
                <w:color w:val="000000"/>
                <w:sz w:val="21"/>
                <w:szCs w:val="21"/>
                <w:lang w:val="en-GB"/>
              </w:rPr>
              <w:t xml:space="preserve"> for HIV within two months of birth.</w:t>
            </w:r>
          </w:p>
          <w:p w14:paraId="6BBA54C4" w14:textId="77777777" w:rsidR="00665428" w:rsidRPr="00AF43A2" w:rsidRDefault="00665428" w:rsidP="000A0528">
            <w:pPr>
              <w:spacing w:after="0" w:line="240" w:lineRule="auto"/>
              <w:jc w:val="both"/>
              <w:rPr>
                <w:rFonts w:asciiTheme="minorHAnsi" w:eastAsia="Calibri" w:hAnsiTheme="minorHAnsi" w:cstheme="minorHAnsi"/>
                <w:color w:val="000000"/>
                <w:sz w:val="8"/>
                <w:szCs w:val="8"/>
                <w:lang w:val="en-GB"/>
              </w:rPr>
            </w:pPr>
          </w:p>
          <w:p w14:paraId="1F7EFBC3" w14:textId="7AFAA2C2" w:rsidR="00EF5156" w:rsidRPr="00AF43A2" w:rsidRDefault="00EF5156" w:rsidP="000A0528">
            <w:pPr>
              <w:spacing w:after="0" w:line="240" w:lineRule="auto"/>
              <w:jc w:val="both"/>
              <w:rPr>
                <w:rFonts w:asciiTheme="minorHAnsi" w:eastAsia="Calibri" w:hAnsiTheme="minorHAnsi" w:cstheme="minorHAnsi"/>
                <w:b/>
                <w:color w:val="000000"/>
                <w:sz w:val="21"/>
                <w:szCs w:val="21"/>
                <w:lang w:val="en-GB"/>
              </w:rPr>
            </w:pPr>
            <w:r w:rsidRPr="00AF43A2">
              <w:rPr>
                <w:rFonts w:asciiTheme="minorHAnsi" w:eastAsia="Calibri" w:hAnsiTheme="minorHAnsi" w:cstheme="minorHAnsi"/>
                <w:b/>
                <w:i/>
                <w:color w:val="000000"/>
                <w:sz w:val="21"/>
                <w:szCs w:val="21"/>
                <w:lang w:val="en-GB"/>
              </w:rPr>
              <w:t>Combination HIV prevention</w:t>
            </w:r>
            <w:r w:rsidRPr="00AF43A2">
              <w:rPr>
                <w:rFonts w:asciiTheme="minorHAnsi" w:eastAsia="Calibri" w:hAnsiTheme="minorHAnsi" w:cstheme="minorHAnsi"/>
                <w:b/>
                <w:color w:val="000000"/>
                <w:sz w:val="21"/>
                <w:szCs w:val="21"/>
                <w:lang w:val="en-GB"/>
              </w:rPr>
              <w:t xml:space="preserve"> – </w:t>
            </w:r>
            <w:r w:rsidRPr="00AF43A2">
              <w:rPr>
                <w:rFonts w:asciiTheme="minorHAnsi" w:eastAsia="Calibri" w:hAnsiTheme="minorHAnsi" w:cstheme="minorHAnsi"/>
                <w:color w:val="000000"/>
                <w:sz w:val="21"/>
                <w:szCs w:val="21"/>
                <w:lang w:val="en-GB"/>
              </w:rPr>
              <w:t xml:space="preserve">The best illustration of combination prevention in HIV is </w:t>
            </w:r>
            <w:r w:rsidR="00665428" w:rsidRPr="00AF43A2">
              <w:rPr>
                <w:rFonts w:asciiTheme="minorHAnsi" w:eastAsia="Calibri" w:hAnsiTheme="minorHAnsi" w:cstheme="minorHAnsi"/>
                <w:color w:val="000000"/>
                <w:sz w:val="21"/>
                <w:szCs w:val="21"/>
                <w:lang w:val="en-GB"/>
              </w:rPr>
              <w:t>seen</w:t>
            </w:r>
            <w:r w:rsidRPr="00AF43A2">
              <w:rPr>
                <w:rFonts w:asciiTheme="minorHAnsi" w:eastAsia="Calibri" w:hAnsiTheme="minorHAnsi" w:cstheme="minorHAnsi"/>
                <w:color w:val="000000"/>
                <w:sz w:val="21"/>
                <w:szCs w:val="21"/>
                <w:lang w:val="en-GB"/>
              </w:rPr>
              <w:t xml:space="preserve"> in </w:t>
            </w:r>
            <w:r w:rsidR="00665428" w:rsidRPr="00AF43A2">
              <w:rPr>
                <w:rFonts w:asciiTheme="minorHAnsi" w:eastAsia="Calibri" w:hAnsiTheme="minorHAnsi" w:cstheme="minorHAnsi"/>
                <w:color w:val="000000"/>
                <w:sz w:val="21"/>
                <w:szCs w:val="21"/>
                <w:lang w:val="en-GB"/>
              </w:rPr>
              <w:t xml:space="preserve">prevention </w:t>
            </w:r>
            <w:r w:rsidRPr="00AF43A2">
              <w:rPr>
                <w:rFonts w:asciiTheme="minorHAnsi" w:eastAsia="Calibri" w:hAnsiTheme="minorHAnsi" w:cstheme="minorHAnsi"/>
                <w:color w:val="000000"/>
                <w:sz w:val="21"/>
                <w:szCs w:val="21"/>
                <w:lang w:val="en-GB"/>
              </w:rPr>
              <w:t>programme</w:t>
            </w:r>
            <w:r w:rsidR="00665428" w:rsidRPr="00AF43A2">
              <w:rPr>
                <w:rFonts w:asciiTheme="minorHAnsi" w:eastAsia="Calibri" w:hAnsiTheme="minorHAnsi" w:cstheme="minorHAnsi"/>
                <w:color w:val="000000"/>
                <w:sz w:val="21"/>
                <w:szCs w:val="21"/>
                <w:lang w:val="en-GB"/>
              </w:rPr>
              <w:t>s</w:t>
            </w:r>
            <w:r w:rsidRPr="00AF43A2">
              <w:rPr>
                <w:rFonts w:asciiTheme="minorHAnsi" w:eastAsia="Calibri" w:hAnsiTheme="minorHAnsi" w:cstheme="minorHAnsi"/>
                <w:color w:val="000000"/>
                <w:sz w:val="21"/>
                <w:szCs w:val="21"/>
                <w:lang w:val="en-GB"/>
              </w:rPr>
              <w:t xml:space="preserve"> for key populations (KPs). In this </w:t>
            </w:r>
            <w:r w:rsidR="00665428" w:rsidRPr="00AF43A2">
              <w:rPr>
                <w:rFonts w:asciiTheme="minorHAnsi" w:eastAsia="Calibri" w:hAnsiTheme="minorHAnsi" w:cstheme="minorHAnsi"/>
                <w:color w:val="000000"/>
                <w:sz w:val="21"/>
                <w:szCs w:val="21"/>
                <w:lang w:val="en-GB"/>
              </w:rPr>
              <w:t>regard,</w:t>
            </w:r>
            <w:r w:rsidRPr="00AF43A2">
              <w:rPr>
                <w:rFonts w:asciiTheme="minorHAnsi" w:eastAsia="Calibri" w:hAnsiTheme="minorHAnsi" w:cstheme="minorHAnsi"/>
                <w:color w:val="000000"/>
                <w:sz w:val="21"/>
                <w:szCs w:val="21"/>
                <w:lang w:val="en-GB"/>
              </w:rPr>
              <w:t xml:space="preserve"> the MOH, with support from NGOs, has developed and is currently funding projects for PWID, sex workers, PLHIV and to </w:t>
            </w:r>
            <w:r w:rsidR="00665428" w:rsidRPr="00AF43A2">
              <w:rPr>
                <w:rFonts w:asciiTheme="minorHAnsi" w:eastAsia="Calibri" w:hAnsiTheme="minorHAnsi" w:cstheme="minorHAnsi"/>
                <w:color w:val="000000"/>
                <w:sz w:val="21"/>
                <w:szCs w:val="21"/>
                <w:lang w:val="en-GB"/>
              </w:rPr>
              <w:t>a lesser</w:t>
            </w:r>
            <w:r w:rsidRPr="00AF43A2">
              <w:rPr>
                <w:rFonts w:asciiTheme="minorHAnsi" w:eastAsia="Calibri" w:hAnsiTheme="minorHAnsi" w:cstheme="minorHAnsi"/>
                <w:color w:val="000000"/>
                <w:sz w:val="21"/>
                <w:szCs w:val="21"/>
                <w:lang w:val="en-GB"/>
              </w:rPr>
              <w:t xml:space="preserve"> extent</w:t>
            </w:r>
            <w:r w:rsidR="00665428" w:rsidRPr="00AF43A2">
              <w:rPr>
                <w:rFonts w:asciiTheme="minorHAnsi" w:eastAsia="Calibri" w:hAnsiTheme="minorHAnsi" w:cstheme="minorHAnsi"/>
                <w:color w:val="000000"/>
                <w:sz w:val="21"/>
                <w:szCs w:val="21"/>
                <w:lang w:val="en-GB"/>
              </w:rPr>
              <w:t xml:space="preserve"> for</w:t>
            </w:r>
            <w:r w:rsidRPr="00AF43A2">
              <w:rPr>
                <w:rFonts w:asciiTheme="minorHAnsi" w:eastAsia="Calibri" w:hAnsiTheme="minorHAnsi" w:cstheme="minorHAnsi"/>
                <w:color w:val="000000"/>
                <w:sz w:val="21"/>
                <w:szCs w:val="21"/>
                <w:lang w:val="en-GB"/>
              </w:rPr>
              <w:t xml:space="preserve"> MSM. Service packages have been developed to standardise services across the country and SOPs for outreach workers have been put in place. As such, Kazakhstan has followed WHO, UNODC, UNAIDS and UNFPA recommendations </w:t>
            </w:r>
            <w:r w:rsidR="00665428" w:rsidRPr="00AF43A2">
              <w:rPr>
                <w:rFonts w:asciiTheme="minorHAnsi" w:eastAsia="Calibri" w:hAnsiTheme="minorHAnsi" w:cstheme="minorHAnsi"/>
                <w:color w:val="000000"/>
                <w:sz w:val="21"/>
                <w:szCs w:val="21"/>
                <w:lang w:val="en-GB"/>
              </w:rPr>
              <w:t>as the basis for</w:t>
            </w:r>
            <w:r w:rsidRPr="00AF43A2">
              <w:rPr>
                <w:rFonts w:asciiTheme="minorHAnsi" w:eastAsia="Calibri" w:hAnsiTheme="minorHAnsi" w:cstheme="minorHAnsi"/>
                <w:color w:val="000000"/>
                <w:sz w:val="21"/>
                <w:szCs w:val="21"/>
                <w:lang w:val="en-GB"/>
              </w:rPr>
              <w:t xml:space="preserve"> national standards. </w:t>
            </w:r>
          </w:p>
          <w:p w14:paraId="658D3563" w14:textId="77777777" w:rsidR="00EF5156" w:rsidRPr="00AF43A2" w:rsidRDefault="00EF5156" w:rsidP="000A0528">
            <w:pPr>
              <w:spacing w:after="0" w:line="240" w:lineRule="auto"/>
              <w:ind w:firstLine="284"/>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000000"/>
                <w:sz w:val="21"/>
                <w:szCs w:val="21"/>
                <w:lang w:val="en-GB"/>
              </w:rPr>
              <w:t xml:space="preserve">In 2019, Kazakhstan developed standards for assistance for KPs with HIV and STI testing, treatment of STIs and counselling at a single window. These services are currently being covered by the Compulsory Social Health Insurance (CSHI) fund.  </w:t>
            </w:r>
          </w:p>
          <w:p w14:paraId="75461717" w14:textId="73F5B70A" w:rsidR="00EF5156" w:rsidRPr="00AF43A2" w:rsidRDefault="00EF5156" w:rsidP="000A0528">
            <w:pPr>
              <w:spacing w:after="0" w:line="240" w:lineRule="auto"/>
              <w:ind w:firstLine="284"/>
              <w:jc w:val="both"/>
              <w:rPr>
                <w:rFonts w:asciiTheme="minorHAnsi" w:eastAsia="Calibri" w:hAnsiTheme="minorHAnsi" w:cstheme="minorHAnsi"/>
                <w:color w:val="FF0000"/>
                <w:sz w:val="8"/>
                <w:szCs w:val="8"/>
                <w:lang w:val="en-GB"/>
              </w:rPr>
            </w:pPr>
            <w:proofErr w:type="spellStart"/>
            <w:r w:rsidRPr="00AF43A2">
              <w:rPr>
                <w:rFonts w:asciiTheme="minorHAnsi" w:eastAsia="Calibri" w:hAnsiTheme="minorHAnsi" w:cstheme="minorHAnsi"/>
                <w:i/>
                <w:color w:val="000000"/>
                <w:sz w:val="21"/>
                <w:szCs w:val="21"/>
                <w:lang w:val="en-GB"/>
              </w:rPr>
              <w:t>AmanBol</w:t>
            </w:r>
            <w:proofErr w:type="spellEnd"/>
            <w:r w:rsidRPr="00AF43A2">
              <w:rPr>
                <w:rFonts w:asciiTheme="minorHAnsi" w:eastAsia="Calibri" w:hAnsiTheme="minorHAnsi" w:cstheme="minorHAnsi"/>
                <w:i/>
                <w:color w:val="000000"/>
                <w:sz w:val="21"/>
                <w:szCs w:val="21"/>
                <w:lang w:val="en-GB"/>
              </w:rPr>
              <w:t xml:space="preserve"> </w:t>
            </w:r>
            <w:r w:rsidRPr="00AF43A2">
              <w:rPr>
                <w:rFonts w:asciiTheme="minorHAnsi" w:eastAsia="Calibri" w:hAnsiTheme="minorHAnsi" w:cstheme="minorHAnsi"/>
                <w:color w:val="000000"/>
                <w:sz w:val="21"/>
                <w:szCs w:val="21"/>
                <w:lang w:val="en-GB"/>
              </w:rPr>
              <w:t xml:space="preserve">is the first </w:t>
            </w:r>
            <w:r w:rsidRPr="00AF43A2">
              <w:rPr>
                <w:rFonts w:asciiTheme="minorHAnsi" w:eastAsia="Calibri" w:hAnsiTheme="minorHAnsi" w:cstheme="minorHAnsi"/>
                <w:b/>
                <w:i/>
                <w:color w:val="000000"/>
                <w:sz w:val="21"/>
                <w:szCs w:val="21"/>
                <w:lang w:val="en-GB"/>
              </w:rPr>
              <w:t>HIV self-testing</w:t>
            </w:r>
            <w:r w:rsidRPr="00AF43A2">
              <w:rPr>
                <w:rFonts w:asciiTheme="minorHAnsi" w:eastAsia="Calibri" w:hAnsiTheme="minorHAnsi" w:cstheme="minorHAnsi"/>
                <w:color w:val="000000"/>
                <w:sz w:val="21"/>
                <w:szCs w:val="21"/>
                <w:lang w:val="en-GB"/>
              </w:rPr>
              <w:t xml:space="preserve"> (HIVST) programme in the region, dedicated to providing inclusive service for </w:t>
            </w:r>
            <w:r w:rsidR="00665428" w:rsidRPr="00AF43A2">
              <w:rPr>
                <w:rFonts w:asciiTheme="minorHAnsi" w:eastAsia="Calibri" w:hAnsiTheme="minorHAnsi" w:cstheme="minorHAnsi"/>
                <w:color w:val="000000"/>
                <w:sz w:val="21"/>
                <w:szCs w:val="21"/>
                <w:lang w:val="en-GB"/>
              </w:rPr>
              <w:t>MSM</w:t>
            </w:r>
            <w:r w:rsidRPr="00AF43A2">
              <w:rPr>
                <w:rFonts w:asciiTheme="minorHAnsi" w:eastAsia="Calibri" w:hAnsiTheme="minorHAnsi" w:cstheme="minorHAnsi"/>
                <w:color w:val="000000"/>
                <w:sz w:val="21"/>
                <w:szCs w:val="21"/>
                <w:lang w:val="en-GB"/>
              </w:rPr>
              <w:t xml:space="preserve"> and transgender</w:t>
            </w:r>
            <w:r w:rsidR="00665428" w:rsidRPr="00AF43A2">
              <w:rPr>
                <w:rFonts w:asciiTheme="minorHAnsi" w:eastAsia="Calibri" w:hAnsiTheme="minorHAnsi" w:cstheme="minorHAnsi"/>
                <w:color w:val="000000"/>
                <w:sz w:val="21"/>
                <w:szCs w:val="21"/>
                <w:lang w:val="en-GB"/>
              </w:rPr>
              <w:t xml:space="preserve"> (TG)</w:t>
            </w:r>
            <w:r w:rsidRPr="00AF43A2">
              <w:rPr>
                <w:rFonts w:asciiTheme="minorHAnsi" w:eastAsia="Calibri" w:hAnsiTheme="minorHAnsi" w:cstheme="minorHAnsi"/>
                <w:color w:val="000000"/>
                <w:sz w:val="21"/>
                <w:szCs w:val="21"/>
                <w:lang w:val="en-GB"/>
              </w:rPr>
              <w:t xml:space="preserve"> people.</w:t>
            </w:r>
          </w:p>
          <w:p w14:paraId="44D79EA7" w14:textId="77777777" w:rsidR="00EF5156" w:rsidRPr="00AF43A2" w:rsidRDefault="00EF5156" w:rsidP="000A0528">
            <w:pPr>
              <w:spacing w:after="0" w:line="240" w:lineRule="auto"/>
              <w:jc w:val="both"/>
              <w:rPr>
                <w:rFonts w:asciiTheme="minorHAnsi" w:eastAsia="Calibri" w:hAnsiTheme="minorHAnsi" w:cstheme="minorHAnsi"/>
                <w:color w:val="FF0000"/>
                <w:sz w:val="8"/>
                <w:szCs w:val="8"/>
                <w:lang w:val="en-GB"/>
              </w:rPr>
            </w:pPr>
          </w:p>
          <w:p w14:paraId="5D4ED6B0" w14:textId="620CFBC9" w:rsidR="00AB6B00" w:rsidRPr="00AB6B00" w:rsidRDefault="00EF5156" w:rsidP="00AB6B00">
            <w:pPr>
              <w:spacing w:after="0" w:line="240" w:lineRule="auto"/>
              <w:jc w:val="both"/>
              <w:rPr>
                <w:rFonts w:asciiTheme="minorHAnsi" w:eastAsia="Calibri" w:hAnsiTheme="minorHAnsi" w:cstheme="minorHAnsi"/>
                <w:i/>
                <w:color w:val="1E1E1E" w:themeColor="background2"/>
                <w:sz w:val="21"/>
                <w:szCs w:val="21"/>
                <w:lang w:val="en-GB"/>
              </w:rPr>
            </w:pPr>
            <w:r w:rsidRPr="00AF43A2">
              <w:rPr>
                <w:rFonts w:asciiTheme="minorHAnsi" w:eastAsia="Calibri" w:hAnsiTheme="minorHAnsi" w:cstheme="minorHAnsi"/>
                <w:b/>
                <w:color w:val="000000"/>
                <w:sz w:val="21"/>
                <w:szCs w:val="21"/>
                <w:lang w:val="en-GB"/>
              </w:rPr>
              <w:t>Eliminat</w:t>
            </w:r>
            <w:r w:rsidR="00665428" w:rsidRPr="00AF43A2">
              <w:rPr>
                <w:rFonts w:asciiTheme="minorHAnsi" w:eastAsia="Calibri" w:hAnsiTheme="minorHAnsi" w:cstheme="minorHAnsi"/>
                <w:b/>
                <w:color w:val="000000"/>
                <w:sz w:val="21"/>
                <w:szCs w:val="21"/>
                <w:lang w:val="en-GB"/>
              </w:rPr>
              <w:t>ing</w:t>
            </w:r>
            <w:r w:rsidRPr="00AF43A2">
              <w:rPr>
                <w:rFonts w:asciiTheme="minorHAnsi" w:eastAsia="Calibri" w:hAnsiTheme="minorHAnsi" w:cstheme="minorHAnsi"/>
                <w:b/>
                <w:color w:val="000000"/>
                <w:sz w:val="21"/>
                <w:szCs w:val="21"/>
                <w:lang w:val="en-GB"/>
              </w:rPr>
              <w:t xml:space="preserve"> gender inequalities and violence – </w:t>
            </w:r>
            <w:r w:rsidRPr="00AF43A2">
              <w:rPr>
                <w:rFonts w:asciiTheme="minorHAnsi" w:eastAsia="Calibri" w:hAnsiTheme="minorHAnsi" w:cstheme="minorHAnsi"/>
                <w:color w:val="000000"/>
                <w:sz w:val="21"/>
                <w:szCs w:val="21"/>
                <w:lang w:val="en-GB"/>
              </w:rPr>
              <w:t>In 2019, HIV incidence in men 15-49 was higher with 0.45 per 1000 uninfected, compared to 0.22 in women in the same age group. However</w:t>
            </w:r>
            <w:r w:rsidR="004A6F93"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in the group of 15-24 the incidence of women </w:t>
            </w:r>
            <w:r w:rsidRPr="00AF43A2">
              <w:rPr>
                <w:rFonts w:asciiTheme="minorHAnsi" w:eastAsia="Calibri" w:hAnsiTheme="minorHAnsi" w:cstheme="minorHAnsi"/>
                <w:color w:val="1E1E1E" w:themeColor="background2"/>
                <w:sz w:val="21"/>
                <w:szCs w:val="21"/>
                <w:lang w:val="en-GB"/>
              </w:rPr>
              <w:t xml:space="preserve">was higher with 0.13 per 1000 uninfected compared to men in the same age group 0.09 per 1000 </w:t>
            </w:r>
            <w:r w:rsidRPr="00425E08">
              <w:rPr>
                <w:rFonts w:asciiTheme="minorHAnsi" w:eastAsia="Calibri" w:hAnsiTheme="minorHAnsi" w:cstheme="minorHAnsi"/>
                <w:color w:val="1E1E1E" w:themeColor="background2"/>
                <w:sz w:val="21"/>
                <w:szCs w:val="21"/>
                <w:lang w:val="en-GB"/>
              </w:rPr>
              <w:t>uninfected</w:t>
            </w:r>
            <w:r w:rsidR="00AB6B00">
              <w:rPr>
                <w:rFonts w:asciiTheme="minorHAnsi" w:eastAsia="Calibri" w:hAnsiTheme="minorHAnsi" w:cstheme="minorHAnsi"/>
                <w:color w:val="1E1E1E" w:themeColor="background2"/>
                <w:sz w:val="21"/>
                <w:szCs w:val="21"/>
                <w:lang w:val="en-GB"/>
              </w:rPr>
              <w:t xml:space="preserve">. </w:t>
            </w:r>
            <w:r w:rsidR="00AB6B00" w:rsidRPr="00AB6B00">
              <w:rPr>
                <w:rFonts w:asciiTheme="minorHAnsi" w:eastAsia="Calibri" w:hAnsiTheme="minorHAnsi" w:cstheme="minorHAnsi"/>
                <w:color w:val="1E1E1E" w:themeColor="background2"/>
                <w:sz w:val="21"/>
                <w:szCs w:val="21"/>
                <w:lang w:val="en-GB"/>
              </w:rPr>
              <w:t>In 2019, the proportion of men was 65.5% (2018 - 62%), women 34.5% (2018 - 38%)</w:t>
            </w:r>
            <w:r w:rsidR="00DA738C">
              <w:rPr>
                <w:rFonts w:asciiTheme="minorHAnsi" w:eastAsia="Calibri" w:hAnsiTheme="minorHAnsi" w:cstheme="minorHAnsi"/>
                <w:color w:val="1E1E1E" w:themeColor="background2"/>
                <w:sz w:val="21"/>
                <w:szCs w:val="21"/>
                <w:lang w:val="en-GB"/>
              </w:rPr>
              <w:t>;</w:t>
            </w:r>
            <w:r w:rsidR="00AB6B00" w:rsidRPr="00AB6B00">
              <w:rPr>
                <w:rFonts w:asciiTheme="minorHAnsi" w:eastAsia="Calibri" w:hAnsiTheme="minorHAnsi" w:cstheme="minorHAnsi"/>
                <w:color w:val="1E1E1E" w:themeColor="background2"/>
                <w:sz w:val="21"/>
                <w:szCs w:val="21"/>
                <w:lang w:val="en-GB"/>
              </w:rPr>
              <w:t xml:space="preserve"> the ratio of men </w:t>
            </w:r>
            <w:r w:rsidR="00DA738C">
              <w:rPr>
                <w:rFonts w:asciiTheme="minorHAnsi" w:eastAsia="Calibri" w:hAnsiTheme="minorHAnsi" w:cstheme="minorHAnsi"/>
                <w:color w:val="1E1E1E" w:themeColor="background2"/>
                <w:sz w:val="21"/>
                <w:szCs w:val="21"/>
                <w:lang w:val="en-GB"/>
              </w:rPr>
              <w:t xml:space="preserve">to </w:t>
            </w:r>
            <w:r w:rsidR="00AB6B00" w:rsidRPr="00AB6B00">
              <w:rPr>
                <w:rFonts w:asciiTheme="minorHAnsi" w:eastAsia="Calibri" w:hAnsiTheme="minorHAnsi" w:cstheme="minorHAnsi"/>
                <w:color w:val="1E1E1E" w:themeColor="background2"/>
                <w:sz w:val="21"/>
                <w:szCs w:val="21"/>
                <w:lang w:val="en-GB"/>
              </w:rPr>
              <w:t>women is 1.9 to 1</w:t>
            </w:r>
            <w:r w:rsidR="00DA738C">
              <w:rPr>
                <w:rFonts w:asciiTheme="minorHAnsi" w:eastAsia="Calibri" w:hAnsiTheme="minorHAnsi" w:cstheme="minorHAnsi"/>
                <w:color w:val="1E1E1E" w:themeColor="background2"/>
                <w:sz w:val="21"/>
                <w:szCs w:val="21"/>
                <w:lang w:val="en-GB"/>
              </w:rPr>
              <w:t xml:space="preserve"> </w:t>
            </w:r>
            <w:r w:rsidR="00DA738C" w:rsidRPr="00DA738C">
              <w:rPr>
                <w:rFonts w:asciiTheme="minorHAnsi" w:eastAsia="Calibri" w:hAnsiTheme="minorHAnsi" w:cstheme="minorHAnsi"/>
                <w:i/>
                <w:color w:val="1E1E1E" w:themeColor="background2"/>
                <w:sz w:val="21"/>
                <w:szCs w:val="21"/>
                <w:lang w:val="en-GB"/>
              </w:rPr>
              <w:t>(see Annex 14, p.1)</w:t>
            </w:r>
            <w:r w:rsidR="00AB6B00" w:rsidRPr="00DA738C">
              <w:rPr>
                <w:rFonts w:asciiTheme="minorHAnsi" w:eastAsia="Calibri" w:hAnsiTheme="minorHAnsi" w:cstheme="minorHAnsi"/>
                <w:i/>
                <w:color w:val="1E1E1E" w:themeColor="background2"/>
                <w:sz w:val="21"/>
                <w:szCs w:val="21"/>
                <w:lang w:val="en-GB"/>
              </w:rPr>
              <w:t>.</w:t>
            </w:r>
          </w:p>
          <w:p w14:paraId="4D63092F" w14:textId="7AC2C335" w:rsidR="00EF5156" w:rsidRPr="00AF43A2" w:rsidRDefault="00EF5156" w:rsidP="000A0528">
            <w:pPr>
              <w:spacing w:after="0" w:line="240" w:lineRule="auto"/>
              <w:ind w:firstLine="284"/>
              <w:jc w:val="both"/>
              <w:rPr>
                <w:rFonts w:asciiTheme="minorHAnsi" w:eastAsia="Calibri" w:hAnsiTheme="minorHAnsi" w:cstheme="minorHAnsi"/>
                <w:color w:val="FF0000"/>
                <w:sz w:val="21"/>
                <w:szCs w:val="21"/>
                <w:lang w:val="en-GB"/>
              </w:rPr>
            </w:pPr>
            <w:r w:rsidRPr="00AF43A2">
              <w:rPr>
                <w:rFonts w:asciiTheme="minorHAnsi" w:eastAsia="Calibri" w:hAnsiTheme="minorHAnsi" w:cstheme="minorHAnsi"/>
                <w:color w:val="000000"/>
                <w:sz w:val="21"/>
                <w:szCs w:val="21"/>
                <w:lang w:val="en-GB"/>
              </w:rPr>
              <w:t xml:space="preserve">Kazakhstan has made significant progress in establishing the institutional framework for gender equality. Since 1995, the National Commission for Women's Affairs and Family and Demographic Policy has been operating as an advisory body under the President of the Republic of Kazakhstan. In order to address pressing gender issues, measures are being taken to increase women's participation in the economy through equal access to the labour market, financial and other resources. Kazakhstan maintains a steady level of employment for women. Women make up 49% of the total labour force. Women's participation in small and medium-sized businesses (SMEs) has increased significantly over the past five years. Among the registered active entrepreneurs, 43.2% are women (as of 1 January 2019). </w:t>
            </w:r>
          </w:p>
          <w:p w14:paraId="6B64329A" w14:textId="6D93E9C2" w:rsidR="00EF5156" w:rsidRPr="00AF43A2" w:rsidRDefault="00EF5156" w:rsidP="000A0528">
            <w:pPr>
              <w:spacing w:after="0" w:line="240" w:lineRule="auto"/>
              <w:ind w:firstLine="284"/>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000000"/>
                <w:sz w:val="21"/>
                <w:szCs w:val="21"/>
                <w:lang w:val="en-GB"/>
              </w:rPr>
              <w:t xml:space="preserve">A survey on the prevalence of </w:t>
            </w:r>
            <w:r w:rsidRPr="00AF43A2">
              <w:rPr>
                <w:rFonts w:asciiTheme="minorHAnsi" w:eastAsia="Calibri" w:hAnsiTheme="minorHAnsi" w:cstheme="minorHAnsi"/>
                <w:b/>
                <w:i/>
                <w:color w:val="1E1E1E" w:themeColor="background2"/>
                <w:sz w:val="21"/>
                <w:szCs w:val="21"/>
                <w:lang w:val="en-GB"/>
              </w:rPr>
              <w:t>violence against women</w:t>
            </w:r>
            <w:r w:rsidRPr="00AF43A2">
              <w:rPr>
                <w:rFonts w:asciiTheme="minorHAnsi" w:eastAsia="Calibri" w:hAnsiTheme="minorHAnsi" w:cstheme="minorHAnsi"/>
                <w:color w:val="1E1E1E" w:themeColor="background2"/>
                <w:sz w:val="21"/>
                <w:szCs w:val="21"/>
                <w:lang w:val="en-GB"/>
              </w:rPr>
              <w:t xml:space="preserve"> was conducted in Kazakhstan</w:t>
            </w:r>
            <w:r w:rsidR="006874CA" w:rsidRPr="00AF43A2">
              <w:rPr>
                <w:rFonts w:asciiTheme="minorHAnsi" w:eastAsia="Calibri" w:hAnsiTheme="minorHAnsi" w:cstheme="minorHAnsi"/>
                <w:color w:val="1E1E1E" w:themeColor="background2"/>
                <w:sz w:val="21"/>
                <w:szCs w:val="21"/>
                <w:lang w:val="en-GB"/>
              </w:rPr>
              <w:t xml:space="preserve"> in 2018</w:t>
            </w:r>
            <w:r w:rsidRPr="00AF43A2">
              <w:rPr>
                <w:rFonts w:asciiTheme="minorHAnsi" w:eastAsia="Calibri" w:hAnsiTheme="minorHAnsi" w:cstheme="minorHAnsi"/>
                <w:color w:val="1E1E1E" w:themeColor="background2"/>
                <w:sz w:val="21"/>
                <w:szCs w:val="21"/>
                <w:lang w:val="en-GB"/>
              </w:rPr>
              <w:t xml:space="preserve">. The survey, the first in Central Asia, found a high rate of domestic violence in Kazakhstan, with 17% of ever-partnered women aged 18-75 </w:t>
            </w:r>
            <w:r w:rsidR="00665428" w:rsidRPr="00AF43A2">
              <w:rPr>
                <w:rFonts w:asciiTheme="minorHAnsi" w:eastAsia="Calibri" w:hAnsiTheme="minorHAnsi" w:cstheme="minorHAnsi"/>
                <w:color w:val="1E1E1E" w:themeColor="background2"/>
                <w:sz w:val="21"/>
                <w:szCs w:val="21"/>
                <w:lang w:val="en-GB"/>
              </w:rPr>
              <w:t>reporting</w:t>
            </w:r>
            <w:r w:rsidRPr="00AF43A2">
              <w:rPr>
                <w:rFonts w:asciiTheme="minorHAnsi" w:eastAsia="Calibri" w:hAnsiTheme="minorHAnsi" w:cstheme="minorHAnsi"/>
                <w:color w:val="1E1E1E" w:themeColor="background2"/>
                <w:sz w:val="21"/>
                <w:szCs w:val="21"/>
                <w:lang w:val="en-GB"/>
              </w:rPr>
              <w:t xml:space="preserve"> </w:t>
            </w:r>
            <w:r w:rsidR="00665428" w:rsidRPr="00AF43A2">
              <w:rPr>
                <w:rFonts w:asciiTheme="minorHAnsi" w:eastAsia="Calibri" w:hAnsiTheme="minorHAnsi" w:cstheme="minorHAnsi"/>
                <w:color w:val="1E1E1E" w:themeColor="background2"/>
                <w:sz w:val="21"/>
                <w:szCs w:val="21"/>
                <w:lang w:val="en-GB"/>
              </w:rPr>
              <w:t>experiencing</w:t>
            </w:r>
            <w:r w:rsidRPr="00AF43A2">
              <w:rPr>
                <w:rFonts w:asciiTheme="minorHAnsi" w:eastAsia="Calibri" w:hAnsiTheme="minorHAnsi" w:cstheme="minorHAnsi"/>
                <w:color w:val="1E1E1E" w:themeColor="background2"/>
                <w:sz w:val="21"/>
                <w:szCs w:val="21"/>
                <w:lang w:val="en-GB"/>
              </w:rPr>
              <w:t xml:space="preserve"> physical or sexual partner violence and 21% psychological abuse </w:t>
            </w:r>
            <w:r w:rsidR="0049321C" w:rsidRPr="00AF43A2">
              <w:rPr>
                <w:rFonts w:asciiTheme="minorHAnsi" w:eastAsia="Calibri" w:hAnsiTheme="minorHAnsi" w:cstheme="minorHAnsi"/>
                <w:i/>
                <w:color w:val="1E1E1E" w:themeColor="background2"/>
                <w:sz w:val="21"/>
                <w:szCs w:val="21"/>
                <w:lang w:val="en-GB"/>
              </w:rPr>
              <w:t>(</w:t>
            </w:r>
            <w:r w:rsidR="00425E08" w:rsidRPr="00425E08">
              <w:rPr>
                <w:rFonts w:asciiTheme="minorHAnsi" w:eastAsia="Calibri" w:hAnsiTheme="minorHAnsi" w:cstheme="minorHAnsi"/>
                <w:i/>
                <w:color w:val="1E1E1E" w:themeColor="background2"/>
                <w:sz w:val="21"/>
                <w:szCs w:val="21"/>
                <w:lang w:val="en-GB"/>
              </w:rPr>
              <w:t xml:space="preserve">see Annex </w:t>
            </w:r>
            <w:r w:rsidR="00425E08">
              <w:rPr>
                <w:rFonts w:asciiTheme="minorHAnsi" w:eastAsia="Calibri" w:hAnsiTheme="minorHAnsi" w:cstheme="minorHAnsi"/>
                <w:i/>
                <w:color w:val="1E1E1E" w:themeColor="background2"/>
                <w:sz w:val="21"/>
                <w:szCs w:val="21"/>
                <w:lang w:val="en-GB"/>
              </w:rPr>
              <w:t>7</w:t>
            </w:r>
            <w:r w:rsidR="00425E08" w:rsidRPr="00425E08">
              <w:rPr>
                <w:rFonts w:asciiTheme="minorHAnsi" w:eastAsia="Calibri" w:hAnsiTheme="minorHAnsi" w:cstheme="minorHAnsi"/>
                <w:i/>
                <w:color w:val="1E1E1E" w:themeColor="background2"/>
                <w:sz w:val="21"/>
                <w:szCs w:val="21"/>
                <w:lang w:val="en-GB"/>
              </w:rPr>
              <w:t>; p.</w:t>
            </w:r>
            <w:r w:rsidR="00425E08">
              <w:rPr>
                <w:rFonts w:asciiTheme="minorHAnsi" w:eastAsia="Calibri" w:hAnsiTheme="minorHAnsi" w:cstheme="minorHAnsi"/>
                <w:i/>
                <w:color w:val="1E1E1E" w:themeColor="background2"/>
                <w:sz w:val="21"/>
                <w:szCs w:val="21"/>
                <w:lang w:val="en-GB"/>
              </w:rPr>
              <w:t>14, 17</w:t>
            </w:r>
            <w:r w:rsidR="00425E08" w:rsidRPr="00425E08">
              <w:rPr>
                <w:rFonts w:asciiTheme="minorHAnsi" w:eastAsia="Calibri" w:hAnsiTheme="minorHAnsi" w:cstheme="minorHAnsi"/>
                <w:i/>
                <w:color w:val="1E1E1E" w:themeColor="background2"/>
                <w:sz w:val="21"/>
                <w:szCs w:val="21"/>
                <w:lang w:val="en-GB"/>
              </w:rPr>
              <w:t>).</w:t>
            </w:r>
            <w:r w:rsidR="0049321C" w:rsidRPr="00AF43A2">
              <w:rPr>
                <w:rFonts w:asciiTheme="minorHAnsi" w:eastAsia="Calibri" w:hAnsiTheme="minorHAnsi" w:cstheme="minorHAnsi"/>
                <w:i/>
                <w:color w:val="1E1E1E" w:themeColor="background2"/>
                <w:sz w:val="21"/>
                <w:szCs w:val="21"/>
                <w:lang w:val="en-GB"/>
              </w:rPr>
              <w:t xml:space="preserve"> </w:t>
            </w:r>
            <w:r w:rsidRPr="00AF43A2">
              <w:rPr>
                <w:rFonts w:asciiTheme="minorHAnsi" w:eastAsia="Calibri" w:hAnsiTheme="minorHAnsi" w:cstheme="minorHAnsi"/>
                <w:color w:val="000000"/>
                <w:sz w:val="21"/>
                <w:szCs w:val="21"/>
                <w:lang w:val="en-GB"/>
              </w:rPr>
              <w:t>There are only 40 women crisis shelters in Kazakhstan and none of them provide services to women living with HIV/AIDS.</w:t>
            </w:r>
          </w:p>
          <w:p w14:paraId="69E93311" w14:textId="05C804C2" w:rsidR="00EF5156" w:rsidRPr="00AF43A2" w:rsidRDefault="00EF5156" w:rsidP="000A0528">
            <w:pPr>
              <w:spacing w:after="0" w:line="240" w:lineRule="auto"/>
              <w:ind w:firstLine="284"/>
              <w:jc w:val="both"/>
              <w:rPr>
                <w:rFonts w:asciiTheme="minorHAnsi" w:eastAsia="Calibri" w:hAnsiTheme="minorHAnsi" w:cstheme="minorHAnsi"/>
                <w:color w:val="FF0000"/>
                <w:sz w:val="21"/>
                <w:szCs w:val="21"/>
                <w:lang w:val="en-GB"/>
              </w:rPr>
            </w:pPr>
            <w:r w:rsidRPr="00AF43A2">
              <w:rPr>
                <w:rFonts w:asciiTheme="minorHAnsi" w:eastAsia="Calibri" w:hAnsiTheme="minorHAnsi" w:cstheme="minorHAnsi"/>
                <w:color w:val="1E1E1E" w:themeColor="background2"/>
                <w:sz w:val="21"/>
                <w:szCs w:val="21"/>
                <w:lang w:val="en-GB"/>
              </w:rPr>
              <w:t xml:space="preserve">A </w:t>
            </w:r>
            <w:r w:rsidR="004A6F93" w:rsidRPr="00AF43A2">
              <w:rPr>
                <w:rFonts w:asciiTheme="minorHAnsi" w:eastAsia="Calibri" w:hAnsiTheme="minorHAnsi" w:cstheme="minorHAnsi"/>
                <w:color w:val="1E1E1E" w:themeColor="background2"/>
                <w:sz w:val="21"/>
                <w:szCs w:val="21"/>
                <w:lang w:val="en-GB"/>
              </w:rPr>
              <w:t>c</w:t>
            </w:r>
            <w:r w:rsidRPr="00AF43A2">
              <w:rPr>
                <w:rFonts w:asciiTheme="minorHAnsi" w:eastAsia="Calibri" w:hAnsiTheme="minorHAnsi" w:cstheme="minorHAnsi"/>
                <w:color w:val="1E1E1E" w:themeColor="background2"/>
                <w:sz w:val="21"/>
                <w:szCs w:val="21"/>
                <w:lang w:val="en-GB"/>
              </w:rPr>
              <w:t xml:space="preserve">linical </w:t>
            </w:r>
            <w:r w:rsidR="004A6F93" w:rsidRPr="00AF43A2">
              <w:rPr>
                <w:rFonts w:asciiTheme="minorHAnsi" w:eastAsia="Calibri" w:hAnsiTheme="minorHAnsi" w:cstheme="minorHAnsi"/>
                <w:color w:val="1E1E1E" w:themeColor="background2"/>
                <w:sz w:val="21"/>
                <w:szCs w:val="21"/>
                <w:lang w:val="en-GB"/>
              </w:rPr>
              <w:t>p</w:t>
            </w:r>
            <w:r w:rsidRPr="00AF43A2">
              <w:rPr>
                <w:rFonts w:asciiTheme="minorHAnsi" w:eastAsia="Calibri" w:hAnsiTheme="minorHAnsi" w:cstheme="minorHAnsi"/>
                <w:color w:val="1E1E1E" w:themeColor="background2"/>
                <w:sz w:val="21"/>
                <w:szCs w:val="21"/>
                <w:lang w:val="en-GB"/>
              </w:rPr>
              <w:t xml:space="preserve">rotocol for </w:t>
            </w:r>
            <w:r w:rsidR="00665428" w:rsidRPr="00AF43A2">
              <w:rPr>
                <w:rFonts w:asciiTheme="minorHAnsi" w:eastAsia="Calibri" w:hAnsiTheme="minorHAnsi" w:cstheme="minorHAnsi"/>
                <w:color w:val="1E1E1E" w:themeColor="background2"/>
                <w:sz w:val="21"/>
                <w:szCs w:val="21"/>
                <w:lang w:val="en-GB"/>
              </w:rPr>
              <w:t>survivors</w:t>
            </w:r>
            <w:r w:rsidRPr="00AF43A2">
              <w:rPr>
                <w:rFonts w:asciiTheme="minorHAnsi" w:eastAsia="Calibri" w:hAnsiTheme="minorHAnsi" w:cstheme="minorHAnsi"/>
                <w:color w:val="1E1E1E" w:themeColor="background2"/>
                <w:sz w:val="21"/>
                <w:szCs w:val="21"/>
                <w:lang w:val="en-GB"/>
              </w:rPr>
              <w:t xml:space="preserve"> of gender-based violence</w:t>
            </w:r>
            <w:r w:rsidR="00665428" w:rsidRPr="00AF43A2">
              <w:rPr>
                <w:rFonts w:asciiTheme="minorHAnsi" w:eastAsia="Calibri" w:hAnsiTheme="minorHAnsi" w:cstheme="minorHAnsi"/>
                <w:color w:val="1E1E1E" w:themeColor="background2"/>
                <w:sz w:val="21"/>
                <w:szCs w:val="21"/>
                <w:lang w:val="en-GB"/>
              </w:rPr>
              <w:t xml:space="preserve"> (GBV)</w:t>
            </w:r>
            <w:r w:rsidRPr="00AF43A2">
              <w:rPr>
                <w:rFonts w:asciiTheme="minorHAnsi" w:eastAsia="Calibri" w:hAnsiTheme="minorHAnsi" w:cstheme="minorHAnsi"/>
                <w:color w:val="1E1E1E" w:themeColor="background2"/>
                <w:sz w:val="21"/>
                <w:szCs w:val="21"/>
                <w:lang w:val="en-GB"/>
              </w:rPr>
              <w:t>, including sexual violence</w:t>
            </w:r>
            <w:r w:rsidR="00665428"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was developed on case management and algorithm of medical and social care services within the national health</w:t>
            </w:r>
            <w:r w:rsidR="00665428"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care system. The new </w:t>
            </w:r>
            <w:r w:rsidR="004A6F93" w:rsidRPr="00AF43A2">
              <w:rPr>
                <w:rFonts w:asciiTheme="minorHAnsi" w:eastAsia="Calibri" w:hAnsiTheme="minorHAnsi" w:cstheme="minorHAnsi"/>
                <w:color w:val="1E1E1E" w:themeColor="background2"/>
                <w:sz w:val="21"/>
                <w:szCs w:val="21"/>
                <w:lang w:val="en-GB"/>
              </w:rPr>
              <w:t>c</w:t>
            </w:r>
            <w:r w:rsidRPr="00AF43A2">
              <w:rPr>
                <w:rFonts w:asciiTheme="minorHAnsi" w:eastAsia="Calibri" w:hAnsiTheme="minorHAnsi" w:cstheme="minorHAnsi"/>
                <w:color w:val="1E1E1E" w:themeColor="background2"/>
                <w:sz w:val="21"/>
                <w:szCs w:val="21"/>
                <w:lang w:val="en-GB"/>
              </w:rPr>
              <w:t>linical protocol includes sections on</w:t>
            </w:r>
            <w:r w:rsidR="00665428" w:rsidRPr="00AF43A2">
              <w:rPr>
                <w:rFonts w:asciiTheme="minorHAnsi" w:eastAsia="Calibri" w:hAnsiTheme="minorHAnsi" w:cstheme="minorHAnsi"/>
                <w:color w:val="1E1E1E" w:themeColor="background2"/>
                <w:sz w:val="21"/>
                <w:szCs w:val="21"/>
                <w:lang w:val="en-GB"/>
              </w:rPr>
              <w:t xml:space="preserve"> post-exposure prophylaxis (</w:t>
            </w:r>
            <w:r w:rsidRPr="00AF43A2">
              <w:rPr>
                <w:rFonts w:asciiTheme="minorHAnsi" w:eastAsia="Calibri" w:hAnsiTheme="minorHAnsi" w:cstheme="minorHAnsi"/>
                <w:color w:val="1E1E1E" w:themeColor="background2"/>
                <w:sz w:val="21"/>
                <w:szCs w:val="21"/>
                <w:lang w:val="en-GB"/>
              </w:rPr>
              <w:t>PEP</w:t>
            </w:r>
            <w:r w:rsidR="00665428" w:rsidRPr="00AF43A2">
              <w:rPr>
                <w:rFonts w:asciiTheme="minorHAnsi" w:eastAsia="Calibri" w:hAnsiTheme="minorHAnsi" w:cstheme="minorHAnsi"/>
                <w:color w:val="1E1E1E" w:themeColor="background2"/>
                <w:sz w:val="21"/>
                <w:szCs w:val="21"/>
                <w:lang w:val="en-GB"/>
              </w:rPr>
              <w:t xml:space="preserve">), </w:t>
            </w:r>
            <w:r w:rsidRPr="00AF43A2">
              <w:rPr>
                <w:rFonts w:asciiTheme="minorHAnsi" w:eastAsia="Calibri" w:hAnsiTheme="minorHAnsi" w:cstheme="minorHAnsi"/>
                <w:color w:val="1E1E1E" w:themeColor="background2"/>
                <w:sz w:val="21"/>
                <w:szCs w:val="21"/>
                <w:lang w:val="en-GB"/>
              </w:rPr>
              <w:t xml:space="preserve">early syndrome-based therapy of STIs, other medical services, as well as psychological support for GBV </w:t>
            </w:r>
            <w:r w:rsidR="004A6F93" w:rsidRPr="00AF43A2">
              <w:rPr>
                <w:rFonts w:asciiTheme="minorHAnsi" w:eastAsia="Calibri" w:hAnsiTheme="minorHAnsi" w:cstheme="minorHAnsi"/>
                <w:color w:val="1E1E1E" w:themeColor="background2"/>
                <w:sz w:val="21"/>
                <w:szCs w:val="21"/>
                <w:lang w:val="en-GB"/>
              </w:rPr>
              <w:t>survivors</w:t>
            </w:r>
            <w:r w:rsidRPr="00AF43A2">
              <w:rPr>
                <w:rFonts w:asciiTheme="minorHAnsi" w:eastAsia="Calibri" w:hAnsiTheme="minorHAnsi" w:cstheme="minorHAnsi"/>
                <w:color w:val="1E1E1E" w:themeColor="background2"/>
                <w:sz w:val="21"/>
                <w:szCs w:val="21"/>
                <w:lang w:val="en-GB"/>
              </w:rPr>
              <w:t>.</w:t>
            </w:r>
            <w:r w:rsidR="004A6F93" w:rsidRPr="00AF43A2">
              <w:rPr>
                <w:rFonts w:asciiTheme="minorHAnsi" w:eastAsia="Calibri" w:hAnsiTheme="minorHAnsi" w:cstheme="minorHAnsi"/>
                <w:color w:val="1E1E1E" w:themeColor="background2"/>
                <w:sz w:val="21"/>
                <w:szCs w:val="21"/>
                <w:lang w:val="en-GB"/>
              </w:rPr>
              <w:t xml:space="preserve"> </w:t>
            </w:r>
            <w:r w:rsidRPr="00AF43A2">
              <w:rPr>
                <w:rFonts w:asciiTheme="minorHAnsi" w:eastAsia="Calibri" w:hAnsiTheme="minorHAnsi" w:cstheme="minorHAnsi"/>
                <w:color w:val="1E1E1E" w:themeColor="background2"/>
                <w:sz w:val="21"/>
                <w:szCs w:val="21"/>
                <w:lang w:val="en-GB"/>
              </w:rPr>
              <w:t>Cross</w:t>
            </w:r>
            <w:r w:rsidRPr="00AF43A2">
              <w:rPr>
                <w:rFonts w:asciiTheme="minorHAnsi" w:eastAsia="Calibri" w:hAnsiTheme="minorHAnsi" w:cstheme="minorHAnsi"/>
                <w:color w:val="000000"/>
                <w:sz w:val="21"/>
                <w:szCs w:val="21"/>
                <w:lang w:val="en-GB"/>
              </w:rPr>
              <w:t>-generational relationships and gender-based violence are two additional factors driving HIV transmission.</w:t>
            </w:r>
          </w:p>
          <w:p w14:paraId="328F3743" w14:textId="6EC51588" w:rsidR="00940594" w:rsidRPr="006965D1" w:rsidRDefault="00EF5156" w:rsidP="000A0528">
            <w:pPr>
              <w:spacing w:after="0" w:line="240" w:lineRule="auto"/>
              <w:ind w:firstLine="284"/>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000000"/>
                <w:sz w:val="21"/>
                <w:szCs w:val="21"/>
                <w:lang w:val="en-GB"/>
              </w:rPr>
              <w:t xml:space="preserve">At the community level, </w:t>
            </w:r>
            <w:r w:rsidRPr="00AF43A2">
              <w:rPr>
                <w:rFonts w:asciiTheme="minorHAnsi" w:eastAsia="Calibri" w:hAnsiTheme="minorHAnsi" w:cstheme="minorHAnsi"/>
                <w:b/>
                <w:i/>
                <w:color w:val="000000"/>
                <w:sz w:val="21"/>
                <w:szCs w:val="21"/>
                <w:lang w:val="en-GB"/>
              </w:rPr>
              <w:t xml:space="preserve">stigma and </w:t>
            </w:r>
            <w:r w:rsidRPr="00AF43A2">
              <w:rPr>
                <w:rFonts w:asciiTheme="minorHAnsi" w:eastAsia="Calibri" w:hAnsiTheme="minorHAnsi" w:cstheme="minorHAnsi"/>
                <w:b/>
                <w:i/>
                <w:color w:val="1E1E1E" w:themeColor="background2"/>
                <w:sz w:val="21"/>
                <w:szCs w:val="21"/>
                <w:lang w:val="en-GB"/>
              </w:rPr>
              <w:t>discrimination</w:t>
            </w:r>
            <w:r w:rsidRPr="00AF43A2">
              <w:rPr>
                <w:rFonts w:asciiTheme="minorHAnsi" w:eastAsia="Calibri" w:hAnsiTheme="minorHAnsi" w:cstheme="minorHAnsi"/>
                <w:color w:val="1E1E1E" w:themeColor="background2"/>
                <w:sz w:val="21"/>
                <w:szCs w:val="21"/>
                <w:lang w:val="en-GB"/>
              </w:rPr>
              <w:t xml:space="preserve"> facing key populations, such as FSWs, MSM and transgender (TG), </w:t>
            </w:r>
            <w:r w:rsidR="00D45932" w:rsidRPr="00AF43A2">
              <w:rPr>
                <w:rFonts w:asciiTheme="minorHAnsi" w:eastAsia="Calibri" w:hAnsiTheme="minorHAnsi" w:cstheme="minorHAnsi"/>
                <w:color w:val="1E1E1E" w:themeColor="background2"/>
                <w:sz w:val="21"/>
                <w:szCs w:val="21"/>
                <w:lang w:val="en-GB"/>
              </w:rPr>
              <w:t xml:space="preserve">as well as PLHIV </w:t>
            </w:r>
            <w:r w:rsidRPr="00AF43A2">
              <w:rPr>
                <w:rFonts w:asciiTheme="minorHAnsi" w:eastAsia="Calibri" w:hAnsiTheme="minorHAnsi" w:cstheme="minorHAnsi"/>
                <w:color w:val="1E1E1E" w:themeColor="background2"/>
                <w:sz w:val="21"/>
                <w:szCs w:val="21"/>
                <w:lang w:val="en-GB"/>
              </w:rPr>
              <w:t xml:space="preserve">continue to hinder their access to HIV information, services and HIV </w:t>
            </w:r>
            <w:r w:rsidR="00940594" w:rsidRPr="00AF43A2">
              <w:rPr>
                <w:rFonts w:asciiTheme="minorHAnsi" w:eastAsia="Calibri" w:hAnsiTheme="minorHAnsi" w:cstheme="minorHAnsi"/>
                <w:color w:val="1E1E1E" w:themeColor="background2"/>
                <w:sz w:val="21"/>
                <w:szCs w:val="21"/>
                <w:lang w:val="en-GB"/>
              </w:rPr>
              <w:t>prevention commodities</w:t>
            </w:r>
            <w:r w:rsidRPr="00AF43A2">
              <w:rPr>
                <w:rFonts w:asciiTheme="minorHAnsi" w:eastAsia="Calibri" w:hAnsiTheme="minorHAnsi" w:cstheme="minorHAnsi"/>
                <w:color w:val="1E1E1E" w:themeColor="background2"/>
                <w:sz w:val="21"/>
                <w:szCs w:val="21"/>
                <w:lang w:val="en-GB"/>
              </w:rPr>
              <w:t xml:space="preserve">. Cultural attitudes of discrimination of sex work further isolate FSWs and increase their risk of violence, discrimination </w:t>
            </w:r>
            <w:r w:rsidRPr="006965D1">
              <w:rPr>
                <w:rFonts w:asciiTheme="minorHAnsi" w:eastAsia="Calibri" w:hAnsiTheme="minorHAnsi" w:cstheme="minorHAnsi"/>
                <w:color w:val="1E1E1E" w:themeColor="background2"/>
                <w:sz w:val="21"/>
                <w:szCs w:val="21"/>
                <w:lang w:val="en-GB"/>
              </w:rPr>
              <w:t xml:space="preserve">and HIV. </w:t>
            </w:r>
            <w:r w:rsidR="005761C7" w:rsidRPr="006965D1">
              <w:rPr>
                <w:rFonts w:asciiTheme="minorHAnsi" w:eastAsia="Calibri" w:hAnsiTheme="minorHAnsi" w:cstheme="minorHAnsi"/>
                <w:color w:val="1E1E1E" w:themeColor="background2"/>
                <w:sz w:val="21"/>
                <w:szCs w:val="21"/>
                <w:lang w:val="en-GB"/>
              </w:rPr>
              <w:t>Sex workers are vulnerable to violence, including from medical personnel, and their HIV status is frequently disclosed to third parties</w:t>
            </w:r>
            <w:r w:rsidR="00800CB5" w:rsidRPr="006965D1">
              <w:rPr>
                <w:rFonts w:asciiTheme="minorHAnsi" w:eastAsia="Calibri" w:hAnsiTheme="minorHAnsi" w:cstheme="minorHAnsi"/>
                <w:i/>
                <w:color w:val="1E1E1E" w:themeColor="background2"/>
                <w:sz w:val="21"/>
                <w:szCs w:val="21"/>
                <w:lang w:val="en-GB"/>
              </w:rPr>
              <w:t xml:space="preserve"> (see Annex 3, p.66)</w:t>
            </w:r>
            <w:r w:rsidR="005761C7" w:rsidRPr="006965D1">
              <w:rPr>
                <w:rFonts w:asciiTheme="minorHAnsi" w:eastAsia="Calibri" w:hAnsiTheme="minorHAnsi" w:cstheme="minorHAnsi"/>
                <w:i/>
                <w:color w:val="1E1E1E" w:themeColor="background2"/>
                <w:sz w:val="21"/>
                <w:szCs w:val="21"/>
                <w:lang w:val="en-GB"/>
              </w:rPr>
              <w:t>.</w:t>
            </w:r>
            <w:r w:rsidR="005761C7" w:rsidRPr="006965D1">
              <w:rPr>
                <w:rFonts w:asciiTheme="minorHAnsi" w:eastAsia="Calibri" w:hAnsiTheme="minorHAnsi" w:cstheme="minorHAnsi"/>
                <w:color w:val="1E1E1E" w:themeColor="background2"/>
                <w:sz w:val="21"/>
                <w:szCs w:val="21"/>
                <w:lang w:val="en-GB"/>
              </w:rPr>
              <w:t xml:space="preserve"> </w:t>
            </w:r>
            <w:r w:rsidR="00940594" w:rsidRPr="006965D1">
              <w:rPr>
                <w:rFonts w:asciiTheme="minorHAnsi" w:eastAsia="Calibri" w:hAnsiTheme="minorHAnsi" w:cstheme="minorHAnsi"/>
                <w:color w:val="1E1E1E" w:themeColor="background2"/>
                <w:sz w:val="21"/>
                <w:szCs w:val="21"/>
                <w:lang w:val="en-GB"/>
              </w:rPr>
              <w:t>As a result, s</w:t>
            </w:r>
            <w:r w:rsidR="005761C7" w:rsidRPr="006965D1">
              <w:rPr>
                <w:rFonts w:asciiTheme="minorHAnsi" w:eastAsia="Calibri" w:hAnsiTheme="minorHAnsi" w:cstheme="minorHAnsi"/>
                <w:color w:val="1E1E1E" w:themeColor="background2"/>
                <w:sz w:val="21"/>
                <w:szCs w:val="21"/>
                <w:lang w:val="en-GB"/>
              </w:rPr>
              <w:t xml:space="preserve">ex workers </w:t>
            </w:r>
            <w:r w:rsidR="00940594" w:rsidRPr="006965D1">
              <w:rPr>
                <w:rFonts w:asciiTheme="minorHAnsi" w:eastAsia="Calibri" w:hAnsiTheme="minorHAnsi" w:cstheme="minorHAnsi"/>
                <w:color w:val="1E1E1E" w:themeColor="background2"/>
                <w:sz w:val="21"/>
                <w:szCs w:val="21"/>
                <w:lang w:val="en-GB"/>
              </w:rPr>
              <w:t>often do not seek</w:t>
            </w:r>
            <w:r w:rsidR="005761C7" w:rsidRPr="006965D1">
              <w:rPr>
                <w:rFonts w:asciiTheme="minorHAnsi" w:eastAsia="Calibri" w:hAnsiTheme="minorHAnsi" w:cstheme="minorHAnsi"/>
                <w:color w:val="1E1E1E" w:themeColor="background2"/>
                <w:sz w:val="21"/>
                <w:szCs w:val="21"/>
                <w:lang w:val="en-GB"/>
              </w:rPr>
              <w:t xml:space="preserve"> timely diagnosis</w:t>
            </w:r>
            <w:r w:rsidR="00940594" w:rsidRPr="006965D1">
              <w:rPr>
                <w:rFonts w:asciiTheme="minorHAnsi" w:eastAsia="Calibri" w:hAnsiTheme="minorHAnsi" w:cstheme="minorHAnsi"/>
                <w:color w:val="1E1E1E" w:themeColor="background2"/>
                <w:sz w:val="21"/>
                <w:szCs w:val="21"/>
                <w:lang w:val="en-GB"/>
              </w:rPr>
              <w:t>. I</w:t>
            </w:r>
            <w:r w:rsidR="005761C7" w:rsidRPr="006965D1">
              <w:rPr>
                <w:rFonts w:asciiTheme="minorHAnsi" w:eastAsia="Calibri" w:hAnsiTheme="minorHAnsi" w:cstheme="minorHAnsi"/>
                <w:color w:val="1E1E1E" w:themeColor="background2"/>
                <w:sz w:val="21"/>
                <w:szCs w:val="21"/>
                <w:lang w:val="en-GB"/>
              </w:rPr>
              <w:t>n the case of an HIV</w:t>
            </w:r>
            <w:r w:rsidR="00940594" w:rsidRPr="006965D1">
              <w:rPr>
                <w:rFonts w:asciiTheme="minorHAnsi" w:eastAsia="Calibri" w:hAnsiTheme="minorHAnsi" w:cstheme="minorHAnsi"/>
                <w:color w:val="1E1E1E" w:themeColor="background2"/>
                <w:sz w:val="21"/>
                <w:szCs w:val="21"/>
                <w:lang w:val="en-GB"/>
              </w:rPr>
              <w:t>-positive</w:t>
            </w:r>
            <w:r w:rsidR="005761C7" w:rsidRPr="006965D1">
              <w:rPr>
                <w:rFonts w:asciiTheme="minorHAnsi" w:eastAsia="Calibri" w:hAnsiTheme="minorHAnsi" w:cstheme="minorHAnsi"/>
                <w:color w:val="1E1E1E" w:themeColor="background2"/>
                <w:sz w:val="21"/>
                <w:szCs w:val="21"/>
                <w:lang w:val="en-GB"/>
              </w:rPr>
              <w:t xml:space="preserve"> status, they do not perform diagnostics for viral load and immune status and, as a result, they experience a lack of timely HIV treatment and have poor adherence to ART.</w:t>
            </w:r>
          </w:p>
          <w:p w14:paraId="10118356" w14:textId="2DAFD5C6" w:rsidR="00940594" w:rsidRPr="006965D1" w:rsidRDefault="005761C7" w:rsidP="000A0528">
            <w:pPr>
              <w:spacing w:after="0" w:line="240" w:lineRule="auto"/>
              <w:ind w:firstLine="284"/>
              <w:jc w:val="both"/>
              <w:rPr>
                <w:rFonts w:asciiTheme="minorHAnsi" w:eastAsia="Calibri" w:hAnsiTheme="minorHAnsi" w:cstheme="minorHAnsi"/>
                <w:i/>
                <w:color w:val="1E1E1E" w:themeColor="background2"/>
                <w:sz w:val="21"/>
                <w:szCs w:val="21"/>
                <w:lang w:val="en-GB"/>
              </w:rPr>
            </w:pPr>
            <w:r w:rsidRPr="006965D1">
              <w:rPr>
                <w:rFonts w:asciiTheme="minorHAnsi" w:eastAsia="Calibri" w:hAnsiTheme="minorHAnsi" w:cstheme="minorHAnsi"/>
                <w:color w:val="1E1E1E" w:themeColor="background2"/>
                <w:sz w:val="21"/>
                <w:szCs w:val="21"/>
                <w:lang w:val="en-GB"/>
              </w:rPr>
              <w:t>Police raids and compulsory HIV testing, provided in conjunction with the AIDS Centres, violate the rights of sex workers to voluntarily diagnose HIV infection. Approaches used by the police force sex workers into hiding and avoid timely HIV testing and treatment in AIDS Centr</w:t>
            </w:r>
            <w:r w:rsidR="00940594" w:rsidRPr="006965D1">
              <w:rPr>
                <w:rFonts w:asciiTheme="minorHAnsi" w:eastAsia="Calibri" w:hAnsiTheme="minorHAnsi" w:cstheme="minorHAnsi"/>
                <w:color w:val="1E1E1E" w:themeColor="background2"/>
                <w:sz w:val="21"/>
                <w:szCs w:val="21"/>
                <w:lang w:val="en-GB"/>
              </w:rPr>
              <w:t>e</w:t>
            </w:r>
            <w:r w:rsidRPr="006965D1">
              <w:rPr>
                <w:rFonts w:asciiTheme="minorHAnsi" w:eastAsia="Calibri" w:hAnsiTheme="minorHAnsi" w:cstheme="minorHAnsi"/>
                <w:color w:val="1E1E1E" w:themeColor="background2"/>
                <w:sz w:val="21"/>
                <w:szCs w:val="21"/>
                <w:lang w:val="en-GB"/>
              </w:rPr>
              <w:t xml:space="preserve">s </w:t>
            </w:r>
            <w:r w:rsidRPr="006965D1">
              <w:rPr>
                <w:rFonts w:asciiTheme="minorHAnsi" w:eastAsia="Calibri" w:hAnsiTheme="minorHAnsi" w:cstheme="minorHAnsi"/>
                <w:i/>
                <w:color w:val="1E1E1E" w:themeColor="background2"/>
                <w:sz w:val="21"/>
                <w:szCs w:val="21"/>
                <w:lang w:val="en-GB"/>
              </w:rPr>
              <w:t>(</w:t>
            </w:r>
            <w:r w:rsidR="00800CB5" w:rsidRPr="006965D1">
              <w:rPr>
                <w:rFonts w:asciiTheme="minorHAnsi" w:eastAsia="Calibri" w:hAnsiTheme="minorHAnsi" w:cstheme="minorHAnsi"/>
                <w:i/>
                <w:color w:val="1E1E1E" w:themeColor="background2"/>
                <w:sz w:val="21"/>
                <w:szCs w:val="21"/>
                <w:lang w:val="en-GB"/>
              </w:rPr>
              <w:t>see Annex 3, p.66</w:t>
            </w:r>
            <w:r w:rsidRPr="006965D1">
              <w:rPr>
                <w:rFonts w:asciiTheme="minorHAnsi" w:eastAsia="Calibri" w:hAnsiTheme="minorHAnsi" w:cstheme="minorHAnsi"/>
                <w:i/>
                <w:color w:val="1E1E1E" w:themeColor="background2"/>
                <w:sz w:val="21"/>
                <w:szCs w:val="21"/>
                <w:lang w:val="en-GB"/>
              </w:rPr>
              <w:t>).</w:t>
            </w:r>
          </w:p>
          <w:p w14:paraId="1DF9A016" w14:textId="57FBDF11" w:rsidR="00E80AE0" w:rsidRPr="00AF43A2" w:rsidRDefault="005761C7" w:rsidP="000A0528">
            <w:pPr>
              <w:spacing w:after="0" w:line="240" w:lineRule="auto"/>
              <w:ind w:firstLine="284"/>
              <w:jc w:val="both"/>
              <w:rPr>
                <w:rFonts w:asciiTheme="minorHAnsi" w:eastAsia="Calibri" w:hAnsiTheme="minorHAnsi" w:cstheme="minorHAnsi"/>
                <w:color w:val="1E1E1E" w:themeColor="background2"/>
                <w:sz w:val="21"/>
                <w:szCs w:val="21"/>
                <w:lang w:val="en-GB"/>
              </w:rPr>
            </w:pPr>
            <w:r w:rsidRPr="006965D1">
              <w:rPr>
                <w:rFonts w:asciiTheme="minorHAnsi" w:eastAsia="Calibri" w:hAnsiTheme="minorHAnsi" w:cstheme="minorHAnsi"/>
                <w:color w:val="1E1E1E" w:themeColor="background2"/>
                <w:sz w:val="21"/>
                <w:szCs w:val="21"/>
                <w:lang w:val="en-GB"/>
              </w:rPr>
              <w:t xml:space="preserve">Despite </w:t>
            </w:r>
            <w:r w:rsidR="00E80AE0" w:rsidRPr="006965D1">
              <w:rPr>
                <w:rFonts w:asciiTheme="minorHAnsi" w:eastAsia="Calibri" w:hAnsiTheme="minorHAnsi" w:cstheme="minorHAnsi"/>
                <w:color w:val="1E1E1E" w:themeColor="background2"/>
                <w:sz w:val="21"/>
                <w:szCs w:val="21"/>
                <w:lang w:val="en-GB"/>
              </w:rPr>
              <w:t>increased HIV/AIDS</w:t>
            </w:r>
            <w:r w:rsidRPr="006965D1">
              <w:rPr>
                <w:rFonts w:asciiTheme="minorHAnsi" w:eastAsia="Calibri" w:hAnsiTheme="minorHAnsi" w:cstheme="minorHAnsi"/>
                <w:color w:val="1E1E1E" w:themeColor="background2"/>
                <w:sz w:val="21"/>
                <w:szCs w:val="21"/>
                <w:lang w:val="en-GB"/>
              </w:rPr>
              <w:t xml:space="preserve"> awareness among the general population, various discriminatory circumstances remain. The Criminal Code of the Republic of Kazakhstan of July 3, 2014, No. 226-V ZRK, Art. 118. </w:t>
            </w:r>
            <w:r w:rsidRPr="006965D1">
              <w:rPr>
                <w:rFonts w:asciiTheme="minorHAnsi" w:eastAsia="Calibri" w:hAnsiTheme="minorHAnsi" w:cstheme="minorHAnsi"/>
                <w:i/>
                <w:color w:val="1E1E1E" w:themeColor="background2"/>
                <w:sz w:val="21"/>
                <w:szCs w:val="21"/>
                <w:lang w:val="en-GB"/>
              </w:rPr>
              <w:t xml:space="preserve">"Infection with the </w:t>
            </w:r>
            <w:r w:rsidR="00940594" w:rsidRPr="006965D1">
              <w:rPr>
                <w:rFonts w:asciiTheme="minorHAnsi" w:eastAsia="Calibri" w:hAnsiTheme="minorHAnsi" w:cstheme="minorHAnsi"/>
                <w:i/>
                <w:color w:val="1E1E1E" w:themeColor="background2"/>
                <w:sz w:val="21"/>
                <w:szCs w:val="21"/>
                <w:lang w:val="en-GB"/>
              </w:rPr>
              <w:t xml:space="preserve">Human Immunodeficiency Virus </w:t>
            </w:r>
            <w:r w:rsidRPr="006965D1">
              <w:rPr>
                <w:rFonts w:asciiTheme="minorHAnsi" w:eastAsia="Calibri" w:hAnsiTheme="minorHAnsi" w:cstheme="minorHAnsi"/>
                <w:i/>
                <w:color w:val="1E1E1E" w:themeColor="background2"/>
                <w:sz w:val="21"/>
                <w:szCs w:val="21"/>
                <w:lang w:val="en-GB"/>
              </w:rPr>
              <w:t xml:space="preserve">(HIV/AIDS)" </w:t>
            </w:r>
            <w:r w:rsidRPr="006965D1">
              <w:rPr>
                <w:rFonts w:asciiTheme="minorHAnsi" w:eastAsia="Calibri" w:hAnsiTheme="minorHAnsi" w:cstheme="minorHAnsi"/>
                <w:color w:val="1E1E1E" w:themeColor="background2"/>
                <w:sz w:val="21"/>
                <w:szCs w:val="21"/>
                <w:lang w:val="en-GB"/>
              </w:rPr>
              <w:t>conditions criminal liability</w:t>
            </w:r>
            <w:r w:rsidR="00E80AE0" w:rsidRPr="006965D1">
              <w:rPr>
                <w:rFonts w:asciiTheme="minorHAnsi" w:eastAsia="Calibri" w:hAnsiTheme="minorHAnsi" w:cstheme="minorHAnsi"/>
                <w:color w:val="1E1E1E" w:themeColor="background2"/>
                <w:sz w:val="21"/>
                <w:szCs w:val="21"/>
                <w:lang w:val="en-GB"/>
              </w:rPr>
              <w:t xml:space="preserve"> and prosecution</w:t>
            </w:r>
            <w:r w:rsidRPr="006965D1">
              <w:rPr>
                <w:rFonts w:asciiTheme="minorHAnsi" w:eastAsia="Calibri" w:hAnsiTheme="minorHAnsi" w:cstheme="minorHAnsi"/>
                <w:color w:val="1E1E1E" w:themeColor="background2"/>
                <w:sz w:val="21"/>
                <w:szCs w:val="21"/>
                <w:lang w:val="en-GB"/>
              </w:rPr>
              <w:t xml:space="preserve"> for the risk of HIV infection. The Code </w:t>
            </w:r>
            <w:r w:rsidR="00E80AE0" w:rsidRPr="006965D1">
              <w:rPr>
                <w:rFonts w:asciiTheme="minorHAnsi" w:eastAsia="Calibri" w:hAnsiTheme="minorHAnsi" w:cstheme="minorHAnsi"/>
                <w:color w:val="1E1E1E" w:themeColor="background2"/>
                <w:sz w:val="21"/>
                <w:szCs w:val="21"/>
                <w:lang w:val="en-GB"/>
              </w:rPr>
              <w:t>mandates</w:t>
            </w:r>
            <w:r w:rsidRPr="006965D1">
              <w:rPr>
                <w:rFonts w:asciiTheme="minorHAnsi" w:eastAsia="Calibri" w:hAnsiTheme="minorHAnsi" w:cstheme="minorHAnsi"/>
                <w:color w:val="1E1E1E" w:themeColor="background2"/>
                <w:sz w:val="21"/>
                <w:szCs w:val="21"/>
                <w:lang w:val="en-GB"/>
              </w:rPr>
              <w:t xml:space="preserve"> the criminal prosecution of </w:t>
            </w:r>
            <w:r w:rsidR="00E80AE0" w:rsidRPr="006965D1">
              <w:rPr>
                <w:rFonts w:asciiTheme="minorHAnsi" w:eastAsia="Calibri" w:hAnsiTheme="minorHAnsi" w:cstheme="minorHAnsi"/>
                <w:color w:val="1E1E1E" w:themeColor="background2"/>
                <w:sz w:val="21"/>
                <w:szCs w:val="21"/>
                <w:lang w:val="en-GB"/>
              </w:rPr>
              <w:t xml:space="preserve">deliberate </w:t>
            </w:r>
            <w:r w:rsidRPr="006965D1">
              <w:rPr>
                <w:rFonts w:asciiTheme="minorHAnsi" w:eastAsia="Calibri" w:hAnsiTheme="minorHAnsi" w:cstheme="minorHAnsi"/>
                <w:color w:val="1E1E1E" w:themeColor="background2"/>
                <w:sz w:val="21"/>
                <w:szCs w:val="21"/>
                <w:lang w:val="en-GB"/>
              </w:rPr>
              <w:t>HIV</w:t>
            </w:r>
            <w:r w:rsidR="00E80AE0" w:rsidRPr="006965D1">
              <w:rPr>
                <w:rFonts w:asciiTheme="minorHAnsi" w:eastAsia="Calibri" w:hAnsiTheme="minorHAnsi" w:cstheme="minorHAnsi"/>
                <w:color w:val="1E1E1E" w:themeColor="background2"/>
                <w:sz w:val="21"/>
                <w:szCs w:val="21"/>
                <w:lang w:val="en-GB"/>
              </w:rPr>
              <w:t xml:space="preserve"> transmission</w:t>
            </w:r>
            <w:r w:rsidRPr="006965D1">
              <w:rPr>
                <w:rFonts w:asciiTheme="minorHAnsi" w:eastAsia="Calibri" w:hAnsiTheme="minorHAnsi" w:cstheme="minorHAnsi"/>
                <w:color w:val="1E1E1E" w:themeColor="background2"/>
                <w:sz w:val="21"/>
                <w:szCs w:val="21"/>
                <w:lang w:val="en-GB"/>
              </w:rPr>
              <w:t>, resulting in stigmati</w:t>
            </w:r>
            <w:r w:rsidR="00E80AE0" w:rsidRPr="006965D1">
              <w:rPr>
                <w:rFonts w:asciiTheme="minorHAnsi" w:eastAsia="Calibri" w:hAnsiTheme="minorHAnsi" w:cstheme="minorHAnsi"/>
                <w:color w:val="1E1E1E" w:themeColor="background2"/>
                <w:sz w:val="21"/>
                <w:szCs w:val="21"/>
                <w:lang w:val="en-GB"/>
              </w:rPr>
              <w:t>s</w:t>
            </w:r>
            <w:r w:rsidRPr="006965D1">
              <w:rPr>
                <w:rFonts w:asciiTheme="minorHAnsi" w:eastAsia="Calibri" w:hAnsiTheme="minorHAnsi" w:cstheme="minorHAnsi"/>
                <w:color w:val="1E1E1E" w:themeColor="background2"/>
                <w:sz w:val="21"/>
                <w:szCs w:val="21"/>
                <w:lang w:val="en-GB"/>
              </w:rPr>
              <w:t xml:space="preserve">ation, challenging access to treatments, and inefficiency in HIV prevention measures. </w:t>
            </w:r>
            <w:r w:rsidR="00E80AE0" w:rsidRPr="006965D1">
              <w:rPr>
                <w:rFonts w:asciiTheme="minorHAnsi" w:eastAsia="Calibri" w:hAnsiTheme="minorHAnsi" w:cstheme="minorHAnsi"/>
                <w:color w:val="1E1E1E" w:themeColor="background2"/>
                <w:sz w:val="21"/>
                <w:szCs w:val="21"/>
                <w:lang w:val="en-GB"/>
              </w:rPr>
              <w:t>In addition to</w:t>
            </w:r>
            <w:r w:rsidRPr="006965D1">
              <w:rPr>
                <w:rFonts w:asciiTheme="minorHAnsi" w:eastAsia="Calibri" w:hAnsiTheme="minorHAnsi" w:cstheme="minorHAnsi"/>
                <w:color w:val="1E1E1E" w:themeColor="background2"/>
                <w:sz w:val="21"/>
                <w:szCs w:val="21"/>
                <w:lang w:val="en-GB"/>
              </w:rPr>
              <w:t xml:space="preserve"> legal constraints, discrimination is observed in workspaces, academia, health centres, and other public institutions</w:t>
            </w:r>
            <w:r w:rsidR="00E80AE0" w:rsidRPr="006965D1">
              <w:rPr>
                <w:rFonts w:asciiTheme="minorHAnsi" w:eastAsia="Calibri" w:hAnsiTheme="minorHAnsi" w:cstheme="minorHAnsi"/>
                <w:color w:val="1E1E1E" w:themeColor="background2"/>
                <w:sz w:val="21"/>
                <w:szCs w:val="21"/>
                <w:lang w:val="en-GB"/>
              </w:rPr>
              <w:t xml:space="preserve"> </w:t>
            </w:r>
            <w:r w:rsidR="00E80AE0" w:rsidRPr="006965D1">
              <w:rPr>
                <w:rFonts w:asciiTheme="minorHAnsi" w:eastAsia="Calibri" w:hAnsiTheme="minorHAnsi" w:cstheme="minorHAnsi"/>
                <w:i/>
                <w:color w:val="1E1E1E" w:themeColor="background2"/>
                <w:sz w:val="21"/>
                <w:szCs w:val="21"/>
                <w:lang w:val="en-GB"/>
              </w:rPr>
              <w:t>(</w:t>
            </w:r>
            <w:r w:rsidR="00800CB5" w:rsidRPr="006965D1">
              <w:rPr>
                <w:rFonts w:asciiTheme="minorHAnsi" w:eastAsia="Calibri" w:hAnsiTheme="minorHAnsi" w:cstheme="minorHAnsi"/>
                <w:i/>
                <w:color w:val="1E1E1E" w:themeColor="background2"/>
                <w:sz w:val="21"/>
                <w:szCs w:val="21"/>
                <w:lang w:val="en-GB"/>
              </w:rPr>
              <w:t>see Annex 3,</w:t>
            </w:r>
            <w:r w:rsidR="00E80AE0" w:rsidRPr="006965D1">
              <w:rPr>
                <w:rFonts w:asciiTheme="minorHAnsi" w:eastAsia="Calibri" w:hAnsiTheme="minorHAnsi" w:cstheme="minorHAnsi"/>
                <w:i/>
                <w:color w:val="1E1E1E" w:themeColor="background2"/>
                <w:sz w:val="21"/>
                <w:szCs w:val="21"/>
                <w:lang w:val="en-GB"/>
              </w:rPr>
              <w:t xml:space="preserve"> p.8).</w:t>
            </w:r>
            <w:r w:rsidR="00E80AE0" w:rsidRPr="006965D1">
              <w:rPr>
                <w:rFonts w:asciiTheme="minorHAnsi" w:eastAsia="Calibri" w:hAnsiTheme="minorHAnsi" w:cstheme="minorHAnsi"/>
                <w:color w:val="1E1E1E" w:themeColor="background2"/>
                <w:sz w:val="21"/>
                <w:szCs w:val="21"/>
                <w:lang w:val="en-GB"/>
              </w:rPr>
              <w:t xml:space="preserve"> </w:t>
            </w:r>
            <w:r w:rsidR="00EF5156" w:rsidRPr="006965D1">
              <w:rPr>
                <w:rFonts w:asciiTheme="minorHAnsi" w:eastAsia="Calibri" w:hAnsiTheme="minorHAnsi" w:cstheme="minorHAnsi"/>
                <w:color w:val="1E1E1E" w:themeColor="background2"/>
                <w:sz w:val="21"/>
                <w:szCs w:val="21"/>
                <w:lang w:val="en-GB"/>
              </w:rPr>
              <w:t xml:space="preserve">Discrimination and social isolation also contribute to increased vulnerability among </w:t>
            </w:r>
            <w:proofErr w:type="spellStart"/>
            <w:r w:rsidR="00EF5156" w:rsidRPr="006965D1">
              <w:rPr>
                <w:rFonts w:asciiTheme="minorHAnsi" w:eastAsia="Calibri" w:hAnsiTheme="minorHAnsi" w:cstheme="minorHAnsi"/>
                <w:color w:val="1E1E1E" w:themeColor="background2"/>
                <w:sz w:val="21"/>
                <w:szCs w:val="21"/>
                <w:lang w:val="en-GB"/>
              </w:rPr>
              <w:t>margin</w:t>
            </w:r>
            <w:r w:rsidR="005718C6">
              <w:rPr>
                <w:rFonts w:asciiTheme="minorHAnsi" w:eastAsia="Calibri" w:hAnsiTheme="minorHAnsi" w:cstheme="minorHAnsi"/>
                <w:color w:val="1E1E1E" w:themeColor="background2"/>
                <w:sz w:val="21"/>
                <w:szCs w:val="21"/>
                <w:lang w:val="en-GB"/>
              </w:rPr>
              <w:t>right</w:t>
            </w:r>
            <w:r w:rsidR="00EF5156" w:rsidRPr="006965D1">
              <w:rPr>
                <w:rFonts w:asciiTheme="minorHAnsi" w:eastAsia="Calibri" w:hAnsiTheme="minorHAnsi" w:cstheme="minorHAnsi"/>
                <w:color w:val="1E1E1E" w:themeColor="background2"/>
                <w:sz w:val="21"/>
                <w:szCs w:val="21"/>
                <w:lang w:val="en-GB"/>
              </w:rPr>
              <w:t>alised</w:t>
            </w:r>
            <w:proofErr w:type="spellEnd"/>
            <w:r w:rsidR="00EF5156" w:rsidRPr="006965D1">
              <w:rPr>
                <w:rFonts w:asciiTheme="minorHAnsi" w:eastAsia="Calibri" w:hAnsiTheme="minorHAnsi" w:cstheme="minorHAnsi"/>
                <w:color w:val="1E1E1E" w:themeColor="background2"/>
                <w:sz w:val="21"/>
                <w:szCs w:val="21"/>
                <w:lang w:val="en-GB"/>
              </w:rPr>
              <w:t xml:space="preserve"> groups such as</w:t>
            </w:r>
            <w:r w:rsidR="00EF5156" w:rsidRPr="00AF43A2">
              <w:rPr>
                <w:rFonts w:asciiTheme="minorHAnsi" w:eastAsia="Calibri" w:hAnsiTheme="minorHAnsi" w:cstheme="minorHAnsi"/>
                <w:color w:val="1E1E1E" w:themeColor="background2"/>
                <w:sz w:val="21"/>
                <w:szCs w:val="21"/>
                <w:lang w:val="en-GB"/>
              </w:rPr>
              <w:t xml:space="preserve"> people living with disabilities</w:t>
            </w:r>
            <w:r w:rsidR="00D45932" w:rsidRPr="00AF43A2">
              <w:rPr>
                <w:rFonts w:asciiTheme="minorHAnsi" w:eastAsia="Calibri" w:hAnsiTheme="minorHAnsi" w:cstheme="minorHAnsi"/>
                <w:color w:val="1E1E1E" w:themeColor="background2"/>
                <w:sz w:val="21"/>
                <w:szCs w:val="21"/>
                <w:lang w:val="en-GB"/>
              </w:rPr>
              <w:t>.</w:t>
            </w:r>
          </w:p>
          <w:p w14:paraId="78C18D52" w14:textId="68AD4486" w:rsidR="00712158" w:rsidRPr="00AF43A2" w:rsidRDefault="00712158" w:rsidP="000A0528">
            <w:pPr>
              <w:spacing w:after="0" w:line="240" w:lineRule="auto"/>
              <w:ind w:firstLine="284"/>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1E1E1E" w:themeColor="background2"/>
                <w:sz w:val="21"/>
                <w:szCs w:val="21"/>
                <w:lang w:val="en-GB"/>
              </w:rPr>
              <w:lastRenderedPageBreak/>
              <w:t>Women living with HIV have limited access to accommodation services in existing shelters that are designed to help victims of violence. The reasons for limited access to these services include ignorance of the ways of HIV transmission, high level of stigma in the society, and shortage of places in the shelters</w:t>
            </w:r>
            <w:r w:rsidR="00E80AE0" w:rsidRPr="00AF43A2">
              <w:rPr>
                <w:rFonts w:asciiTheme="minorHAnsi" w:eastAsia="Calibri" w:hAnsiTheme="minorHAnsi" w:cstheme="minorHAnsi"/>
                <w:color w:val="1E1E1E" w:themeColor="background2"/>
                <w:sz w:val="21"/>
                <w:szCs w:val="21"/>
                <w:lang w:val="en-GB"/>
              </w:rPr>
              <w:t xml:space="preserve"> </w:t>
            </w:r>
            <w:r w:rsidR="00E80AE0" w:rsidRPr="00AF43A2">
              <w:rPr>
                <w:rFonts w:asciiTheme="minorHAnsi" w:eastAsia="Calibri" w:hAnsiTheme="minorHAnsi" w:cstheme="minorHAnsi"/>
                <w:i/>
                <w:color w:val="1E1E1E" w:themeColor="background2"/>
                <w:sz w:val="21"/>
                <w:szCs w:val="21"/>
                <w:lang w:val="en-GB"/>
              </w:rPr>
              <w:t>(</w:t>
            </w:r>
            <w:r w:rsidR="004B2F72">
              <w:rPr>
                <w:rFonts w:asciiTheme="minorHAnsi" w:eastAsia="Calibri" w:hAnsiTheme="minorHAnsi" w:cstheme="minorHAnsi"/>
                <w:i/>
                <w:color w:val="1E1E1E" w:themeColor="background2"/>
                <w:sz w:val="21"/>
                <w:szCs w:val="21"/>
                <w:lang w:val="en-GB"/>
              </w:rPr>
              <w:t>see Annex 3, p. 25).</w:t>
            </w:r>
          </w:p>
          <w:p w14:paraId="19A8F732" w14:textId="77777777" w:rsidR="00EF5156" w:rsidRPr="00AF43A2" w:rsidRDefault="00EF5156" w:rsidP="000A0528">
            <w:pPr>
              <w:spacing w:after="0" w:line="240" w:lineRule="auto"/>
              <w:jc w:val="both"/>
              <w:rPr>
                <w:rFonts w:asciiTheme="minorHAnsi" w:eastAsia="Calibri" w:hAnsiTheme="minorHAnsi" w:cstheme="minorHAnsi"/>
                <w:color w:val="FF0000"/>
                <w:sz w:val="8"/>
                <w:szCs w:val="8"/>
                <w:lang w:val="en-GB"/>
              </w:rPr>
            </w:pPr>
          </w:p>
          <w:p w14:paraId="021FF616" w14:textId="628210A5" w:rsidR="00EF5156" w:rsidRPr="00AF43A2" w:rsidRDefault="00EF5156" w:rsidP="000A0528">
            <w:pPr>
              <w:spacing w:after="0" w:line="240" w:lineRule="auto"/>
              <w:jc w:val="both"/>
              <w:rPr>
                <w:rFonts w:asciiTheme="minorHAnsi" w:eastAsia="Calibri" w:hAnsiTheme="minorHAnsi" w:cstheme="minorHAnsi"/>
                <w:b/>
                <w:color w:val="000000"/>
                <w:sz w:val="21"/>
                <w:szCs w:val="21"/>
                <w:lang w:val="en-GB"/>
              </w:rPr>
            </w:pPr>
            <w:r w:rsidRPr="00AF43A2">
              <w:rPr>
                <w:rFonts w:asciiTheme="minorHAnsi" w:eastAsia="Calibri" w:hAnsiTheme="minorHAnsi" w:cstheme="minorHAnsi"/>
                <w:b/>
                <w:i/>
                <w:color w:val="000000"/>
                <w:sz w:val="21"/>
                <w:szCs w:val="21"/>
                <w:lang w:val="en-GB"/>
              </w:rPr>
              <w:t>HIV-sensitive social protection</w:t>
            </w:r>
            <w:r w:rsidRPr="00AF43A2">
              <w:rPr>
                <w:rFonts w:asciiTheme="minorHAnsi" w:eastAsia="Calibri" w:hAnsiTheme="minorHAnsi" w:cstheme="minorHAnsi"/>
                <w:b/>
                <w:color w:val="000000"/>
                <w:sz w:val="21"/>
                <w:szCs w:val="21"/>
                <w:lang w:val="en-GB"/>
              </w:rPr>
              <w:t xml:space="preserve"> – </w:t>
            </w:r>
            <w:r w:rsidRPr="00AF43A2">
              <w:rPr>
                <w:rFonts w:asciiTheme="minorHAnsi" w:eastAsia="Calibri" w:hAnsiTheme="minorHAnsi" w:cstheme="minorHAnsi"/>
                <w:color w:val="000000"/>
                <w:sz w:val="21"/>
                <w:szCs w:val="21"/>
                <w:lang w:val="en-GB"/>
              </w:rPr>
              <w:t xml:space="preserve">Kazakhstan has a strong </w:t>
            </w:r>
            <w:r w:rsidR="00940594" w:rsidRPr="00AF43A2">
              <w:rPr>
                <w:rFonts w:asciiTheme="minorHAnsi" w:eastAsia="Calibri" w:hAnsiTheme="minorHAnsi" w:cstheme="minorHAnsi"/>
                <w:color w:val="000000"/>
                <w:sz w:val="21"/>
                <w:szCs w:val="21"/>
                <w:lang w:val="en-GB"/>
              </w:rPr>
              <w:t xml:space="preserve">social protection </w:t>
            </w:r>
            <w:r w:rsidRPr="00AF43A2">
              <w:rPr>
                <w:rFonts w:asciiTheme="minorHAnsi" w:eastAsia="Calibri" w:hAnsiTheme="minorHAnsi" w:cstheme="minorHAnsi"/>
                <w:color w:val="000000"/>
                <w:sz w:val="21"/>
                <w:szCs w:val="21"/>
                <w:lang w:val="en-GB"/>
              </w:rPr>
              <w:t xml:space="preserve">system, including for PLHIV. The social assistance for PLHIV in Kazakhstan is regulated by the Law of the Republic of Kazakhstan dated 05.10.1994 </w:t>
            </w:r>
            <w:r w:rsidRPr="00AF43A2">
              <w:rPr>
                <w:rFonts w:asciiTheme="minorHAnsi" w:eastAsia="Calibri" w:hAnsiTheme="minorHAnsi" w:cstheme="minorHAnsi"/>
                <w:i/>
                <w:color w:val="000000"/>
                <w:sz w:val="21"/>
                <w:szCs w:val="21"/>
                <w:lang w:val="en-GB"/>
              </w:rPr>
              <w:t>"On Prevention and Treatment of HIV Infection and AIDS".</w:t>
            </w:r>
            <w:r w:rsidRPr="00AF43A2">
              <w:rPr>
                <w:rFonts w:asciiTheme="minorHAnsi" w:eastAsia="Calibri" w:hAnsiTheme="minorHAnsi" w:cstheme="minorHAnsi"/>
                <w:color w:val="000000"/>
                <w:sz w:val="21"/>
                <w:szCs w:val="21"/>
                <w:lang w:val="en-GB"/>
              </w:rPr>
              <w:t xml:space="preserve"> The Law stipulates that HIV testing as a pre-condition for employment is prohibited; a person with HIV cannot be dismissed from his job if </w:t>
            </w:r>
            <w:r w:rsidR="00940594" w:rsidRPr="00AF43A2">
              <w:rPr>
                <w:rFonts w:asciiTheme="minorHAnsi" w:eastAsia="Calibri" w:hAnsiTheme="minorHAnsi" w:cstheme="minorHAnsi"/>
                <w:color w:val="000000"/>
                <w:sz w:val="21"/>
                <w:szCs w:val="21"/>
                <w:lang w:val="en-GB"/>
              </w:rPr>
              <w:t>s/</w:t>
            </w:r>
            <w:r w:rsidRPr="00AF43A2">
              <w:rPr>
                <w:rFonts w:asciiTheme="minorHAnsi" w:eastAsia="Calibri" w:hAnsiTheme="minorHAnsi" w:cstheme="minorHAnsi"/>
                <w:color w:val="000000"/>
                <w:sz w:val="21"/>
                <w:szCs w:val="21"/>
                <w:lang w:val="en-GB"/>
              </w:rPr>
              <w:t xml:space="preserve">he becomes HIV infected; discrimination in the workplace is prohibited by law, and care and support for </w:t>
            </w:r>
            <w:r w:rsidR="00940594" w:rsidRPr="00AF43A2">
              <w:rPr>
                <w:rFonts w:asciiTheme="minorHAnsi" w:eastAsia="Calibri" w:hAnsiTheme="minorHAnsi" w:cstheme="minorHAnsi"/>
                <w:color w:val="000000"/>
                <w:sz w:val="21"/>
                <w:szCs w:val="21"/>
                <w:lang w:val="en-GB"/>
              </w:rPr>
              <w:t>Kazakh citizens with HIV</w:t>
            </w:r>
            <w:r w:rsidRPr="00AF43A2">
              <w:rPr>
                <w:rFonts w:asciiTheme="minorHAnsi" w:eastAsia="Calibri" w:hAnsiTheme="minorHAnsi" w:cstheme="minorHAnsi"/>
                <w:color w:val="000000"/>
                <w:sz w:val="21"/>
                <w:szCs w:val="21"/>
                <w:lang w:val="en-GB"/>
              </w:rPr>
              <w:t xml:space="preserve"> in the country is fully provided free of charge.</w:t>
            </w:r>
          </w:p>
          <w:p w14:paraId="1F3050F5" w14:textId="7C920F78" w:rsidR="00EF5156" w:rsidRPr="00AF43A2" w:rsidRDefault="00EF5156" w:rsidP="000A0528">
            <w:pPr>
              <w:spacing w:after="0" w:line="240" w:lineRule="auto"/>
              <w:ind w:firstLine="284"/>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000000"/>
                <w:sz w:val="21"/>
                <w:szCs w:val="21"/>
                <w:lang w:val="en-GB"/>
              </w:rPr>
              <w:t>The year 2019 bec</w:t>
            </w:r>
            <w:r w:rsidR="00940594" w:rsidRPr="00AF43A2">
              <w:rPr>
                <w:rFonts w:asciiTheme="minorHAnsi" w:eastAsia="Calibri" w:hAnsiTheme="minorHAnsi" w:cstheme="minorHAnsi"/>
                <w:color w:val="000000"/>
                <w:sz w:val="21"/>
                <w:szCs w:val="21"/>
                <w:lang w:val="en-GB"/>
              </w:rPr>
              <w:t>a</w:t>
            </w:r>
            <w:r w:rsidRPr="00AF43A2">
              <w:rPr>
                <w:rFonts w:asciiTheme="minorHAnsi" w:eastAsia="Calibri" w:hAnsiTheme="minorHAnsi" w:cstheme="minorHAnsi"/>
                <w:color w:val="000000"/>
                <w:sz w:val="21"/>
                <w:szCs w:val="21"/>
                <w:lang w:val="en-GB"/>
              </w:rPr>
              <w:t xml:space="preserve">me notorious after the involvement of the Ombudsman in solving the issue of discriminatory practices towards PLHIV with disabilities. The stipulation in </w:t>
            </w:r>
            <w:r w:rsidR="00940594" w:rsidRPr="00AF43A2">
              <w:rPr>
                <w:rFonts w:asciiTheme="minorHAnsi" w:eastAsia="Calibri" w:hAnsiTheme="minorHAnsi" w:cstheme="minorHAnsi"/>
                <w:color w:val="000000"/>
                <w:sz w:val="21"/>
                <w:szCs w:val="21"/>
                <w:lang w:val="en-GB"/>
              </w:rPr>
              <w:t>O</w:t>
            </w:r>
            <w:r w:rsidRPr="00AF43A2">
              <w:rPr>
                <w:rFonts w:asciiTheme="minorHAnsi" w:eastAsia="Calibri" w:hAnsiTheme="minorHAnsi" w:cstheme="minorHAnsi"/>
                <w:color w:val="000000"/>
                <w:sz w:val="21"/>
                <w:szCs w:val="21"/>
                <w:lang w:val="en-GB"/>
              </w:rPr>
              <w:t>rder 26 of 2015 of the Ministry of Social Protection</w:t>
            </w:r>
            <w:r w:rsidR="00940594"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where PLHIV were excluded from the provision of </w:t>
            </w:r>
            <w:r w:rsidRPr="00AF43A2">
              <w:rPr>
                <w:rFonts w:asciiTheme="minorHAnsi" w:eastAsia="Calibri" w:hAnsiTheme="minorHAnsi" w:cstheme="minorHAnsi"/>
                <w:color w:val="1E1E1E" w:themeColor="background2"/>
                <w:sz w:val="21"/>
                <w:szCs w:val="21"/>
                <w:lang w:val="en-GB"/>
              </w:rPr>
              <w:t>social services to persons with disabilities, was removed.</w:t>
            </w:r>
          </w:p>
          <w:p w14:paraId="1B9E8BDE" w14:textId="77FE985A" w:rsidR="00EF5156" w:rsidRPr="00AF43A2" w:rsidRDefault="00EF5156" w:rsidP="000A0528">
            <w:pPr>
              <w:spacing w:after="0" w:line="240" w:lineRule="auto"/>
              <w:ind w:firstLine="284"/>
              <w:jc w:val="both"/>
              <w:rPr>
                <w:rFonts w:asciiTheme="minorHAnsi" w:eastAsia="Calibri" w:hAnsiTheme="minorHAnsi" w:cstheme="minorHAnsi"/>
                <w:b/>
                <w:color w:val="000000"/>
                <w:sz w:val="21"/>
                <w:szCs w:val="21"/>
                <w:lang w:val="en-GB"/>
              </w:rPr>
            </w:pPr>
            <w:r w:rsidRPr="00AF43A2">
              <w:rPr>
                <w:rFonts w:asciiTheme="minorHAnsi" w:eastAsia="Calibri" w:hAnsiTheme="minorHAnsi" w:cstheme="minorHAnsi"/>
                <w:b/>
                <w:color w:val="1E1E1E" w:themeColor="background2"/>
                <w:sz w:val="21"/>
                <w:szCs w:val="21"/>
                <w:lang w:val="en-GB"/>
              </w:rPr>
              <w:t>Community-</w:t>
            </w:r>
            <w:r w:rsidR="00940594" w:rsidRPr="00AF43A2">
              <w:rPr>
                <w:rFonts w:asciiTheme="minorHAnsi" w:eastAsia="Calibri" w:hAnsiTheme="minorHAnsi" w:cstheme="minorHAnsi"/>
                <w:b/>
                <w:color w:val="1E1E1E" w:themeColor="background2"/>
                <w:sz w:val="21"/>
                <w:szCs w:val="21"/>
                <w:lang w:val="en-GB"/>
              </w:rPr>
              <w:t>based</w:t>
            </w:r>
            <w:r w:rsidRPr="00AF43A2">
              <w:rPr>
                <w:rFonts w:asciiTheme="minorHAnsi" w:eastAsia="Calibri" w:hAnsiTheme="minorHAnsi" w:cstheme="minorHAnsi"/>
                <w:b/>
                <w:color w:val="1E1E1E" w:themeColor="background2"/>
                <w:sz w:val="21"/>
                <w:szCs w:val="21"/>
                <w:lang w:val="en-GB"/>
              </w:rPr>
              <w:t xml:space="preserve"> service delivery </w:t>
            </w:r>
            <w:r w:rsidR="001E7E83" w:rsidRPr="00AF43A2">
              <w:rPr>
                <w:rFonts w:asciiTheme="minorHAnsi" w:eastAsia="Calibri" w:hAnsiTheme="minorHAnsi" w:cstheme="minorHAnsi"/>
                <w:color w:val="1E1E1E" w:themeColor="background2"/>
                <w:sz w:val="21"/>
                <w:szCs w:val="21"/>
                <w:lang w:val="en-GB"/>
              </w:rPr>
              <w:t>for key populations</w:t>
            </w:r>
            <w:r w:rsidRPr="00AF43A2">
              <w:rPr>
                <w:rFonts w:asciiTheme="minorHAnsi" w:eastAsia="Calibri" w:hAnsiTheme="minorHAnsi" w:cstheme="minorHAnsi"/>
                <w:color w:val="1E1E1E" w:themeColor="background2"/>
                <w:sz w:val="21"/>
                <w:szCs w:val="21"/>
                <w:lang w:val="en-GB"/>
              </w:rPr>
              <w:t xml:space="preserve"> is </w:t>
            </w:r>
            <w:r w:rsidR="004A6F93" w:rsidRPr="00AF43A2">
              <w:rPr>
                <w:rFonts w:asciiTheme="minorHAnsi" w:eastAsia="Calibri" w:hAnsiTheme="minorHAnsi" w:cstheme="minorHAnsi"/>
                <w:color w:val="1E1E1E" w:themeColor="background2"/>
                <w:sz w:val="21"/>
                <w:szCs w:val="21"/>
                <w:lang w:val="en-GB"/>
              </w:rPr>
              <w:t xml:space="preserve">currently mainly </w:t>
            </w:r>
            <w:r w:rsidRPr="00AF43A2">
              <w:rPr>
                <w:rFonts w:asciiTheme="minorHAnsi" w:eastAsia="Calibri" w:hAnsiTheme="minorHAnsi" w:cstheme="minorHAnsi"/>
                <w:color w:val="1E1E1E" w:themeColor="background2"/>
                <w:sz w:val="21"/>
                <w:szCs w:val="21"/>
                <w:lang w:val="en-GB"/>
              </w:rPr>
              <w:t xml:space="preserve">financed through </w:t>
            </w:r>
            <w:r w:rsidR="004A6F93" w:rsidRPr="00AF43A2">
              <w:rPr>
                <w:rFonts w:asciiTheme="minorHAnsi" w:eastAsia="Calibri" w:hAnsiTheme="minorHAnsi" w:cstheme="minorHAnsi"/>
                <w:color w:val="1E1E1E" w:themeColor="background2"/>
                <w:sz w:val="21"/>
                <w:szCs w:val="21"/>
                <w:lang w:val="en-GB"/>
              </w:rPr>
              <w:t xml:space="preserve">Global Fund support, and to a lesser extent through </w:t>
            </w:r>
            <w:r w:rsidRPr="00AF43A2">
              <w:rPr>
                <w:rFonts w:asciiTheme="minorHAnsi" w:eastAsia="Calibri" w:hAnsiTheme="minorHAnsi" w:cstheme="minorHAnsi"/>
                <w:color w:val="1E1E1E" w:themeColor="background2"/>
                <w:sz w:val="21"/>
                <w:szCs w:val="21"/>
                <w:lang w:val="en-GB"/>
              </w:rPr>
              <w:t>social contracting</w:t>
            </w:r>
            <w:r w:rsidR="001E7E83" w:rsidRPr="00AF43A2">
              <w:rPr>
                <w:rFonts w:asciiTheme="minorHAnsi" w:eastAsia="Calibri" w:hAnsiTheme="minorHAnsi" w:cstheme="minorHAnsi"/>
                <w:color w:val="1E1E1E" w:themeColor="background2"/>
                <w:sz w:val="21"/>
                <w:szCs w:val="21"/>
                <w:lang w:val="en-GB"/>
              </w:rPr>
              <w:t xml:space="preserve"> mechanisms, that are still being developed</w:t>
            </w:r>
            <w:r w:rsidRPr="00AF43A2">
              <w:rPr>
                <w:rFonts w:asciiTheme="minorHAnsi" w:eastAsia="Calibri" w:hAnsiTheme="minorHAnsi" w:cstheme="minorHAnsi"/>
                <w:color w:val="1E1E1E" w:themeColor="background2"/>
                <w:sz w:val="21"/>
                <w:szCs w:val="21"/>
                <w:lang w:val="en-GB"/>
              </w:rPr>
              <w:t xml:space="preserve">. The </w:t>
            </w:r>
            <w:r w:rsidRPr="00AF43A2">
              <w:rPr>
                <w:rFonts w:asciiTheme="minorHAnsi" w:eastAsia="Calibri" w:hAnsiTheme="minorHAnsi" w:cstheme="minorHAnsi"/>
                <w:color w:val="000000"/>
                <w:sz w:val="21"/>
                <w:szCs w:val="21"/>
                <w:lang w:val="en-GB"/>
              </w:rPr>
              <w:t xml:space="preserve">work of NGOs is being built around SOPs that have been developed in 2019 in consultation with NGOs for prevention services for KPs, PLHIV and social assistance delivered through NGOs. The SOP standardises the testing, prevention and care services and provides standards for the work delivered by NGO outreach and peer workers. </w:t>
            </w:r>
          </w:p>
          <w:p w14:paraId="2C688B5B" w14:textId="00F8B19D" w:rsidR="00EF5156" w:rsidRPr="00AF43A2" w:rsidRDefault="00EF5156" w:rsidP="000A0528">
            <w:pPr>
              <w:spacing w:after="0" w:line="240" w:lineRule="auto"/>
              <w:ind w:firstLine="284"/>
              <w:jc w:val="both"/>
              <w:rPr>
                <w:rFonts w:asciiTheme="minorHAnsi" w:eastAsia="Calibri" w:hAnsiTheme="minorHAnsi" w:cstheme="minorHAnsi"/>
                <w:color w:val="000000"/>
                <w:sz w:val="8"/>
                <w:szCs w:val="8"/>
                <w:lang w:val="en-GB"/>
              </w:rPr>
            </w:pPr>
            <w:r w:rsidRPr="00AF43A2">
              <w:rPr>
                <w:rFonts w:asciiTheme="minorHAnsi" w:eastAsia="Calibri" w:hAnsiTheme="minorHAnsi" w:cstheme="minorHAnsi"/>
                <w:color w:val="000000"/>
                <w:sz w:val="21"/>
                <w:szCs w:val="21"/>
                <w:lang w:val="en-GB"/>
              </w:rPr>
              <w:t xml:space="preserve">In 2019, 53 </w:t>
            </w:r>
            <w:r w:rsidR="00940594" w:rsidRPr="00AF43A2">
              <w:rPr>
                <w:rFonts w:asciiTheme="minorHAnsi" w:eastAsia="Calibri" w:hAnsiTheme="minorHAnsi" w:cstheme="minorHAnsi"/>
                <w:color w:val="000000"/>
                <w:sz w:val="21"/>
                <w:szCs w:val="21"/>
                <w:lang w:val="en-GB"/>
              </w:rPr>
              <w:t xml:space="preserve">national and international </w:t>
            </w:r>
            <w:r w:rsidRPr="00AF43A2">
              <w:rPr>
                <w:rFonts w:asciiTheme="minorHAnsi" w:eastAsia="Calibri" w:hAnsiTheme="minorHAnsi" w:cstheme="minorHAnsi"/>
                <w:color w:val="000000"/>
                <w:sz w:val="21"/>
                <w:szCs w:val="21"/>
                <w:lang w:val="en-GB"/>
              </w:rPr>
              <w:t xml:space="preserve">NGOs worked in Kazakhstan on HIV issues in 14 out of 17 regions. Of these, 15 NGOs received </w:t>
            </w:r>
            <w:r w:rsidR="00940594" w:rsidRPr="00AF43A2">
              <w:rPr>
                <w:rFonts w:asciiTheme="minorHAnsi" w:eastAsia="Calibri" w:hAnsiTheme="minorHAnsi" w:cstheme="minorHAnsi"/>
                <w:color w:val="000000"/>
                <w:sz w:val="21"/>
                <w:szCs w:val="21"/>
                <w:lang w:val="en-GB"/>
              </w:rPr>
              <w:t>S</w:t>
            </w:r>
            <w:r w:rsidRPr="00AF43A2">
              <w:rPr>
                <w:rFonts w:asciiTheme="minorHAnsi" w:eastAsia="Calibri" w:hAnsiTheme="minorHAnsi" w:cstheme="minorHAnsi"/>
                <w:color w:val="000000"/>
                <w:sz w:val="21"/>
                <w:szCs w:val="21"/>
                <w:lang w:val="en-GB"/>
              </w:rPr>
              <w:t xml:space="preserve">tate </w:t>
            </w:r>
            <w:r w:rsidR="00940594" w:rsidRPr="00AF43A2">
              <w:rPr>
                <w:rFonts w:asciiTheme="minorHAnsi" w:eastAsia="Calibri" w:hAnsiTheme="minorHAnsi" w:cstheme="minorHAnsi"/>
                <w:color w:val="000000"/>
                <w:sz w:val="21"/>
                <w:szCs w:val="21"/>
                <w:lang w:val="en-GB"/>
              </w:rPr>
              <w:t>S</w:t>
            </w:r>
            <w:r w:rsidRPr="00AF43A2">
              <w:rPr>
                <w:rFonts w:asciiTheme="minorHAnsi" w:eastAsia="Calibri" w:hAnsiTheme="minorHAnsi" w:cstheme="minorHAnsi"/>
                <w:color w:val="000000"/>
                <w:sz w:val="21"/>
                <w:szCs w:val="21"/>
                <w:lang w:val="en-GB"/>
              </w:rPr>
              <w:t xml:space="preserve">ocial </w:t>
            </w:r>
            <w:r w:rsidR="00940594" w:rsidRPr="00AF43A2">
              <w:rPr>
                <w:rFonts w:asciiTheme="minorHAnsi" w:eastAsia="Calibri" w:hAnsiTheme="minorHAnsi" w:cstheme="minorHAnsi"/>
                <w:color w:val="000000"/>
                <w:sz w:val="21"/>
                <w:szCs w:val="21"/>
                <w:lang w:val="en-GB"/>
              </w:rPr>
              <w:t>Orders</w:t>
            </w:r>
            <w:r w:rsidRPr="00AF43A2">
              <w:rPr>
                <w:rFonts w:asciiTheme="minorHAnsi" w:eastAsia="Calibri" w:hAnsiTheme="minorHAnsi" w:cstheme="minorHAnsi"/>
                <w:color w:val="000000"/>
                <w:sz w:val="21"/>
                <w:szCs w:val="21"/>
                <w:lang w:val="en-GB"/>
              </w:rPr>
              <w:t xml:space="preserve"> for HIV-related work in 12 of the 17 regions under social contracting. In total, 29 NGOs worked for </w:t>
            </w:r>
            <w:r w:rsidR="00940594" w:rsidRPr="00AF43A2">
              <w:rPr>
                <w:rFonts w:asciiTheme="minorHAnsi" w:eastAsia="Calibri" w:hAnsiTheme="minorHAnsi" w:cstheme="minorHAnsi"/>
                <w:color w:val="000000"/>
                <w:sz w:val="21"/>
                <w:szCs w:val="21"/>
                <w:lang w:val="en-GB"/>
              </w:rPr>
              <w:t xml:space="preserve">HIV </w:t>
            </w:r>
            <w:r w:rsidRPr="00AF43A2">
              <w:rPr>
                <w:rFonts w:asciiTheme="minorHAnsi" w:eastAsia="Calibri" w:hAnsiTheme="minorHAnsi" w:cstheme="minorHAnsi"/>
                <w:color w:val="000000"/>
                <w:sz w:val="21"/>
                <w:szCs w:val="21"/>
                <w:lang w:val="en-GB"/>
              </w:rPr>
              <w:t>prevention in key populations</w:t>
            </w:r>
            <w:r w:rsidR="00940594"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 xml:space="preserve"> of which </w:t>
            </w:r>
            <w:r w:rsidR="00940594" w:rsidRPr="00AF43A2">
              <w:rPr>
                <w:rFonts w:asciiTheme="minorHAnsi" w:eastAsia="Calibri" w:hAnsiTheme="minorHAnsi" w:cstheme="minorHAnsi"/>
                <w:color w:val="000000"/>
                <w:sz w:val="21"/>
                <w:szCs w:val="21"/>
                <w:lang w:val="en-GB"/>
              </w:rPr>
              <w:t>five</w:t>
            </w:r>
            <w:r w:rsidRPr="00AF43A2">
              <w:rPr>
                <w:rFonts w:asciiTheme="minorHAnsi" w:eastAsia="Calibri" w:hAnsiTheme="minorHAnsi" w:cstheme="minorHAnsi"/>
                <w:color w:val="000000"/>
                <w:sz w:val="21"/>
                <w:szCs w:val="21"/>
                <w:lang w:val="en-GB"/>
              </w:rPr>
              <w:t xml:space="preserve"> worked on social contracting for these groups.</w:t>
            </w:r>
          </w:p>
          <w:p w14:paraId="41B6F561" w14:textId="77777777" w:rsidR="00EF5156" w:rsidRPr="00AF43A2" w:rsidRDefault="00EF5156" w:rsidP="000A0528">
            <w:pPr>
              <w:spacing w:after="0" w:line="240" w:lineRule="auto"/>
              <w:jc w:val="both"/>
              <w:rPr>
                <w:rFonts w:asciiTheme="minorHAnsi" w:eastAsia="Calibri" w:hAnsiTheme="minorHAnsi" w:cstheme="minorHAnsi"/>
                <w:color w:val="FF0000"/>
                <w:sz w:val="8"/>
                <w:szCs w:val="8"/>
                <w:lang w:val="en-GB"/>
              </w:rPr>
            </w:pPr>
          </w:p>
          <w:p w14:paraId="22F0637B" w14:textId="77777777" w:rsidR="00EF5156" w:rsidRPr="00AF43A2" w:rsidRDefault="00EF5156" w:rsidP="000A0528">
            <w:pPr>
              <w:spacing w:after="0" w:line="240" w:lineRule="auto"/>
              <w:jc w:val="both"/>
              <w:rPr>
                <w:rFonts w:asciiTheme="minorHAnsi" w:eastAsia="Calibri" w:hAnsiTheme="minorHAnsi" w:cstheme="minorHAnsi"/>
                <w:b/>
                <w:color w:val="1E1E1E" w:themeColor="background2"/>
                <w:sz w:val="21"/>
                <w:szCs w:val="21"/>
                <w:lang w:val="en-GB"/>
              </w:rPr>
            </w:pPr>
            <w:r w:rsidRPr="00AF43A2">
              <w:rPr>
                <w:rFonts w:asciiTheme="minorHAnsi" w:eastAsia="Calibri" w:hAnsiTheme="minorHAnsi" w:cstheme="minorHAnsi"/>
                <w:b/>
                <w:color w:val="000000"/>
                <w:sz w:val="21"/>
                <w:szCs w:val="21"/>
                <w:lang w:val="en-GB"/>
              </w:rPr>
              <w:t>Investments</w:t>
            </w:r>
          </w:p>
          <w:p w14:paraId="5B2E9573" w14:textId="5211E967"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1E1E1E" w:themeColor="background2"/>
                <w:sz w:val="21"/>
                <w:szCs w:val="21"/>
                <w:lang w:val="en-GB"/>
              </w:rPr>
              <w:t>In 2019</w:t>
            </w:r>
            <w:r w:rsidR="00940594"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the government funding for the HIV programme covered around 9</w:t>
            </w:r>
            <w:r w:rsidR="00F074E6">
              <w:rPr>
                <w:rFonts w:asciiTheme="minorHAnsi" w:eastAsia="Calibri" w:hAnsiTheme="minorHAnsi" w:cstheme="minorHAnsi"/>
                <w:color w:val="1E1E1E" w:themeColor="background2"/>
                <w:sz w:val="21"/>
                <w:szCs w:val="21"/>
                <w:lang w:val="en-GB"/>
              </w:rPr>
              <w:t>5</w:t>
            </w:r>
            <w:r w:rsidRPr="00AF43A2">
              <w:rPr>
                <w:rFonts w:asciiTheme="minorHAnsi" w:eastAsia="Calibri" w:hAnsiTheme="minorHAnsi" w:cstheme="minorHAnsi"/>
                <w:color w:val="1E1E1E" w:themeColor="background2"/>
                <w:sz w:val="21"/>
                <w:szCs w:val="21"/>
                <w:lang w:val="en-GB"/>
              </w:rPr>
              <w:t xml:space="preserve">% of the </w:t>
            </w:r>
            <w:r w:rsidR="001E7E83" w:rsidRPr="00AF43A2">
              <w:rPr>
                <w:rFonts w:asciiTheme="minorHAnsi" w:eastAsia="Calibri" w:hAnsiTheme="minorHAnsi" w:cstheme="minorHAnsi"/>
                <w:color w:val="1E1E1E" w:themeColor="background2"/>
                <w:sz w:val="21"/>
                <w:szCs w:val="21"/>
                <w:lang w:val="en-GB"/>
              </w:rPr>
              <w:t>national response</w:t>
            </w:r>
            <w:r w:rsidRPr="00AF43A2">
              <w:rPr>
                <w:rFonts w:asciiTheme="minorHAnsi" w:eastAsia="Calibri" w:hAnsiTheme="minorHAnsi" w:cstheme="minorHAnsi"/>
                <w:color w:val="1E1E1E" w:themeColor="background2"/>
                <w:sz w:val="21"/>
                <w:szCs w:val="21"/>
                <w:lang w:val="en-GB"/>
              </w:rPr>
              <w:t xml:space="preserve">. The government </w:t>
            </w:r>
            <w:r w:rsidR="00940594" w:rsidRPr="00AF43A2">
              <w:rPr>
                <w:rFonts w:asciiTheme="minorHAnsi" w:eastAsia="Calibri" w:hAnsiTheme="minorHAnsi" w:cstheme="minorHAnsi"/>
                <w:color w:val="1E1E1E" w:themeColor="background2"/>
                <w:sz w:val="21"/>
                <w:szCs w:val="21"/>
                <w:lang w:val="en-GB"/>
              </w:rPr>
              <w:t>finances</w:t>
            </w:r>
            <w:r w:rsidRPr="00AF43A2">
              <w:rPr>
                <w:rFonts w:asciiTheme="minorHAnsi" w:eastAsia="Calibri" w:hAnsiTheme="minorHAnsi" w:cstheme="minorHAnsi"/>
                <w:color w:val="1E1E1E" w:themeColor="background2"/>
                <w:sz w:val="21"/>
                <w:szCs w:val="21"/>
                <w:lang w:val="en-GB"/>
              </w:rPr>
              <w:t xml:space="preserve"> </w:t>
            </w:r>
            <w:r w:rsidR="00940594" w:rsidRPr="00AF43A2">
              <w:rPr>
                <w:rFonts w:asciiTheme="minorHAnsi" w:eastAsia="Calibri" w:hAnsiTheme="minorHAnsi" w:cstheme="minorHAnsi"/>
                <w:color w:val="1E1E1E" w:themeColor="background2"/>
                <w:sz w:val="21"/>
                <w:szCs w:val="21"/>
                <w:lang w:val="en-GB"/>
              </w:rPr>
              <w:t xml:space="preserve">HIV </w:t>
            </w:r>
            <w:r w:rsidRPr="00AF43A2">
              <w:rPr>
                <w:rFonts w:asciiTheme="minorHAnsi" w:eastAsia="Calibri" w:hAnsiTheme="minorHAnsi" w:cstheme="minorHAnsi"/>
                <w:color w:val="1E1E1E" w:themeColor="background2"/>
                <w:sz w:val="21"/>
                <w:szCs w:val="21"/>
                <w:lang w:val="en-GB"/>
              </w:rPr>
              <w:t>prevention programmes for KPs</w:t>
            </w:r>
            <w:r w:rsidR="00940594"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procurement and distribution of syringes, condoms and information materials</w:t>
            </w:r>
            <w:r w:rsidR="00940594"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w:t>
            </w:r>
            <w:r w:rsidR="00940594" w:rsidRPr="00AF43A2">
              <w:rPr>
                <w:rFonts w:asciiTheme="minorHAnsi" w:eastAsia="Calibri" w:hAnsiTheme="minorHAnsi" w:cstheme="minorHAnsi"/>
                <w:color w:val="1E1E1E" w:themeColor="background2"/>
                <w:sz w:val="21"/>
                <w:szCs w:val="21"/>
                <w:lang w:val="en-GB"/>
              </w:rPr>
              <w:t>salaries</w:t>
            </w:r>
            <w:r w:rsidRPr="00AF43A2">
              <w:rPr>
                <w:rFonts w:asciiTheme="minorHAnsi" w:eastAsia="Calibri" w:hAnsiTheme="minorHAnsi" w:cstheme="minorHAnsi"/>
                <w:color w:val="1E1E1E" w:themeColor="background2"/>
                <w:sz w:val="21"/>
                <w:szCs w:val="21"/>
                <w:lang w:val="en-GB"/>
              </w:rPr>
              <w:t xml:space="preserve"> of outreach workers</w:t>
            </w:r>
            <w:r w:rsidR="001E7E83" w:rsidRPr="00AF43A2">
              <w:rPr>
                <w:rFonts w:asciiTheme="minorHAnsi" w:eastAsia="Calibri" w:hAnsiTheme="minorHAnsi" w:cstheme="minorHAnsi"/>
                <w:color w:val="1E1E1E" w:themeColor="background2"/>
                <w:sz w:val="21"/>
                <w:szCs w:val="21"/>
                <w:lang w:val="en-GB"/>
              </w:rPr>
              <w:t xml:space="preserve"> at AIDS Centres</w:t>
            </w:r>
            <w:r w:rsidR="00940594" w:rsidRPr="00AF43A2">
              <w:rPr>
                <w:rFonts w:asciiTheme="minorHAnsi" w:eastAsia="Calibri" w:hAnsiTheme="minorHAnsi" w:cstheme="minorHAnsi"/>
                <w:color w:val="1E1E1E" w:themeColor="background2"/>
                <w:sz w:val="21"/>
                <w:szCs w:val="21"/>
                <w:lang w:val="en-GB"/>
              </w:rPr>
              <w:t>;</w:t>
            </w:r>
            <w:r w:rsidR="00A34937" w:rsidRPr="00AF43A2">
              <w:rPr>
                <w:rFonts w:asciiTheme="minorHAnsi" w:eastAsia="Calibri" w:hAnsiTheme="minorHAnsi" w:cstheme="minorHAnsi"/>
                <w:color w:val="1E1E1E" w:themeColor="background2"/>
                <w:sz w:val="21"/>
                <w:szCs w:val="21"/>
                <w:lang w:val="en-GB"/>
              </w:rPr>
              <w:t xml:space="preserve"> </w:t>
            </w:r>
            <w:r w:rsidRPr="00AF43A2">
              <w:rPr>
                <w:rFonts w:asciiTheme="minorHAnsi" w:eastAsia="Calibri" w:hAnsiTheme="minorHAnsi" w:cstheme="minorHAnsi"/>
                <w:color w:val="1E1E1E" w:themeColor="background2"/>
                <w:sz w:val="21"/>
                <w:szCs w:val="21"/>
                <w:lang w:val="en-GB"/>
              </w:rPr>
              <w:t>ARV treatment and PEP</w:t>
            </w:r>
            <w:r w:rsidR="00940594"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procurement of drugs for opportunistic infections; </w:t>
            </w:r>
            <w:r w:rsidRPr="00AF43A2">
              <w:rPr>
                <w:rFonts w:asciiTheme="minorHAnsi" w:eastAsia="Calibri" w:hAnsiTheme="minorHAnsi" w:cstheme="minorHAnsi"/>
                <w:color w:val="000000"/>
                <w:sz w:val="21"/>
                <w:szCs w:val="21"/>
                <w:lang w:val="en-GB"/>
              </w:rPr>
              <w:t>diagnostics with procurement of test systems and organi</w:t>
            </w:r>
            <w:r w:rsidR="00E2077D" w:rsidRPr="00AF43A2">
              <w:rPr>
                <w:rFonts w:asciiTheme="minorHAnsi" w:eastAsia="Calibri" w:hAnsiTheme="minorHAnsi" w:cstheme="minorHAnsi"/>
                <w:color w:val="000000"/>
                <w:sz w:val="21"/>
                <w:szCs w:val="21"/>
                <w:lang w:val="en-GB"/>
              </w:rPr>
              <w:t>s</w:t>
            </w:r>
            <w:r w:rsidRPr="00AF43A2">
              <w:rPr>
                <w:rFonts w:asciiTheme="minorHAnsi" w:eastAsia="Calibri" w:hAnsiTheme="minorHAnsi" w:cstheme="minorHAnsi"/>
                <w:color w:val="000000"/>
                <w:sz w:val="21"/>
                <w:szCs w:val="21"/>
                <w:lang w:val="en-GB"/>
              </w:rPr>
              <w:t xml:space="preserve">ation of testing for HIV infection and HIV-indicated diseases. </w:t>
            </w:r>
          </w:p>
          <w:p w14:paraId="25284E72" w14:textId="6AE64A0D" w:rsidR="00EF5156" w:rsidRPr="00AF43A2" w:rsidRDefault="00EF5156" w:rsidP="000A0528">
            <w:pPr>
              <w:spacing w:after="0" w:line="240" w:lineRule="auto"/>
              <w:ind w:firstLine="284"/>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000000"/>
                <w:sz w:val="21"/>
                <w:szCs w:val="21"/>
                <w:lang w:val="en-GB"/>
              </w:rPr>
              <w:t>Results suggest that past investments have had an important impact on the HIV response. Had the HIV program</w:t>
            </w:r>
            <w:r w:rsidR="001E7E83" w:rsidRPr="00AF43A2">
              <w:rPr>
                <w:rFonts w:asciiTheme="minorHAnsi" w:eastAsia="Calibri" w:hAnsiTheme="minorHAnsi" w:cstheme="minorHAnsi"/>
                <w:color w:val="000000"/>
                <w:sz w:val="21"/>
                <w:szCs w:val="21"/>
                <w:lang w:val="en-GB"/>
              </w:rPr>
              <w:t>me</w:t>
            </w:r>
            <w:r w:rsidRPr="00AF43A2">
              <w:rPr>
                <w:rFonts w:asciiTheme="minorHAnsi" w:eastAsia="Calibri" w:hAnsiTheme="minorHAnsi" w:cstheme="minorHAnsi"/>
                <w:color w:val="000000"/>
                <w:sz w:val="21"/>
                <w:szCs w:val="21"/>
                <w:lang w:val="en-GB"/>
              </w:rPr>
              <w:t xml:space="preserve"> not been implemented from 2015 to 2017, it is estimated that </w:t>
            </w:r>
            <w:r w:rsidR="00940594" w:rsidRPr="00AF43A2">
              <w:rPr>
                <w:rFonts w:asciiTheme="minorHAnsi" w:eastAsia="Calibri" w:hAnsiTheme="minorHAnsi" w:cstheme="minorHAnsi"/>
                <w:color w:val="000000"/>
                <w:sz w:val="21"/>
                <w:szCs w:val="21"/>
                <w:lang w:val="en-GB"/>
              </w:rPr>
              <w:t xml:space="preserve">in 2018 </w:t>
            </w:r>
            <w:r w:rsidRPr="00AF43A2">
              <w:rPr>
                <w:rFonts w:asciiTheme="minorHAnsi" w:eastAsia="Calibri" w:hAnsiTheme="minorHAnsi" w:cstheme="minorHAnsi"/>
                <w:color w:val="000000"/>
                <w:sz w:val="21"/>
                <w:szCs w:val="21"/>
                <w:lang w:val="en-GB"/>
              </w:rPr>
              <w:t xml:space="preserve">there could have been almost 170% more new HIV infections (almost 8,300 more infections) and over 220% more HIV-related deaths (approximately 2,800 more deaths) over this period. </w:t>
            </w:r>
          </w:p>
          <w:p w14:paraId="165633F3" w14:textId="5F181F6A" w:rsidR="00EF5156" w:rsidRPr="00AF43A2" w:rsidRDefault="00EF5156" w:rsidP="000A0528">
            <w:pPr>
              <w:spacing w:after="0" w:line="240" w:lineRule="auto"/>
              <w:ind w:firstLine="284"/>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000000"/>
                <w:sz w:val="21"/>
                <w:szCs w:val="21"/>
                <w:lang w:val="en-GB"/>
              </w:rPr>
              <w:t>As of 2018, the latest reported HIV program</w:t>
            </w:r>
            <w:r w:rsidR="001E7E83" w:rsidRPr="00AF43A2">
              <w:rPr>
                <w:rFonts w:asciiTheme="minorHAnsi" w:eastAsia="Calibri" w:hAnsiTheme="minorHAnsi" w:cstheme="minorHAnsi"/>
                <w:color w:val="000000"/>
                <w:sz w:val="21"/>
                <w:szCs w:val="21"/>
                <w:lang w:val="en-GB"/>
              </w:rPr>
              <w:t>me</w:t>
            </w:r>
            <w:r w:rsidRPr="00AF43A2">
              <w:rPr>
                <w:rFonts w:asciiTheme="minorHAnsi" w:eastAsia="Calibri" w:hAnsiTheme="minorHAnsi" w:cstheme="minorHAnsi"/>
                <w:color w:val="000000"/>
                <w:sz w:val="21"/>
                <w:szCs w:val="21"/>
                <w:lang w:val="en-GB"/>
              </w:rPr>
              <w:t xml:space="preserve"> budget for Kazakhstan was USD 38,008,076 with approximately 8.2% of the total budget having been invested in non-targeted HIV programmes. Given that over 60% of new HIV infections in Kazakhstan are estimated to have occurred among MSM in 2018, results suggest scaling up investment </w:t>
            </w:r>
            <w:r w:rsidRPr="00AF43A2">
              <w:rPr>
                <w:rFonts w:asciiTheme="minorHAnsi" w:eastAsia="Calibri" w:hAnsiTheme="minorHAnsi" w:cstheme="minorHAnsi"/>
                <w:color w:val="1E1E1E" w:themeColor="background2"/>
                <w:sz w:val="21"/>
                <w:szCs w:val="21"/>
                <w:lang w:val="en-GB"/>
              </w:rPr>
              <w:t>for HIV testing and prevention programmes targeting MSM.</w:t>
            </w:r>
          </w:p>
          <w:p w14:paraId="52ADFF08" w14:textId="1EA6734F" w:rsidR="00EF5156" w:rsidRPr="00AF43A2" w:rsidRDefault="00EF5156" w:rsidP="000A0528">
            <w:pPr>
              <w:spacing w:after="0" w:line="240" w:lineRule="auto"/>
              <w:ind w:firstLine="284"/>
              <w:jc w:val="both"/>
              <w:rPr>
                <w:rFonts w:asciiTheme="minorHAnsi" w:eastAsia="Calibri" w:hAnsiTheme="minorHAnsi" w:cstheme="minorHAnsi"/>
                <w:color w:val="1E1E1E" w:themeColor="background2"/>
                <w:sz w:val="8"/>
                <w:szCs w:val="8"/>
                <w:lang w:val="en-GB"/>
              </w:rPr>
            </w:pPr>
            <w:r w:rsidRPr="00AF43A2">
              <w:rPr>
                <w:rFonts w:asciiTheme="minorHAnsi" w:eastAsia="Calibri" w:hAnsiTheme="minorHAnsi" w:cstheme="minorHAnsi"/>
                <w:color w:val="1E1E1E" w:themeColor="background2"/>
                <w:sz w:val="21"/>
                <w:szCs w:val="21"/>
                <w:lang w:val="en-GB"/>
              </w:rPr>
              <w:t xml:space="preserve">To </w:t>
            </w:r>
            <w:r w:rsidR="005A524E" w:rsidRPr="00AF43A2">
              <w:rPr>
                <w:rFonts w:asciiTheme="minorHAnsi" w:eastAsia="Calibri" w:hAnsiTheme="minorHAnsi" w:cstheme="minorHAnsi"/>
                <w:color w:val="1E1E1E" w:themeColor="background2"/>
                <w:sz w:val="21"/>
                <w:szCs w:val="21"/>
                <w:lang w:val="en-GB"/>
              </w:rPr>
              <w:t>attain the</w:t>
            </w:r>
            <w:r w:rsidRPr="00AF43A2">
              <w:rPr>
                <w:rFonts w:asciiTheme="minorHAnsi" w:eastAsia="Calibri" w:hAnsiTheme="minorHAnsi" w:cstheme="minorHAnsi"/>
                <w:color w:val="1E1E1E" w:themeColor="background2"/>
                <w:sz w:val="21"/>
                <w:szCs w:val="21"/>
                <w:lang w:val="en-GB"/>
              </w:rPr>
              <w:t xml:space="preserve"> 95-95-95</w:t>
            </w:r>
            <w:r w:rsidR="005A524E" w:rsidRPr="00AF43A2">
              <w:rPr>
                <w:rFonts w:asciiTheme="minorHAnsi" w:eastAsia="Calibri" w:hAnsiTheme="minorHAnsi" w:cstheme="minorHAnsi"/>
                <w:color w:val="1E1E1E" w:themeColor="background2"/>
                <w:sz w:val="21"/>
                <w:szCs w:val="21"/>
                <w:lang w:val="en-GB"/>
              </w:rPr>
              <w:t xml:space="preserve"> by 2030 </w:t>
            </w:r>
            <w:r w:rsidRPr="00AF43A2">
              <w:rPr>
                <w:rFonts w:asciiTheme="minorHAnsi" w:eastAsia="Calibri" w:hAnsiTheme="minorHAnsi" w:cstheme="minorHAnsi"/>
                <w:color w:val="1E1E1E" w:themeColor="background2"/>
                <w:sz w:val="21"/>
                <w:szCs w:val="21"/>
                <w:lang w:val="en-GB"/>
              </w:rPr>
              <w:t>targets, it is estimated that the annual HIV programme budget from 2019 to 2030 should be increased to 160% of the latest reported budget level (an additional USD 13M annually) and optimised with prioritisation of ART</w:t>
            </w:r>
            <w:r w:rsidR="00676D05">
              <w:rPr>
                <w:rFonts w:asciiTheme="minorHAnsi" w:eastAsia="Calibri" w:hAnsiTheme="minorHAnsi" w:cstheme="minorHAnsi"/>
                <w:color w:val="1E1E1E" w:themeColor="background2"/>
                <w:sz w:val="21"/>
                <w:szCs w:val="21"/>
                <w:lang w:val="en-GB"/>
              </w:rPr>
              <w:t xml:space="preserve"> and</w:t>
            </w:r>
            <w:r w:rsidRPr="00AF43A2">
              <w:rPr>
                <w:rFonts w:asciiTheme="minorHAnsi" w:eastAsia="Calibri" w:hAnsiTheme="minorHAnsi" w:cstheme="minorHAnsi"/>
                <w:color w:val="1E1E1E" w:themeColor="background2"/>
                <w:sz w:val="21"/>
                <w:szCs w:val="21"/>
                <w:lang w:val="en-GB"/>
              </w:rPr>
              <w:t xml:space="preserve"> </w:t>
            </w:r>
            <w:r w:rsidRPr="006965D1">
              <w:rPr>
                <w:rFonts w:asciiTheme="minorHAnsi" w:eastAsia="Calibri" w:hAnsiTheme="minorHAnsi" w:cstheme="minorHAnsi"/>
                <w:color w:val="1E1E1E" w:themeColor="background2"/>
                <w:sz w:val="21"/>
                <w:szCs w:val="21"/>
                <w:lang w:val="en-GB"/>
              </w:rPr>
              <w:t>HIV testing and prevention programmes targeting PWID and MSM</w:t>
            </w:r>
            <w:r w:rsidR="00676D05">
              <w:rPr>
                <w:rFonts w:asciiTheme="minorHAnsi" w:eastAsia="Calibri" w:hAnsiTheme="minorHAnsi" w:cstheme="minorHAnsi"/>
                <w:color w:val="1E1E1E" w:themeColor="background2"/>
                <w:sz w:val="21"/>
                <w:szCs w:val="21"/>
                <w:lang w:val="en-GB"/>
              </w:rPr>
              <w:t xml:space="preserve"> </w:t>
            </w:r>
            <w:r w:rsidR="00424341" w:rsidRPr="006965D1">
              <w:rPr>
                <w:rFonts w:asciiTheme="minorHAnsi" w:eastAsia="Calibri" w:hAnsiTheme="minorHAnsi" w:cstheme="minorHAnsi"/>
                <w:i/>
                <w:color w:val="1E1E1E" w:themeColor="background2"/>
                <w:sz w:val="21"/>
                <w:szCs w:val="21"/>
                <w:lang w:val="en-GB"/>
              </w:rPr>
              <w:t>(</w:t>
            </w:r>
            <w:r w:rsidR="00983897" w:rsidRPr="006965D1">
              <w:rPr>
                <w:rFonts w:asciiTheme="minorHAnsi" w:eastAsia="Calibri" w:hAnsiTheme="minorHAnsi" w:cstheme="minorHAnsi"/>
                <w:i/>
                <w:color w:val="1E1E1E" w:themeColor="background2"/>
                <w:sz w:val="21"/>
                <w:szCs w:val="21"/>
                <w:lang w:val="en-GB"/>
              </w:rPr>
              <w:t>see Annex 8, p. 8</w:t>
            </w:r>
            <w:r w:rsidR="00424341" w:rsidRPr="006965D1">
              <w:rPr>
                <w:rFonts w:asciiTheme="minorHAnsi" w:eastAsia="Calibri" w:hAnsiTheme="minorHAnsi" w:cstheme="minorHAnsi"/>
                <w:i/>
                <w:color w:val="1E1E1E" w:themeColor="background2"/>
                <w:sz w:val="21"/>
                <w:szCs w:val="21"/>
                <w:lang w:val="en-GB"/>
              </w:rPr>
              <w:t>)</w:t>
            </w:r>
            <w:r w:rsidRPr="006965D1">
              <w:rPr>
                <w:rFonts w:asciiTheme="minorHAnsi" w:eastAsia="Calibri" w:hAnsiTheme="minorHAnsi" w:cstheme="minorHAnsi"/>
                <w: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By 2030</w:t>
            </w:r>
            <w:r w:rsidRPr="00AF43A2">
              <w:rPr>
                <w:rFonts w:asciiTheme="minorHAnsi" w:eastAsia="Calibri" w:hAnsiTheme="minorHAnsi" w:cstheme="minorHAnsi"/>
                <w:color w:val="000000"/>
                <w:sz w:val="21"/>
                <w:szCs w:val="21"/>
                <w:lang w:val="en-GB"/>
              </w:rPr>
              <w:t xml:space="preserve">, this condition could facilitate Kazakhstan to have 95% of PLHIV be aware of their status; 98% of those diagnosed on treatment; and 95% of those on treatment to have </w:t>
            </w:r>
            <w:r w:rsidRPr="00AF43A2">
              <w:rPr>
                <w:rFonts w:asciiTheme="minorHAnsi" w:eastAsia="Calibri" w:hAnsiTheme="minorHAnsi" w:cstheme="minorHAnsi"/>
                <w:color w:val="1E1E1E" w:themeColor="background2"/>
                <w:sz w:val="21"/>
                <w:szCs w:val="21"/>
                <w:lang w:val="en-GB"/>
              </w:rPr>
              <w:t>achieved viral suppression.</w:t>
            </w:r>
          </w:p>
          <w:p w14:paraId="7429143C" w14:textId="77777777" w:rsidR="00EF5156" w:rsidRPr="00AF43A2" w:rsidRDefault="00EF5156" w:rsidP="000A0528">
            <w:pPr>
              <w:spacing w:after="0" w:line="240" w:lineRule="auto"/>
              <w:ind w:firstLine="284"/>
              <w:jc w:val="both"/>
              <w:rPr>
                <w:rFonts w:asciiTheme="minorHAnsi" w:eastAsia="Calibri" w:hAnsiTheme="minorHAnsi" w:cstheme="minorHAnsi"/>
                <w:color w:val="1E1E1E" w:themeColor="background2"/>
                <w:sz w:val="8"/>
                <w:szCs w:val="8"/>
                <w:lang w:val="en-GB"/>
              </w:rPr>
            </w:pPr>
          </w:p>
          <w:p w14:paraId="46D2A315" w14:textId="15503961" w:rsidR="00697814" w:rsidRPr="005C0D0B" w:rsidRDefault="00EF5156" w:rsidP="000A0528">
            <w:pPr>
              <w:spacing w:after="0" w:line="240" w:lineRule="auto"/>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b/>
                <w:i/>
                <w:color w:val="1E1E1E" w:themeColor="background2"/>
                <w:sz w:val="21"/>
                <w:szCs w:val="21"/>
                <w:lang w:val="en-GB"/>
              </w:rPr>
              <w:t>Empowering people living with, at risk of and affected by HIV to know their rights and to access justice and legal service</w:t>
            </w:r>
            <w:r w:rsidRPr="00AF43A2">
              <w:rPr>
                <w:rFonts w:asciiTheme="minorHAnsi" w:eastAsia="Calibri" w:hAnsiTheme="minorHAnsi" w:cstheme="minorHAnsi"/>
                <w:b/>
                <w:color w:val="1E1E1E" w:themeColor="background2"/>
                <w:sz w:val="21"/>
                <w:szCs w:val="21"/>
                <w:lang w:val="en-GB"/>
              </w:rPr>
              <w:t xml:space="preserve"> –</w:t>
            </w:r>
            <w:r w:rsidR="004B2F72">
              <w:rPr>
                <w:rFonts w:asciiTheme="minorHAnsi" w:eastAsia="Calibri" w:hAnsiTheme="minorHAnsi" w:cstheme="minorHAnsi"/>
                <w:color w:val="1E1E1E" w:themeColor="background2"/>
                <w:sz w:val="21"/>
                <w:szCs w:val="21"/>
                <w:lang w:val="en-GB"/>
              </w:rPr>
              <w:t xml:space="preserve"> </w:t>
            </w:r>
            <w:r w:rsidRPr="00AF43A2">
              <w:rPr>
                <w:rFonts w:asciiTheme="minorHAnsi" w:eastAsia="Calibri" w:hAnsiTheme="minorHAnsi" w:cstheme="minorHAnsi"/>
                <w:color w:val="1E1E1E" w:themeColor="background2"/>
                <w:sz w:val="21"/>
                <w:szCs w:val="21"/>
                <w:lang w:val="en-GB"/>
              </w:rPr>
              <w:t xml:space="preserve">The </w:t>
            </w:r>
            <w:r w:rsidR="00977CFF" w:rsidRPr="00AF43A2">
              <w:rPr>
                <w:rFonts w:asciiTheme="minorHAnsi" w:eastAsia="Calibri" w:hAnsiTheme="minorHAnsi" w:cstheme="minorHAnsi"/>
                <w:color w:val="1E1E1E" w:themeColor="background2"/>
                <w:sz w:val="21"/>
                <w:szCs w:val="21"/>
                <w:lang w:val="en-GB"/>
              </w:rPr>
              <w:t>Stigma Index</w:t>
            </w:r>
            <w:r w:rsidR="00940594" w:rsidRPr="00AF43A2">
              <w:rPr>
                <w:rFonts w:asciiTheme="minorHAnsi" w:eastAsia="Calibri" w:hAnsiTheme="minorHAnsi" w:cstheme="minorHAnsi"/>
                <w:color w:val="1E1E1E" w:themeColor="background2"/>
                <w:sz w:val="21"/>
                <w:szCs w:val="21"/>
                <w:lang w:val="en-GB"/>
              </w:rPr>
              <w:t xml:space="preserve"> Study</w:t>
            </w:r>
            <w:r w:rsidR="00977CFF" w:rsidRPr="00AF43A2">
              <w:rPr>
                <w:rFonts w:asciiTheme="minorHAnsi" w:eastAsia="Calibri" w:hAnsiTheme="minorHAnsi" w:cstheme="minorHAnsi"/>
                <w:color w:val="1E1E1E" w:themeColor="background2"/>
                <w:sz w:val="21"/>
                <w:szCs w:val="21"/>
                <w:lang w:val="en-GB"/>
              </w:rPr>
              <w:t xml:space="preserve"> conducted in Kazakhstan in 2015 </w:t>
            </w:r>
            <w:r w:rsidR="00424341" w:rsidRPr="00AF43A2">
              <w:rPr>
                <w:rFonts w:asciiTheme="minorHAnsi" w:eastAsia="Calibri" w:hAnsiTheme="minorHAnsi" w:cstheme="minorHAnsi"/>
                <w:color w:val="1E1E1E" w:themeColor="background2"/>
                <w:sz w:val="21"/>
                <w:szCs w:val="21"/>
                <w:lang w:val="en-GB"/>
              </w:rPr>
              <w:t>g</w:t>
            </w:r>
            <w:r w:rsidR="00977CFF" w:rsidRPr="00AF43A2">
              <w:rPr>
                <w:rFonts w:asciiTheme="minorHAnsi" w:eastAsia="Calibri" w:hAnsiTheme="minorHAnsi" w:cstheme="minorHAnsi"/>
                <w:color w:val="1E1E1E" w:themeColor="background2"/>
                <w:sz w:val="21"/>
                <w:szCs w:val="21"/>
                <w:lang w:val="en-GB"/>
              </w:rPr>
              <w:t xml:space="preserve">ives a good overview of the </w:t>
            </w:r>
            <w:r w:rsidRPr="00AF43A2">
              <w:rPr>
                <w:rFonts w:asciiTheme="minorHAnsi" w:eastAsia="Calibri" w:hAnsiTheme="minorHAnsi" w:cstheme="minorHAnsi"/>
                <w:color w:val="1E1E1E" w:themeColor="background2"/>
                <w:sz w:val="21"/>
                <w:szCs w:val="21"/>
                <w:lang w:val="en-GB"/>
              </w:rPr>
              <w:t>rights</w:t>
            </w:r>
            <w:r w:rsidR="00977CFF" w:rsidRPr="00AF43A2">
              <w:rPr>
                <w:rFonts w:asciiTheme="minorHAnsi" w:eastAsia="Calibri" w:hAnsiTheme="minorHAnsi" w:cstheme="minorHAnsi"/>
                <w:color w:val="1E1E1E" w:themeColor="background2"/>
                <w:sz w:val="21"/>
                <w:szCs w:val="21"/>
                <w:lang w:val="en-GB"/>
              </w:rPr>
              <w:t xml:space="preserve"> situation</w:t>
            </w:r>
            <w:r w:rsidRPr="00AF43A2">
              <w:rPr>
                <w:rFonts w:asciiTheme="minorHAnsi" w:eastAsia="Calibri" w:hAnsiTheme="minorHAnsi" w:cstheme="minorHAnsi"/>
                <w:color w:val="1E1E1E" w:themeColor="background2"/>
                <w:sz w:val="21"/>
                <w:szCs w:val="21"/>
                <w:lang w:val="en-GB"/>
              </w:rPr>
              <w:t xml:space="preserve"> of PLHIV</w:t>
            </w:r>
            <w:r w:rsidR="00940594"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000000"/>
                <w:sz w:val="21"/>
                <w:szCs w:val="21"/>
                <w:lang w:val="en-GB"/>
              </w:rPr>
              <w:t xml:space="preserve"> 14.9% of PLHIV indicated that over the past 12 months they faced situations that can be qualified as a violation of their rights based on HIV</w:t>
            </w:r>
            <w:r w:rsidR="00940594"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positive status. T</w:t>
            </w:r>
            <w:r w:rsidR="00977CFF" w:rsidRPr="00AF43A2">
              <w:rPr>
                <w:rFonts w:asciiTheme="minorHAnsi" w:eastAsia="Calibri" w:hAnsiTheme="minorHAnsi" w:cstheme="minorHAnsi"/>
                <w:color w:val="000000"/>
                <w:sz w:val="21"/>
                <w:szCs w:val="21"/>
                <w:lang w:val="en-GB"/>
              </w:rPr>
              <w:t>his included</w:t>
            </w:r>
            <w:r w:rsidRPr="00AF43A2">
              <w:rPr>
                <w:rFonts w:asciiTheme="minorHAnsi" w:eastAsia="Calibri" w:hAnsiTheme="minorHAnsi" w:cstheme="minorHAnsi"/>
                <w:color w:val="000000"/>
                <w:sz w:val="21"/>
                <w:szCs w:val="21"/>
                <w:lang w:val="en-GB"/>
              </w:rPr>
              <w:t xml:space="preserve">: detention against </w:t>
            </w:r>
            <w:r w:rsidR="00940594" w:rsidRPr="00AF43A2">
              <w:rPr>
                <w:rFonts w:asciiTheme="minorHAnsi" w:eastAsia="Calibri" w:hAnsiTheme="minorHAnsi" w:cstheme="minorHAnsi"/>
                <w:color w:val="000000"/>
                <w:sz w:val="21"/>
                <w:szCs w:val="21"/>
                <w:lang w:val="en-GB"/>
              </w:rPr>
              <w:t xml:space="preserve">their </w:t>
            </w:r>
            <w:r w:rsidRPr="00AF43A2">
              <w:rPr>
                <w:rFonts w:asciiTheme="minorHAnsi" w:eastAsia="Calibri" w:hAnsiTheme="minorHAnsi" w:cstheme="minorHAnsi"/>
                <w:color w:val="000000"/>
                <w:sz w:val="21"/>
                <w:szCs w:val="21"/>
                <w:lang w:val="en-GB"/>
              </w:rPr>
              <w:t xml:space="preserve">will, quarantine, isolation </w:t>
            </w:r>
            <w:r w:rsidRPr="00AF43A2">
              <w:rPr>
                <w:rFonts w:asciiTheme="minorHAnsi" w:eastAsia="Calibri" w:hAnsiTheme="minorHAnsi" w:cstheme="minorHAnsi"/>
                <w:color w:val="1E1E1E" w:themeColor="background2"/>
                <w:sz w:val="21"/>
                <w:szCs w:val="21"/>
                <w:lang w:val="en-GB"/>
              </w:rPr>
              <w:t xml:space="preserve">or separation from other people </w:t>
            </w:r>
            <w:r w:rsidR="00977CFF"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3.1%</w:t>
            </w:r>
            <w:r w:rsidR="002C037F"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refusal to provide health or life insurance </w:t>
            </w:r>
            <w:r w:rsidR="00977CFF"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2.1%</w:t>
            </w:r>
            <w:r w:rsidR="002C037F"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forced disclosure of HIV status for the purpose of entry to another country </w:t>
            </w:r>
            <w:r w:rsidR="00977CFF"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1.8%</w:t>
            </w:r>
            <w:r w:rsidR="002C037F"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forced disclosure of HIV status </w:t>
            </w:r>
            <w:r w:rsidRPr="005C0D0B">
              <w:rPr>
                <w:rFonts w:asciiTheme="minorHAnsi" w:eastAsia="Calibri" w:hAnsiTheme="minorHAnsi" w:cstheme="minorHAnsi"/>
                <w:color w:val="1E1E1E" w:themeColor="background2"/>
                <w:sz w:val="21"/>
                <w:szCs w:val="21"/>
                <w:lang w:val="en-GB"/>
              </w:rPr>
              <w:t xml:space="preserve">when applying for a residence permit or citizenship </w:t>
            </w:r>
            <w:r w:rsidR="00977CFF" w:rsidRPr="005C0D0B">
              <w:rPr>
                <w:rFonts w:asciiTheme="minorHAnsi" w:eastAsia="Calibri" w:hAnsiTheme="minorHAnsi" w:cstheme="minorHAnsi"/>
                <w:color w:val="1E1E1E" w:themeColor="background2"/>
                <w:sz w:val="21"/>
                <w:szCs w:val="21"/>
                <w:lang w:val="en-GB"/>
              </w:rPr>
              <w:t>–</w:t>
            </w:r>
            <w:r w:rsidRPr="005C0D0B">
              <w:rPr>
                <w:rFonts w:asciiTheme="minorHAnsi" w:eastAsia="Calibri" w:hAnsiTheme="minorHAnsi" w:cstheme="minorHAnsi"/>
                <w:color w:val="1E1E1E" w:themeColor="background2"/>
                <w:sz w:val="21"/>
                <w:szCs w:val="21"/>
                <w:lang w:val="en-GB"/>
              </w:rPr>
              <w:t xml:space="preserve"> 1.5%</w:t>
            </w:r>
            <w:r w:rsidR="002C037F" w:rsidRPr="005C0D0B">
              <w:rPr>
                <w:rFonts w:asciiTheme="minorHAnsi" w:eastAsia="Calibri" w:hAnsiTheme="minorHAnsi" w:cstheme="minorHAnsi"/>
                <w:color w:val="1E1E1E" w:themeColor="background2"/>
                <w:sz w:val="21"/>
                <w:szCs w:val="21"/>
                <w:lang w:val="en-GB"/>
              </w:rPr>
              <w:t>;</w:t>
            </w:r>
            <w:r w:rsidRPr="005C0D0B">
              <w:rPr>
                <w:rFonts w:asciiTheme="minorHAnsi" w:eastAsia="Calibri" w:hAnsiTheme="minorHAnsi" w:cstheme="minorHAnsi"/>
                <w:color w:val="1E1E1E" w:themeColor="background2"/>
                <w:sz w:val="21"/>
                <w:szCs w:val="21"/>
                <w:lang w:val="en-GB"/>
              </w:rPr>
              <w:t xml:space="preserve"> arrest or trial on charges related to HIV status </w:t>
            </w:r>
            <w:r w:rsidR="00977CFF" w:rsidRPr="005C0D0B">
              <w:rPr>
                <w:rFonts w:asciiTheme="minorHAnsi" w:eastAsia="Calibri" w:hAnsiTheme="minorHAnsi" w:cstheme="minorHAnsi"/>
                <w:color w:val="1E1E1E" w:themeColor="background2"/>
                <w:sz w:val="21"/>
                <w:szCs w:val="21"/>
                <w:lang w:val="en-GB"/>
              </w:rPr>
              <w:t>–</w:t>
            </w:r>
            <w:r w:rsidRPr="005C0D0B">
              <w:rPr>
                <w:rFonts w:asciiTheme="minorHAnsi" w:eastAsia="Calibri" w:hAnsiTheme="minorHAnsi" w:cstheme="minorHAnsi"/>
                <w:color w:val="1E1E1E" w:themeColor="background2"/>
                <w:sz w:val="21"/>
                <w:szCs w:val="21"/>
                <w:lang w:val="en-GB"/>
              </w:rPr>
              <w:t xml:space="preserve"> 0.8%</w:t>
            </w:r>
            <w:r w:rsidR="00697814" w:rsidRPr="005C0D0B">
              <w:rPr>
                <w:rFonts w:asciiTheme="minorHAnsi" w:eastAsia="Calibri" w:hAnsiTheme="minorHAnsi" w:cstheme="minorHAnsi"/>
                <w:color w:val="1E1E1E" w:themeColor="background2"/>
                <w:sz w:val="21"/>
                <w:szCs w:val="21"/>
                <w:lang w:val="en-GB"/>
              </w:rPr>
              <w:t>.</w:t>
            </w:r>
            <w:r w:rsidR="00A932AB" w:rsidRPr="005C0D0B">
              <w:rPr>
                <w:rFonts w:asciiTheme="minorHAnsi" w:eastAsia="Calibri" w:hAnsiTheme="minorHAnsi" w:cstheme="minorHAnsi"/>
                <w:color w:val="1E1E1E" w:themeColor="background2"/>
                <w:sz w:val="21"/>
                <w:szCs w:val="21"/>
                <w:lang w:val="en-GB"/>
              </w:rPr>
              <w:t xml:space="preserve"> </w:t>
            </w:r>
            <w:r w:rsidR="00697814" w:rsidRPr="005C0D0B">
              <w:rPr>
                <w:rFonts w:asciiTheme="minorHAnsi" w:eastAsia="Calibri" w:hAnsiTheme="minorHAnsi" w:cstheme="minorHAnsi"/>
                <w:color w:val="1E1E1E" w:themeColor="background2"/>
                <w:sz w:val="21"/>
                <w:szCs w:val="21"/>
                <w:lang w:val="en-GB"/>
              </w:rPr>
              <w:t>Results from the Stigma Index show that at least 18% of people living with HIV in Kazakhstan reported being denied health services. Health</w:t>
            </w:r>
            <w:r w:rsidR="00A932AB" w:rsidRPr="005C0D0B">
              <w:rPr>
                <w:rFonts w:asciiTheme="minorHAnsi" w:eastAsia="Calibri" w:hAnsiTheme="minorHAnsi" w:cstheme="minorHAnsi"/>
                <w:color w:val="1E1E1E" w:themeColor="background2"/>
                <w:sz w:val="21"/>
                <w:szCs w:val="21"/>
                <w:lang w:val="en-GB"/>
              </w:rPr>
              <w:t>-</w:t>
            </w:r>
            <w:r w:rsidR="00697814" w:rsidRPr="005C0D0B">
              <w:rPr>
                <w:rFonts w:asciiTheme="minorHAnsi" w:eastAsia="Calibri" w:hAnsiTheme="minorHAnsi" w:cstheme="minorHAnsi"/>
                <w:color w:val="1E1E1E" w:themeColor="background2"/>
                <w:sz w:val="21"/>
                <w:szCs w:val="21"/>
                <w:lang w:val="en-GB"/>
              </w:rPr>
              <w:t>care workers disclosing people’s HIV status without consent is also common</w:t>
            </w:r>
            <w:r w:rsidR="00A932AB" w:rsidRPr="005C0D0B">
              <w:rPr>
                <w:rFonts w:asciiTheme="minorHAnsi" w:eastAsia="Calibri" w:hAnsiTheme="minorHAnsi" w:cstheme="minorHAnsi"/>
                <w:color w:val="1E1E1E" w:themeColor="background2"/>
                <w:sz w:val="21"/>
                <w:szCs w:val="21"/>
                <w:lang w:val="en-GB"/>
              </w:rPr>
              <w:t xml:space="preserve">: more than 25% reported that a health-care professional ever told other people about their HIV status without their consent; while 20% reported having been denied health services because of their HIV status at least once in the past 12 months. </w:t>
            </w:r>
            <w:r w:rsidR="00697814" w:rsidRPr="005C0D0B">
              <w:rPr>
                <w:rFonts w:asciiTheme="minorHAnsi" w:eastAsia="Calibri" w:hAnsiTheme="minorHAnsi" w:cstheme="minorHAnsi"/>
                <w:color w:val="1E1E1E" w:themeColor="background2"/>
                <w:sz w:val="21"/>
                <w:szCs w:val="21"/>
                <w:lang w:val="en-GB"/>
              </w:rPr>
              <w:t xml:space="preserve">Discriminatory attitudes and misconceptions about HIV are also common. </w:t>
            </w:r>
            <w:r w:rsidR="005C0D0B" w:rsidRPr="005C0D0B">
              <w:rPr>
                <w:rFonts w:asciiTheme="minorHAnsi" w:eastAsia="Calibri" w:hAnsiTheme="minorHAnsi" w:cstheme="minorHAnsi"/>
                <w:color w:val="1E1E1E" w:themeColor="background2"/>
                <w:sz w:val="21"/>
                <w:szCs w:val="21"/>
                <w:lang w:val="en-GB"/>
              </w:rPr>
              <w:t>Similarly, a</w:t>
            </w:r>
            <w:r w:rsidR="00A932AB" w:rsidRPr="005C0D0B">
              <w:rPr>
                <w:rFonts w:asciiTheme="minorHAnsi" w:eastAsia="Calibri" w:hAnsiTheme="minorHAnsi" w:cstheme="minorHAnsi"/>
                <w:color w:val="1E1E1E" w:themeColor="background2"/>
                <w:sz w:val="21"/>
                <w:szCs w:val="21"/>
                <w:lang w:val="en-GB"/>
              </w:rPr>
              <w:t>lmost 50% of respondents thought that children living with HIV should not be able to attend school with children who are not living with HIV</w:t>
            </w:r>
            <w:r w:rsidR="00697814" w:rsidRPr="005C0D0B">
              <w:rPr>
                <w:rFonts w:asciiTheme="minorHAnsi" w:eastAsia="Calibri" w:hAnsiTheme="minorHAnsi" w:cstheme="minorHAnsi"/>
                <w:color w:val="1E1E1E" w:themeColor="background2"/>
                <w:sz w:val="21"/>
                <w:szCs w:val="21"/>
                <w:lang w:val="en-GB"/>
              </w:rPr>
              <w:t xml:space="preserve"> </w:t>
            </w:r>
            <w:r w:rsidR="00697814" w:rsidRPr="005C0D0B">
              <w:rPr>
                <w:rFonts w:asciiTheme="minorHAnsi" w:eastAsia="Calibri" w:hAnsiTheme="minorHAnsi" w:cstheme="minorHAnsi"/>
                <w:i/>
                <w:color w:val="1E1E1E" w:themeColor="background2"/>
                <w:sz w:val="21"/>
                <w:szCs w:val="21"/>
                <w:lang w:val="en-GB"/>
              </w:rPr>
              <w:t xml:space="preserve">(see Annex 15, </w:t>
            </w:r>
            <w:r w:rsidR="00A932AB" w:rsidRPr="005C0D0B">
              <w:rPr>
                <w:rFonts w:asciiTheme="minorHAnsi" w:eastAsia="Calibri" w:hAnsiTheme="minorHAnsi" w:cstheme="minorHAnsi"/>
                <w:i/>
                <w:color w:val="1E1E1E" w:themeColor="background2"/>
                <w:sz w:val="21"/>
                <w:szCs w:val="21"/>
                <w:lang w:val="en-GB"/>
              </w:rPr>
              <w:t>p</w:t>
            </w:r>
            <w:r w:rsidR="00697814" w:rsidRPr="005C0D0B">
              <w:rPr>
                <w:rFonts w:asciiTheme="minorHAnsi" w:eastAsia="Calibri" w:hAnsiTheme="minorHAnsi" w:cstheme="minorHAnsi"/>
                <w:i/>
                <w:color w:val="1E1E1E" w:themeColor="background2"/>
                <w:sz w:val="21"/>
                <w:szCs w:val="21"/>
                <w:lang w:val="en-GB"/>
              </w:rPr>
              <w:t>p</w:t>
            </w:r>
            <w:r w:rsidR="00A932AB" w:rsidRPr="005C0D0B">
              <w:rPr>
                <w:rFonts w:asciiTheme="minorHAnsi" w:eastAsia="Calibri" w:hAnsiTheme="minorHAnsi" w:cstheme="minorHAnsi"/>
                <w:i/>
                <w:color w:val="1E1E1E" w:themeColor="background2"/>
                <w:sz w:val="21"/>
                <w:szCs w:val="21"/>
                <w:lang w:val="en-GB"/>
              </w:rPr>
              <w:t>.</w:t>
            </w:r>
            <w:r w:rsidR="00697814" w:rsidRPr="005C0D0B">
              <w:rPr>
                <w:rFonts w:asciiTheme="minorHAnsi" w:eastAsia="Calibri" w:hAnsiTheme="minorHAnsi" w:cstheme="minorHAnsi"/>
                <w:i/>
                <w:color w:val="1E1E1E" w:themeColor="background2"/>
                <w:sz w:val="21"/>
                <w:szCs w:val="21"/>
                <w:lang w:val="en-GB"/>
              </w:rPr>
              <w:t xml:space="preserve"> </w:t>
            </w:r>
            <w:r w:rsidR="00A932AB" w:rsidRPr="005C0D0B">
              <w:rPr>
                <w:rFonts w:asciiTheme="minorHAnsi" w:eastAsia="Calibri" w:hAnsiTheme="minorHAnsi" w:cstheme="minorHAnsi"/>
                <w:i/>
                <w:color w:val="1E1E1E" w:themeColor="background2"/>
                <w:sz w:val="21"/>
                <w:szCs w:val="21"/>
                <w:lang w:val="en-GB"/>
              </w:rPr>
              <w:t xml:space="preserve">121, </w:t>
            </w:r>
            <w:r w:rsidR="00697814" w:rsidRPr="005C0D0B">
              <w:rPr>
                <w:rFonts w:asciiTheme="minorHAnsi" w:eastAsia="Calibri" w:hAnsiTheme="minorHAnsi" w:cstheme="minorHAnsi"/>
                <w:i/>
                <w:color w:val="1E1E1E" w:themeColor="background2"/>
                <w:sz w:val="21"/>
                <w:szCs w:val="21"/>
                <w:lang w:val="en-GB"/>
              </w:rPr>
              <w:t>123).</w:t>
            </w:r>
          </w:p>
          <w:p w14:paraId="200A31B5" w14:textId="7724D501" w:rsidR="00EF5156" w:rsidRPr="00AF43A2" w:rsidRDefault="00EF5156" w:rsidP="000A0528">
            <w:pPr>
              <w:spacing w:after="0" w:line="240" w:lineRule="auto"/>
              <w:ind w:firstLine="284"/>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1E1E1E" w:themeColor="background2"/>
                <w:sz w:val="21"/>
                <w:szCs w:val="21"/>
                <w:lang w:val="en-GB"/>
              </w:rPr>
              <w:lastRenderedPageBreak/>
              <w:t xml:space="preserve">In Kazakhstan, </w:t>
            </w:r>
            <w:r w:rsidRPr="00AF43A2">
              <w:rPr>
                <w:rFonts w:asciiTheme="minorHAnsi" w:eastAsia="Calibri" w:hAnsiTheme="minorHAnsi" w:cstheme="minorHAnsi"/>
                <w:b/>
                <w:i/>
                <w:color w:val="1E1E1E" w:themeColor="background2"/>
                <w:sz w:val="21"/>
                <w:szCs w:val="21"/>
                <w:lang w:val="en-GB"/>
              </w:rPr>
              <w:t>transgender people</w:t>
            </w:r>
            <w:r w:rsidRPr="00AF43A2">
              <w:rPr>
                <w:rFonts w:asciiTheme="minorHAnsi" w:eastAsia="Calibri" w:hAnsiTheme="minorHAnsi" w:cstheme="minorHAnsi"/>
                <w:color w:val="1E1E1E" w:themeColor="background2"/>
                <w:sz w:val="21"/>
                <w:szCs w:val="21"/>
                <w:lang w:val="en-GB"/>
              </w:rPr>
              <w:t xml:space="preserve"> face discrimination. Transgender persons have the right to surgical procedures to change their sex – but little access to other </w:t>
            </w:r>
            <w:r w:rsidRPr="006965D1">
              <w:rPr>
                <w:rFonts w:asciiTheme="minorHAnsi" w:eastAsia="Calibri" w:hAnsiTheme="minorHAnsi" w:cstheme="minorHAnsi"/>
                <w:color w:val="1E1E1E" w:themeColor="background2"/>
                <w:sz w:val="21"/>
                <w:szCs w:val="21"/>
                <w:lang w:val="en-GB"/>
              </w:rPr>
              <w:t>rights</w:t>
            </w:r>
            <w:r w:rsidR="003A11FB">
              <w:rPr>
                <w:rStyle w:val="af"/>
                <w:rFonts w:asciiTheme="minorHAnsi" w:eastAsia="Calibri" w:hAnsiTheme="minorHAnsi" w:cstheme="minorHAnsi"/>
                <w:color w:val="1E1E1E" w:themeColor="background2"/>
                <w:sz w:val="21"/>
                <w:szCs w:val="21"/>
              </w:rPr>
              <w:footnoteReference w:id="4"/>
            </w:r>
            <w:r w:rsidR="00977CFF" w:rsidRPr="006965D1">
              <w:rPr>
                <w:rFonts w:asciiTheme="minorHAnsi" w:eastAsia="Calibri" w:hAnsiTheme="minorHAnsi" w:cstheme="minorHAnsi"/>
                <w:i/>
                <w:color w:val="1E1E1E" w:themeColor="background2"/>
                <w:sz w:val="21"/>
                <w:szCs w:val="21"/>
                <w:lang w:val="en-GB"/>
              </w:rPr>
              <w:t>.</w:t>
            </w:r>
          </w:p>
          <w:p w14:paraId="242276FA" w14:textId="546579D4" w:rsidR="00977CFF" w:rsidRPr="00AF43A2" w:rsidRDefault="00EF5156" w:rsidP="000A0528">
            <w:pPr>
              <w:spacing w:after="0" w:line="240" w:lineRule="auto"/>
              <w:ind w:firstLine="284"/>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1E1E1E" w:themeColor="background2"/>
                <w:sz w:val="21"/>
                <w:szCs w:val="21"/>
                <w:lang w:val="en-GB"/>
              </w:rPr>
              <w:t xml:space="preserve">In 2019 AFEW Kazakhstan introduced </w:t>
            </w:r>
            <w:r w:rsidR="001E7E83" w:rsidRPr="00AF43A2">
              <w:rPr>
                <w:rFonts w:asciiTheme="minorHAnsi" w:eastAsia="Calibri" w:hAnsiTheme="minorHAnsi" w:cstheme="minorHAnsi"/>
                <w:color w:val="1E1E1E" w:themeColor="background2"/>
                <w:sz w:val="21"/>
                <w:szCs w:val="21"/>
                <w:lang w:val="en-GB"/>
              </w:rPr>
              <w:t xml:space="preserve">the so-called </w:t>
            </w:r>
            <w:r w:rsidRPr="00AF43A2">
              <w:rPr>
                <w:rFonts w:asciiTheme="minorHAnsi" w:eastAsia="Calibri" w:hAnsiTheme="minorHAnsi" w:cstheme="minorHAnsi"/>
                <w:color w:val="1E1E1E" w:themeColor="background2"/>
                <w:sz w:val="21"/>
                <w:szCs w:val="21"/>
                <w:lang w:val="en-GB"/>
              </w:rPr>
              <w:t xml:space="preserve">“Street Lawyers” </w:t>
            </w:r>
            <w:r w:rsidR="001E7E83" w:rsidRPr="00AF43A2">
              <w:rPr>
                <w:rFonts w:asciiTheme="minorHAnsi" w:eastAsia="Calibri" w:hAnsiTheme="minorHAnsi" w:cstheme="minorHAnsi"/>
                <w:color w:val="1E1E1E" w:themeColor="background2"/>
                <w:sz w:val="21"/>
                <w:szCs w:val="21"/>
                <w:lang w:val="en-GB"/>
              </w:rPr>
              <w:t>m</w:t>
            </w:r>
            <w:r w:rsidRPr="00AF43A2">
              <w:rPr>
                <w:rFonts w:asciiTheme="minorHAnsi" w:eastAsia="Calibri" w:hAnsiTheme="minorHAnsi" w:cstheme="minorHAnsi"/>
                <w:color w:val="1E1E1E" w:themeColor="background2"/>
                <w:sz w:val="21"/>
                <w:szCs w:val="21"/>
                <w:lang w:val="en-GB"/>
              </w:rPr>
              <w:t>odel to NGOs working in HIV in Kazakhstan</w:t>
            </w:r>
            <w:r w:rsidR="00977CFF" w:rsidRPr="00AF43A2">
              <w:rPr>
                <w:rFonts w:asciiTheme="minorHAnsi" w:eastAsia="Calibri" w:hAnsiTheme="minorHAnsi" w:cstheme="minorHAnsi"/>
                <w:color w:val="1E1E1E" w:themeColor="background2"/>
                <w:sz w:val="21"/>
                <w:szCs w:val="21"/>
                <w:lang w:val="en-GB"/>
              </w:rPr>
              <w:t>:</w:t>
            </w:r>
            <w:r w:rsidRPr="00AF43A2">
              <w:rPr>
                <w:rFonts w:asciiTheme="minorHAnsi" w:eastAsia="Calibri" w:hAnsiTheme="minorHAnsi" w:cstheme="minorHAnsi"/>
                <w:color w:val="1E1E1E" w:themeColor="background2"/>
                <w:sz w:val="21"/>
                <w:szCs w:val="21"/>
                <w:lang w:val="en-GB"/>
              </w:rPr>
              <w:t xml:space="preserve"> </w:t>
            </w:r>
            <w:r w:rsidR="00977CFF" w:rsidRPr="00AF43A2">
              <w:rPr>
                <w:rFonts w:asciiTheme="minorHAnsi" w:eastAsia="Calibri" w:hAnsiTheme="minorHAnsi" w:cstheme="minorHAnsi"/>
                <w:color w:val="1E1E1E" w:themeColor="background2"/>
                <w:sz w:val="21"/>
                <w:szCs w:val="21"/>
                <w:lang w:val="en-GB"/>
              </w:rPr>
              <w:t>experiences to date in Central Asia have shown their success in overcoming legal barriers to access to treatment and other violations of their rights. Street lawyers provide community-based, low-threshold access to legal support for the most vulnerable populations, including PWID, MSM, TG people and sex workers.</w:t>
            </w:r>
          </w:p>
          <w:p w14:paraId="1FF87E81" w14:textId="4B273DEA" w:rsidR="00EF5156" w:rsidRPr="00AF43A2" w:rsidRDefault="00EF5156" w:rsidP="000A0528">
            <w:pPr>
              <w:spacing w:after="0" w:line="240" w:lineRule="auto"/>
              <w:ind w:firstLine="284"/>
              <w:jc w:val="both"/>
              <w:rPr>
                <w:rFonts w:asciiTheme="minorHAnsi" w:eastAsia="Calibri" w:hAnsiTheme="minorHAnsi" w:cstheme="minorHAnsi"/>
                <w:color w:val="FF0000"/>
                <w:sz w:val="21"/>
                <w:szCs w:val="21"/>
                <w:lang w:val="en-GB"/>
              </w:rPr>
            </w:pPr>
            <w:r w:rsidRPr="00AF43A2">
              <w:rPr>
                <w:rFonts w:asciiTheme="minorHAnsi" w:eastAsia="Calibri" w:hAnsiTheme="minorHAnsi" w:cstheme="minorHAnsi"/>
                <w:color w:val="1E1E1E" w:themeColor="background2"/>
                <w:sz w:val="21"/>
                <w:szCs w:val="21"/>
                <w:lang w:val="en-GB"/>
              </w:rPr>
              <w:t xml:space="preserve">The </w:t>
            </w:r>
            <w:r w:rsidRPr="006965D1">
              <w:rPr>
                <w:rFonts w:asciiTheme="minorHAnsi" w:eastAsia="Calibri" w:hAnsiTheme="minorHAnsi" w:cstheme="minorHAnsi"/>
                <w:i/>
                <w:color w:val="1E1E1E" w:themeColor="background2"/>
                <w:sz w:val="21"/>
                <w:szCs w:val="21"/>
                <w:lang w:val="en-GB"/>
              </w:rPr>
              <w:t>Human Rights Review for Kazakhstan for 2019</w:t>
            </w:r>
            <w:r w:rsidRPr="00AF43A2">
              <w:rPr>
                <w:rFonts w:asciiTheme="minorHAnsi" w:eastAsia="Calibri" w:hAnsiTheme="minorHAnsi" w:cstheme="minorHAnsi"/>
                <w:color w:val="1E1E1E" w:themeColor="background2"/>
                <w:sz w:val="21"/>
                <w:szCs w:val="21"/>
                <w:lang w:val="en-GB"/>
              </w:rPr>
              <w:t xml:space="preserve"> encompasses important violations of </w:t>
            </w:r>
            <w:proofErr w:type="spellStart"/>
            <w:r w:rsidRPr="00AF43A2">
              <w:rPr>
                <w:rFonts w:asciiTheme="minorHAnsi" w:eastAsia="Calibri" w:hAnsiTheme="minorHAnsi" w:cstheme="minorHAnsi"/>
                <w:color w:val="1E1E1E" w:themeColor="background2"/>
                <w:sz w:val="21"/>
                <w:szCs w:val="21"/>
                <w:lang w:val="en-GB"/>
              </w:rPr>
              <w:t>of</w:t>
            </w:r>
            <w:proofErr w:type="spellEnd"/>
            <w:r w:rsidRPr="00AF43A2">
              <w:rPr>
                <w:rFonts w:asciiTheme="minorHAnsi" w:eastAsia="Calibri" w:hAnsiTheme="minorHAnsi" w:cstheme="minorHAnsi"/>
                <w:color w:val="1E1E1E" w:themeColor="background2"/>
                <w:sz w:val="21"/>
                <w:szCs w:val="21"/>
                <w:lang w:val="en-GB"/>
              </w:rPr>
              <w:t xml:space="preserve"> PLHIV, such as denial of admission into crisis centres, refusal to provide social services </w:t>
            </w:r>
            <w:r w:rsidRPr="00AF43A2">
              <w:rPr>
                <w:rFonts w:asciiTheme="minorHAnsi" w:eastAsia="Calibri" w:hAnsiTheme="minorHAnsi" w:cstheme="minorHAnsi"/>
                <w:color w:val="000000"/>
                <w:sz w:val="21"/>
                <w:szCs w:val="21"/>
                <w:lang w:val="en-GB"/>
              </w:rPr>
              <w:t>to people with disabilities living with HIV and stigmatisation of HIV-positive women victims of violence</w:t>
            </w:r>
            <w:r w:rsidR="00646029" w:rsidRPr="00AF43A2">
              <w:rPr>
                <w:rFonts w:asciiTheme="minorHAnsi" w:eastAsia="Calibri" w:hAnsiTheme="minorHAnsi" w:cstheme="minorHAnsi"/>
                <w:color w:val="000000"/>
                <w:sz w:val="21"/>
                <w:szCs w:val="21"/>
                <w:lang w:val="en-GB"/>
              </w:rPr>
              <w:t xml:space="preserve">. </w:t>
            </w:r>
            <w:r w:rsidRPr="00AF43A2">
              <w:rPr>
                <w:rFonts w:asciiTheme="minorHAnsi" w:eastAsia="Calibri" w:hAnsiTheme="minorHAnsi" w:cstheme="minorHAnsi"/>
                <w:color w:val="000000"/>
                <w:sz w:val="21"/>
                <w:szCs w:val="21"/>
                <w:lang w:val="en-GB"/>
              </w:rPr>
              <w:t>UNESCO in cooperation with UNAIDS, Kazakh Union of PLHIV and other partners developed and promoted a media campaigns to reduce stigma</w:t>
            </w:r>
            <w:r w:rsidR="00646029" w:rsidRPr="00AF43A2">
              <w:rPr>
                <w:rFonts w:asciiTheme="minorHAnsi" w:eastAsia="Calibri" w:hAnsiTheme="minorHAnsi" w:cstheme="minorHAnsi"/>
                <w:color w:val="000000"/>
                <w:sz w:val="21"/>
                <w:szCs w:val="21"/>
                <w:lang w:val="en-GB"/>
              </w:rPr>
              <w:t xml:space="preserve"> and </w:t>
            </w:r>
            <w:r w:rsidRPr="00AF43A2">
              <w:rPr>
                <w:rFonts w:asciiTheme="minorHAnsi" w:eastAsia="Calibri" w:hAnsiTheme="minorHAnsi" w:cstheme="minorHAnsi"/>
                <w:color w:val="000000"/>
                <w:sz w:val="21"/>
                <w:szCs w:val="21"/>
                <w:lang w:val="en-GB"/>
              </w:rPr>
              <w:t>discrimination against PLHIV</w:t>
            </w:r>
            <w:r w:rsidR="00646029" w:rsidRPr="00AF43A2">
              <w:rPr>
                <w:rFonts w:asciiTheme="minorHAnsi" w:eastAsia="Calibri" w:hAnsiTheme="minorHAnsi" w:cstheme="minorHAnsi"/>
                <w:color w:val="000000"/>
                <w:sz w:val="21"/>
                <w:szCs w:val="21"/>
                <w:lang w:val="en-GB"/>
              </w:rPr>
              <w:t xml:space="preserve">, </w:t>
            </w:r>
            <w:r w:rsidRPr="00AF43A2">
              <w:rPr>
                <w:rFonts w:asciiTheme="minorHAnsi" w:eastAsia="Calibri" w:hAnsiTheme="minorHAnsi" w:cstheme="minorHAnsi"/>
                <w:color w:val="000000"/>
                <w:sz w:val="21"/>
                <w:szCs w:val="21"/>
                <w:lang w:val="en-GB"/>
              </w:rPr>
              <w:t>PWUD</w:t>
            </w:r>
            <w:r w:rsidR="00646029" w:rsidRPr="00AF43A2">
              <w:rPr>
                <w:rFonts w:asciiTheme="minorHAnsi" w:eastAsia="Calibri" w:hAnsiTheme="minorHAnsi" w:cstheme="minorHAnsi"/>
                <w:color w:val="000000"/>
                <w:sz w:val="21"/>
                <w:szCs w:val="21"/>
                <w:lang w:val="en-GB"/>
              </w:rPr>
              <w:t xml:space="preserve"> and </w:t>
            </w:r>
            <w:r w:rsidRPr="00AF43A2">
              <w:rPr>
                <w:rFonts w:asciiTheme="minorHAnsi" w:eastAsia="Calibri" w:hAnsiTheme="minorHAnsi" w:cstheme="minorHAnsi"/>
                <w:color w:val="000000"/>
                <w:sz w:val="21"/>
                <w:szCs w:val="21"/>
                <w:lang w:val="en-GB"/>
              </w:rPr>
              <w:t xml:space="preserve">transgender people. </w:t>
            </w:r>
          </w:p>
          <w:p w14:paraId="1B19D53C" w14:textId="77777777" w:rsidR="00EF5156" w:rsidRPr="00AF43A2" w:rsidRDefault="00EF5156" w:rsidP="000A0528">
            <w:pPr>
              <w:spacing w:after="0" w:line="240" w:lineRule="auto"/>
              <w:jc w:val="both"/>
              <w:rPr>
                <w:rFonts w:asciiTheme="minorHAnsi" w:eastAsia="Calibri" w:hAnsiTheme="minorHAnsi" w:cstheme="minorHAnsi"/>
                <w:color w:val="FF0000"/>
                <w:sz w:val="8"/>
                <w:szCs w:val="8"/>
                <w:lang w:val="en-GB"/>
              </w:rPr>
            </w:pPr>
          </w:p>
          <w:p w14:paraId="49162561" w14:textId="77777777" w:rsidR="00EF5156" w:rsidRPr="00AF43A2" w:rsidRDefault="00EF5156" w:rsidP="000A0528">
            <w:pPr>
              <w:spacing w:after="0" w:line="240" w:lineRule="auto"/>
              <w:jc w:val="both"/>
              <w:rPr>
                <w:rFonts w:asciiTheme="minorHAnsi" w:eastAsia="Calibri" w:hAnsiTheme="minorHAnsi" w:cstheme="minorHAnsi"/>
                <w:b/>
                <w:color w:val="000000"/>
                <w:sz w:val="21"/>
                <w:szCs w:val="21"/>
                <w:lang w:val="en-GB"/>
              </w:rPr>
            </w:pPr>
            <w:r w:rsidRPr="00AF43A2">
              <w:rPr>
                <w:rFonts w:asciiTheme="minorHAnsi" w:eastAsia="Calibri" w:hAnsiTheme="minorHAnsi" w:cstheme="minorHAnsi"/>
                <w:b/>
                <w:color w:val="000000"/>
                <w:sz w:val="21"/>
                <w:szCs w:val="21"/>
                <w:lang w:val="en-GB"/>
              </w:rPr>
              <w:t>Integrating AIDS through people-centred systems to improve universal health coverage (UHC)</w:t>
            </w:r>
          </w:p>
          <w:p w14:paraId="71A4D81F" w14:textId="279B8AFC" w:rsidR="00EF5156" w:rsidRPr="00AF43A2" w:rsidRDefault="00EF5156" w:rsidP="000A0528">
            <w:pPr>
              <w:spacing w:after="0" w:line="240" w:lineRule="auto"/>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000000"/>
                <w:sz w:val="21"/>
                <w:szCs w:val="21"/>
                <w:lang w:val="en-GB"/>
              </w:rPr>
              <w:t>In order to guarantee the sustainability of mutually supportive HIV-related prevention, treatment, care and support services, information and education, the Republic of Kazakhstan has integrated the services into the national public health care and primary health</w:t>
            </w:r>
            <w:r w:rsidR="000E5FAE" w:rsidRPr="00AF43A2">
              <w:rPr>
                <w:rFonts w:asciiTheme="minorHAnsi" w:eastAsia="Calibri" w:hAnsiTheme="minorHAnsi" w:cstheme="minorHAnsi"/>
                <w:color w:val="000000"/>
                <w:sz w:val="21"/>
                <w:szCs w:val="21"/>
                <w:lang w:val="en-GB"/>
              </w:rPr>
              <w:t>-</w:t>
            </w:r>
            <w:r w:rsidRPr="00AF43A2">
              <w:rPr>
                <w:rFonts w:asciiTheme="minorHAnsi" w:eastAsia="Calibri" w:hAnsiTheme="minorHAnsi" w:cstheme="minorHAnsi"/>
                <w:color w:val="000000"/>
                <w:sz w:val="21"/>
                <w:szCs w:val="21"/>
                <w:lang w:val="en-GB"/>
              </w:rPr>
              <w:t>care system to address the problem of co-infections and opportunistic diseases, especially for TB, drug use and mental health disorders, as well as services for sexual and reproductive health, including prevention, diagnostics and treatment of viral Hepatitis, cervical cancer and other sexually transmitted diseases, including human papillomavirus and services in response to sexual and gender-based violence, bearing in mind that women and girls are particularly vulnerable to such co-infections and opportunistic  diseases.</w:t>
            </w:r>
          </w:p>
          <w:p w14:paraId="40EE3A5D" w14:textId="77777777" w:rsidR="002C037F" w:rsidRPr="00AF43A2" w:rsidRDefault="00EF5156" w:rsidP="000A0528">
            <w:pPr>
              <w:spacing w:after="0" w:line="240" w:lineRule="auto"/>
              <w:ind w:firstLine="284"/>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000000"/>
                <w:sz w:val="21"/>
                <w:szCs w:val="21"/>
                <w:lang w:val="en-GB"/>
              </w:rPr>
              <w:t>Thus, the Narcological service introduced a</w:t>
            </w:r>
            <w:r w:rsidR="002C037F" w:rsidRPr="00AF43A2">
              <w:rPr>
                <w:rFonts w:asciiTheme="minorHAnsi" w:eastAsia="Calibri" w:hAnsiTheme="minorHAnsi" w:cstheme="minorHAnsi"/>
                <w:color w:val="000000"/>
                <w:sz w:val="21"/>
                <w:szCs w:val="21"/>
                <w:lang w:val="en-GB"/>
              </w:rPr>
              <w:t xml:space="preserve"> </w:t>
            </w:r>
            <w:r w:rsidRPr="00AF43A2">
              <w:rPr>
                <w:rFonts w:asciiTheme="minorHAnsi" w:eastAsia="Calibri" w:hAnsiTheme="minorHAnsi" w:cstheme="minorHAnsi"/>
                <w:color w:val="000000"/>
                <w:sz w:val="21"/>
                <w:szCs w:val="21"/>
                <w:lang w:val="en-GB"/>
              </w:rPr>
              <w:t>”single window” for PWID to provide testing for HIV, TB, and distribute methadone in one stop-point.</w:t>
            </w:r>
          </w:p>
          <w:p w14:paraId="22982AAD" w14:textId="3CA89651" w:rsidR="00EF5156" w:rsidRPr="00AF43A2" w:rsidRDefault="00EF5156" w:rsidP="000A0528">
            <w:pPr>
              <w:spacing w:after="0" w:line="240" w:lineRule="auto"/>
              <w:ind w:firstLine="284"/>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000000"/>
                <w:sz w:val="21"/>
                <w:szCs w:val="21"/>
                <w:lang w:val="en-GB"/>
              </w:rPr>
              <w:t>During restructuring in 2019, the narcological and mental health services were merged into a single institution</w:t>
            </w:r>
            <w:r w:rsidR="000E5FAE" w:rsidRPr="00AF43A2">
              <w:rPr>
                <w:rFonts w:asciiTheme="minorHAnsi" w:eastAsia="Calibri" w:hAnsiTheme="minorHAnsi" w:cstheme="minorHAnsi"/>
                <w:color w:val="000000"/>
                <w:sz w:val="21"/>
                <w:szCs w:val="21"/>
                <w:lang w:val="en-GB"/>
              </w:rPr>
              <w:t>: the</w:t>
            </w:r>
            <w:r w:rsidRPr="00AF43A2">
              <w:rPr>
                <w:rFonts w:asciiTheme="minorHAnsi" w:eastAsia="Calibri" w:hAnsiTheme="minorHAnsi" w:cstheme="minorHAnsi"/>
                <w:color w:val="000000"/>
                <w:sz w:val="21"/>
                <w:szCs w:val="21"/>
                <w:lang w:val="en-GB"/>
              </w:rPr>
              <w:t xml:space="preserve"> </w:t>
            </w:r>
            <w:r w:rsidR="000E5FAE" w:rsidRPr="00AF43A2">
              <w:rPr>
                <w:rFonts w:asciiTheme="minorHAnsi" w:eastAsia="Calibri" w:hAnsiTheme="minorHAnsi" w:cstheme="minorHAnsi"/>
                <w:i/>
                <w:color w:val="000000"/>
                <w:sz w:val="21"/>
                <w:szCs w:val="21"/>
                <w:lang w:val="en-GB"/>
              </w:rPr>
              <w:t>Republican Scientific-Practical Centre for Mental Health</w:t>
            </w:r>
            <w:r w:rsidRPr="00AF43A2">
              <w:rPr>
                <w:rFonts w:asciiTheme="minorHAnsi" w:eastAsia="Calibri" w:hAnsiTheme="minorHAnsi" w:cstheme="minorHAnsi"/>
                <w:color w:val="000000"/>
                <w:sz w:val="21"/>
                <w:szCs w:val="21"/>
                <w:lang w:val="en-GB"/>
              </w:rPr>
              <w:t xml:space="preserve"> </w:t>
            </w:r>
            <w:r w:rsidR="000E5FAE" w:rsidRPr="00AF43A2">
              <w:rPr>
                <w:rFonts w:asciiTheme="minorHAnsi" w:eastAsia="Calibri" w:hAnsiTheme="minorHAnsi" w:cstheme="minorHAnsi"/>
                <w:color w:val="000000"/>
                <w:sz w:val="21"/>
                <w:szCs w:val="21"/>
                <w:lang w:val="en-GB"/>
              </w:rPr>
              <w:t xml:space="preserve">(RSPCMH) </w:t>
            </w:r>
            <w:r w:rsidRPr="00AF43A2">
              <w:rPr>
                <w:rFonts w:asciiTheme="minorHAnsi" w:eastAsia="Calibri" w:hAnsiTheme="minorHAnsi" w:cstheme="minorHAnsi"/>
                <w:color w:val="000000"/>
                <w:sz w:val="21"/>
                <w:szCs w:val="21"/>
                <w:lang w:val="en-GB"/>
              </w:rPr>
              <w:t>of the Ministry of Health. The Centre provides integrated preventive, consultative and social assistance, diagnostics and treatment for people who inject drugs.</w:t>
            </w:r>
          </w:p>
          <w:p w14:paraId="5594065E" w14:textId="77777777" w:rsidR="009B15D2" w:rsidRDefault="00EF5156" w:rsidP="000A0528">
            <w:pPr>
              <w:spacing w:after="0" w:line="240" w:lineRule="auto"/>
              <w:ind w:firstLine="284"/>
              <w:jc w:val="both"/>
              <w:rPr>
                <w:rFonts w:asciiTheme="minorHAnsi" w:eastAsia="Calibri" w:hAnsiTheme="minorHAnsi" w:cstheme="minorHAnsi"/>
                <w:color w:val="000000"/>
                <w:sz w:val="21"/>
                <w:szCs w:val="21"/>
                <w:lang w:val="en-GB"/>
              </w:rPr>
            </w:pPr>
            <w:r w:rsidRPr="00AF43A2">
              <w:rPr>
                <w:rFonts w:asciiTheme="minorHAnsi" w:eastAsia="Calibri" w:hAnsiTheme="minorHAnsi" w:cstheme="minorHAnsi"/>
                <w:color w:val="000000"/>
                <w:sz w:val="21"/>
                <w:szCs w:val="21"/>
                <w:lang w:val="en-GB"/>
              </w:rPr>
              <w:t xml:space="preserve">The Ministry of Health has also ensured the provision of integrated services for HIV, STIs and Hepatitis through integration of AIDS and STI services. </w:t>
            </w:r>
            <w:r w:rsidR="000E5FAE" w:rsidRPr="00AF43A2">
              <w:rPr>
                <w:rFonts w:asciiTheme="minorHAnsi" w:eastAsia="Calibri" w:hAnsiTheme="minorHAnsi" w:cstheme="minorHAnsi"/>
                <w:color w:val="000000"/>
                <w:sz w:val="21"/>
                <w:szCs w:val="21"/>
                <w:lang w:val="en-GB"/>
              </w:rPr>
              <w:t xml:space="preserve">The </w:t>
            </w:r>
            <w:r w:rsidR="008A1B85" w:rsidRPr="00AF43A2">
              <w:rPr>
                <w:rFonts w:asciiTheme="minorHAnsi" w:eastAsia="Calibri" w:hAnsiTheme="minorHAnsi" w:cstheme="minorHAnsi"/>
                <w:i/>
                <w:color w:val="000000"/>
                <w:sz w:val="21"/>
                <w:szCs w:val="21"/>
                <w:lang w:val="en-GB"/>
              </w:rPr>
              <w:t xml:space="preserve">Kazakh Scientific Centre of Dermatology and Infectious Diseases </w:t>
            </w:r>
            <w:r w:rsidRPr="00AF43A2">
              <w:rPr>
                <w:rFonts w:asciiTheme="minorHAnsi" w:eastAsia="Calibri" w:hAnsiTheme="minorHAnsi" w:cstheme="minorHAnsi"/>
                <w:color w:val="000000"/>
                <w:sz w:val="21"/>
                <w:szCs w:val="21"/>
                <w:lang w:val="en-GB"/>
              </w:rPr>
              <w:t>(K</w:t>
            </w:r>
            <w:r w:rsidR="008A1B85" w:rsidRPr="00AF43A2">
              <w:rPr>
                <w:rFonts w:asciiTheme="minorHAnsi" w:eastAsia="Calibri" w:hAnsiTheme="minorHAnsi" w:cstheme="minorHAnsi"/>
                <w:color w:val="000000"/>
                <w:sz w:val="21"/>
                <w:szCs w:val="21"/>
                <w:lang w:val="en-GB"/>
              </w:rPr>
              <w:t>S</w:t>
            </w:r>
            <w:r w:rsidRPr="00AF43A2">
              <w:rPr>
                <w:rFonts w:asciiTheme="minorHAnsi" w:eastAsia="Calibri" w:hAnsiTheme="minorHAnsi" w:cstheme="minorHAnsi"/>
                <w:color w:val="000000"/>
                <w:sz w:val="21"/>
                <w:szCs w:val="21"/>
                <w:lang w:val="en-GB"/>
              </w:rPr>
              <w:t>CDID) has developed a one stop shop (friendly cabinet) tariff plan that provides free HIV, STIs, Hepatitis and STI testing to key populations.</w:t>
            </w:r>
          </w:p>
          <w:p w14:paraId="443E8C7A" w14:textId="438161DC" w:rsidR="005E00FF" w:rsidRPr="005E00FF" w:rsidRDefault="005E00FF" w:rsidP="000A0528">
            <w:pPr>
              <w:spacing w:after="0" w:line="240" w:lineRule="auto"/>
              <w:ind w:firstLine="284"/>
              <w:jc w:val="both"/>
              <w:rPr>
                <w:rFonts w:ascii="Calibri" w:eastAsia="Calibri" w:hAnsi="Calibri" w:cs="Times New Roman"/>
                <w:color w:val="000000"/>
                <w:sz w:val="8"/>
                <w:szCs w:val="8"/>
                <w:lang w:val="en-GB"/>
              </w:rPr>
            </w:pPr>
          </w:p>
        </w:tc>
      </w:tr>
    </w:tbl>
    <w:p w14:paraId="413D59C4" w14:textId="77777777" w:rsidR="00485066" w:rsidRPr="00AF43A2" w:rsidRDefault="00485066" w:rsidP="000A0528">
      <w:pPr>
        <w:spacing w:after="0" w:line="240" w:lineRule="auto"/>
        <w:rPr>
          <w:rFonts w:asciiTheme="minorHAnsi" w:hAnsiTheme="minorHAnsi" w:cstheme="minorHAnsi"/>
          <w:bCs/>
        </w:rPr>
      </w:pPr>
    </w:p>
    <w:p w14:paraId="5796F9C0" w14:textId="663BCD23" w:rsidR="00CB63FE" w:rsidRPr="00AF43A2" w:rsidRDefault="00485066" w:rsidP="000A0528">
      <w:pPr>
        <w:spacing w:after="0" w:line="240" w:lineRule="auto"/>
        <w:jc w:val="both"/>
        <w:rPr>
          <w:rFonts w:asciiTheme="minorHAnsi" w:hAnsiTheme="minorHAnsi" w:cstheme="minorHAnsi"/>
          <w:sz w:val="21"/>
        </w:rPr>
      </w:pPr>
      <w:r w:rsidRPr="00AF43A2">
        <w:rPr>
          <w:rFonts w:asciiTheme="minorHAnsi" w:hAnsiTheme="minorHAnsi" w:cstheme="minorHAnsi"/>
          <w:sz w:val="21"/>
        </w:rPr>
        <w:t xml:space="preserve">Given the country context, size of </w:t>
      </w:r>
      <w:r w:rsidR="00F112AD" w:rsidRPr="00AF43A2">
        <w:rPr>
          <w:rFonts w:asciiTheme="minorHAnsi" w:hAnsiTheme="minorHAnsi" w:cstheme="minorHAnsi"/>
          <w:sz w:val="21"/>
        </w:rPr>
        <w:t xml:space="preserve">the </w:t>
      </w:r>
      <w:r w:rsidRPr="00AF43A2">
        <w:rPr>
          <w:rFonts w:asciiTheme="minorHAnsi" w:hAnsiTheme="minorHAnsi" w:cstheme="minorHAnsi"/>
          <w:sz w:val="21"/>
        </w:rPr>
        <w:t>Global Fund</w:t>
      </w:r>
      <w:r w:rsidR="00EA59D0" w:rsidRPr="00AF43A2">
        <w:rPr>
          <w:rFonts w:asciiTheme="minorHAnsi" w:hAnsiTheme="minorHAnsi" w:cstheme="minorHAnsi"/>
          <w:sz w:val="21"/>
        </w:rPr>
        <w:t>’s</w:t>
      </w:r>
      <w:r w:rsidRPr="00AF43A2">
        <w:rPr>
          <w:rFonts w:asciiTheme="minorHAnsi" w:hAnsiTheme="minorHAnsi" w:cstheme="minorHAnsi"/>
          <w:sz w:val="21"/>
        </w:rPr>
        <w:t xml:space="preserve"> allocation</w:t>
      </w:r>
      <w:r w:rsidR="00EA59D0" w:rsidRPr="00AF43A2">
        <w:rPr>
          <w:rFonts w:asciiTheme="minorHAnsi" w:hAnsiTheme="minorHAnsi" w:cstheme="minorHAnsi"/>
          <w:sz w:val="21"/>
        </w:rPr>
        <w:t>,</w:t>
      </w:r>
      <w:r w:rsidRPr="00AF43A2">
        <w:rPr>
          <w:rFonts w:asciiTheme="minorHAnsi" w:hAnsiTheme="minorHAnsi" w:cstheme="minorHAnsi"/>
          <w:sz w:val="21"/>
        </w:rPr>
        <w:t xml:space="preserve"> latest available data</w:t>
      </w:r>
      <w:r w:rsidR="006B7844" w:rsidRPr="00AF43A2">
        <w:rPr>
          <w:rFonts w:asciiTheme="minorHAnsi" w:hAnsiTheme="minorHAnsi" w:cstheme="minorHAnsi"/>
          <w:sz w:val="21"/>
        </w:rPr>
        <w:t>, and guidance in the allocation letter</w:t>
      </w:r>
      <w:r w:rsidRPr="00AF43A2">
        <w:rPr>
          <w:rFonts w:asciiTheme="minorHAnsi" w:hAnsiTheme="minorHAnsi" w:cstheme="minorHAnsi"/>
          <w:sz w:val="21"/>
        </w:rPr>
        <w:t>:</w:t>
      </w:r>
    </w:p>
    <w:p w14:paraId="63A16DAB" w14:textId="6821C4C5" w:rsidR="00EB2B68" w:rsidRPr="00AF43A2" w:rsidRDefault="001D5CEF" w:rsidP="000A0528">
      <w:pPr>
        <w:spacing w:after="0" w:line="240" w:lineRule="auto"/>
        <w:ind w:left="270" w:hanging="270"/>
        <w:jc w:val="both"/>
        <w:rPr>
          <w:rFonts w:asciiTheme="minorHAnsi" w:hAnsiTheme="minorHAnsi" w:cstheme="minorHAnsi"/>
          <w:sz w:val="21"/>
        </w:rPr>
      </w:pPr>
      <w:r w:rsidRPr="00AF43A2">
        <w:rPr>
          <w:rFonts w:asciiTheme="minorHAnsi" w:hAnsiTheme="minorHAnsi" w:cstheme="minorHAnsi"/>
          <w:bCs/>
          <w:iCs/>
          <w:sz w:val="21"/>
        </w:rPr>
        <w:t xml:space="preserve">b) </w:t>
      </w:r>
      <w:r w:rsidR="00F112AD" w:rsidRPr="00AF43A2">
        <w:rPr>
          <w:rFonts w:asciiTheme="minorHAnsi" w:hAnsiTheme="minorHAnsi" w:cstheme="minorHAnsi"/>
          <w:bCs/>
          <w:iCs/>
          <w:sz w:val="21"/>
        </w:rPr>
        <w:t>Summari</w:t>
      </w:r>
      <w:r w:rsidR="00B65B8B" w:rsidRPr="00AF43A2">
        <w:rPr>
          <w:rFonts w:asciiTheme="minorHAnsi" w:hAnsiTheme="minorHAnsi" w:cstheme="minorHAnsi"/>
          <w:bCs/>
          <w:iCs/>
          <w:sz w:val="21"/>
        </w:rPr>
        <w:t>s</w:t>
      </w:r>
      <w:r w:rsidR="00F112AD" w:rsidRPr="00AF43A2">
        <w:rPr>
          <w:rFonts w:asciiTheme="minorHAnsi" w:hAnsiTheme="minorHAnsi" w:cstheme="minorHAnsi"/>
          <w:bCs/>
          <w:iCs/>
          <w:sz w:val="21"/>
        </w:rPr>
        <w:t>e</w:t>
      </w:r>
      <w:r w:rsidR="00CB63FE" w:rsidRPr="00AF43A2">
        <w:rPr>
          <w:rFonts w:asciiTheme="minorHAnsi" w:hAnsiTheme="minorHAnsi" w:cstheme="minorHAnsi"/>
          <w:bCs/>
          <w:iCs/>
          <w:sz w:val="21"/>
        </w:rPr>
        <w:t xml:space="preserve"> the</w:t>
      </w:r>
      <w:r w:rsidR="005279BC" w:rsidRPr="00AF43A2">
        <w:rPr>
          <w:rFonts w:asciiTheme="minorHAnsi" w:hAnsiTheme="minorHAnsi" w:cstheme="minorHAnsi"/>
          <w:bCs/>
          <w:iCs/>
          <w:sz w:val="21"/>
        </w:rPr>
        <w:t xml:space="preserve"> </w:t>
      </w:r>
      <w:r w:rsidR="005279BC" w:rsidRPr="00AF43A2">
        <w:rPr>
          <w:rFonts w:asciiTheme="minorHAnsi" w:hAnsiTheme="minorHAnsi" w:cstheme="minorHAnsi"/>
          <w:b/>
          <w:bCs/>
          <w:iCs/>
          <w:sz w:val="21"/>
        </w:rPr>
        <w:t>approach used for</w:t>
      </w:r>
      <w:r w:rsidR="00CB63FE" w:rsidRPr="00AF43A2">
        <w:rPr>
          <w:rFonts w:asciiTheme="minorHAnsi" w:hAnsiTheme="minorHAnsi" w:cstheme="minorHAnsi"/>
          <w:b/>
          <w:bCs/>
          <w:iCs/>
          <w:sz w:val="21"/>
        </w:rPr>
        <w:t xml:space="preserve"> </w:t>
      </w:r>
      <w:r w:rsidR="00326A25" w:rsidRPr="00AF43A2">
        <w:rPr>
          <w:rFonts w:asciiTheme="minorHAnsi" w:hAnsiTheme="minorHAnsi" w:cstheme="minorHAnsi"/>
          <w:b/>
          <w:bCs/>
          <w:iCs/>
          <w:sz w:val="21"/>
        </w:rPr>
        <w:t xml:space="preserve">the </w:t>
      </w:r>
      <w:r w:rsidR="005279BC" w:rsidRPr="00AF43A2">
        <w:rPr>
          <w:rFonts w:asciiTheme="minorHAnsi" w:hAnsiTheme="minorHAnsi" w:cstheme="minorHAnsi"/>
          <w:b/>
          <w:bCs/>
          <w:iCs/>
          <w:sz w:val="21"/>
        </w:rPr>
        <w:t>prioriti</w:t>
      </w:r>
      <w:r w:rsidR="00B65B8B" w:rsidRPr="00AF43A2">
        <w:rPr>
          <w:rFonts w:asciiTheme="minorHAnsi" w:hAnsiTheme="minorHAnsi" w:cstheme="minorHAnsi"/>
          <w:b/>
          <w:bCs/>
          <w:iCs/>
          <w:sz w:val="21"/>
        </w:rPr>
        <w:t>s</w:t>
      </w:r>
      <w:r w:rsidR="005279BC" w:rsidRPr="00AF43A2">
        <w:rPr>
          <w:rFonts w:asciiTheme="minorHAnsi" w:hAnsiTheme="minorHAnsi" w:cstheme="minorHAnsi"/>
          <w:b/>
          <w:bCs/>
          <w:iCs/>
          <w:sz w:val="21"/>
        </w:rPr>
        <w:t>ation</w:t>
      </w:r>
      <w:r w:rsidR="005279BC" w:rsidRPr="00AF43A2">
        <w:rPr>
          <w:rFonts w:asciiTheme="minorHAnsi" w:hAnsiTheme="minorHAnsi" w:cstheme="minorHAnsi"/>
          <w:bCs/>
          <w:iCs/>
          <w:sz w:val="21"/>
        </w:rPr>
        <w:t xml:space="preserve"> of </w:t>
      </w:r>
      <w:r w:rsidR="00CD0532" w:rsidRPr="00AF43A2">
        <w:rPr>
          <w:rFonts w:asciiTheme="minorHAnsi" w:hAnsiTheme="minorHAnsi" w:cstheme="minorHAnsi"/>
          <w:bCs/>
          <w:iCs/>
          <w:sz w:val="21"/>
        </w:rPr>
        <w:t>modules</w:t>
      </w:r>
      <w:r w:rsidR="00FE5CDB" w:rsidRPr="00AF43A2">
        <w:rPr>
          <w:rFonts w:asciiTheme="minorHAnsi" w:hAnsiTheme="minorHAnsi" w:cstheme="minorHAnsi"/>
          <w:bCs/>
          <w:iCs/>
          <w:sz w:val="21"/>
        </w:rPr>
        <w:t xml:space="preserve"> and</w:t>
      </w:r>
      <w:r w:rsidR="00CB63FE" w:rsidRPr="00AF43A2">
        <w:rPr>
          <w:rFonts w:asciiTheme="minorHAnsi" w:hAnsiTheme="minorHAnsi" w:cstheme="minorHAnsi"/>
          <w:bCs/>
          <w:iCs/>
          <w:sz w:val="21"/>
        </w:rPr>
        <w:t xml:space="preserve"> interventions</w:t>
      </w:r>
      <w:r w:rsidR="00282E1F" w:rsidRPr="00AF43A2">
        <w:rPr>
          <w:rFonts w:asciiTheme="minorHAnsi" w:hAnsiTheme="minorHAnsi" w:cstheme="minorHAnsi"/>
          <w:bCs/>
          <w:iCs/>
          <w:sz w:val="21"/>
        </w:rPr>
        <w:t xml:space="preserve"> (</w:t>
      </w:r>
      <w:r w:rsidR="002F5A38" w:rsidRPr="00AF43A2">
        <w:rPr>
          <w:rFonts w:asciiTheme="minorHAnsi" w:hAnsiTheme="minorHAnsi" w:cstheme="minorHAnsi"/>
          <w:bCs/>
          <w:iCs/>
          <w:sz w:val="21"/>
        </w:rPr>
        <w:t xml:space="preserve">or in the case of </w:t>
      </w:r>
      <w:r w:rsidR="00F112AD" w:rsidRPr="00AF43A2">
        <w:rPr>
          <w:rFonts w:asciiTheme="minorHAnsi" w:hAnsiTheme="minorHAnsi" w:cstheme="minorHAnsi"/>
          <w:bCs/>
          <w:iCs/>
          <w:sz w:val="21"/>
        </w:rPr>
        <w:t>P</w:t>
      </w:r>
      <w:r w:rsidR="0008377E" w:rsidRPr="00AF43A2">
        <w:rPr>
          <w:rFonts w:asciiTheme="minorHAnsi" w:hAnsiTheme="minorHAnsi" w:cstheme="minorHAnsi"/>
          <w:bCs/>
          <w:iCs/>
          <w:sz w:val="21"/>
        </w:rPr>
        <w:t>ayment</w:t>
      </w:r>
      <w:r w:rsidR="00F112AD" w:rsidRPr="00AF43A2">
        <w:rPr>
          <w:rFonts w:asciiTheme="minorHAnsi" w:hAnsiTheme="minorHAnsi" w:cstheme="minorHAnsi"/>
          <w:bCs/>
          <w:iCs/>
          <w:sz w:val="21"/>
        </w:rPr>
        <w:t xml:space="preserve"> f</w:t>
      </w:r>
      <w:r w:rsidR="0008377E" w:rsidRPr="00AF43A2">
        <w:rPr>
          <w:rFonts w:asciiTheme="minorHAnsi" w:hAnsiTheme="minorHAnsi" w:cstheme="minorHAnsi"/>
          <w:bCs/>
          <w:iCs/>
          <w:sz w:val="21"/>
        </w:rPr>
        <w:t>or</w:t>
      </w:r>
      <w:r w:rsidR="00F112AD" w:rsidRPr="00AF43A2">
        <w:rPr>
          <w:rFonts w:asciiTheme="minorHAnsi" w:hAnsiTheme="minorHAnsi" w:cstheme="minorHAnsi"/>
          <w:bCs/>
          <w:iCs/>
          <w:sz w:val="21"/>
        </w:rPr>
        <w:t xml:space="preserve"> R</w:t>
      </w:r>
      <w:r w:rsidR="0008377E" w:rsidRPr="00AF43A2">
        <w:rPr>
          <w:rFonts w:asciiTheme="minorHAnsi" w:hAnsiTheme="minorHAnsi" w:cstheme="minorHAnsi"/>
          <w:bCs/>
          <w:iCs/>
          <w:sz w:val="21"/>
        </w:rPr>
        <w:t>esults</w:t>
      </w:r>
      <w:r w:rsidR="002F5A38" w:rsidRPr="00AF43A2">
        <w:rPr>
          <w:rFonts w:asciiTheme="minorHAnsi" w:hAnsiTheme="minorHAnsi" w:cstheme="minorHAnsi"/>
          <w:bCs/>
          <w:iCs/>
          <w:sz w:val="21"/>
        </w:rPr>
        <w:t>,</w:t>
      </w:r>
      <w:r w:rsidR="0008377E" w:rsidRPr="00AF43A2">
        <w:rPr>
          <w:rFonts w:asciiTheme="minorHAnsi" w:hAnsiTheme="minorHAnsi" w:cstheme="minorHAnsi"/>
          <w:bCs/>
          <w:iCs/>
          <w:sz w:val="21"/>
        </w:rPr>
        <w:t xml:space="preserve"> the</w:t>
      </w:r>
      <w:r w:rsidR="00CB63FE" w:rsidRPr="00AF43A2">
        <w:rPr>
          <w:rFonts w:asciiTheme="minorHAnsi" w:hAnsiTheme="minorHAnsi" w:cstheme="minorHAnsi"/>
          <w:bCs/>
          <w:iCs/>
          <w:sz w:val="21"/>
        </w:rPr>
        <w:t xml:space="preserve"> performance indicators and/or milestones</w:t>
      </w:r>
      <w:r w:rsidR="00282E1F" w:rsidRPr="00AF43A2">
        <w:rPr>
          <w:rFonts w:asciiTheme="minorHAnsi" w:hAnsiTheme="minorHAnsi" w:cstheme="minorHAnsi"/>
          <w:bCs/>
          <w:iCs/>
          <w:sz w:val="21"/>
        </w:rPr>
        <w:t>)</w:t>
      </w:r>
      <w:r w:rsidR="00CB63FE" w:rsidRPr="00AF43A2">
        <w:rPr>
          <w:rFonts w:asciiTheme="minorHAnsi" w:hAnsiTheme="minorHAnsi" w:cstheme="minorHAnsi"/>
          <w:bCs/>
          <w:iCs/>
          <w:sz w:val="21"/>
        </w:rPr>
        <w:t>.</w:t>
      </w:r>
      <w:r w:rsidR="004807FB" w:rsidRPr="00AF43A2">
        <w:rPr>
          <w:rFonts w:asciiTheme="minorHAnsi" w:hAnsiTheme="minorHAnsi" w:cstheme="minorHAnsi"/>
          <w:sz w:val="21"/>
        </w:rPr>
        <w:t xml:space="preserve"> </w:t>
      </w:r>
    </w:p>
    <w:p w14:paraId="03B4E162" w14:textId="77777777" w:rsidR="00EB2B68" w:rsidRPr="00AF43A2" w:rsidRDefault="00EB2B68" w:rsidP="000A0528">
      <w:pPr>
        <w:spacing w:after="0" w:line="240" w:lineRule="auto"/>
        <w:ind w:left="270" w:hanging="270"/>
        <w:jc w:val="both"/>
        <w:rPr>
          <w:rFonts w:asciiTheme="minorHAnsi" w:hAnsiTheme="minorHAnsi" w:cstheme="minorHAnsi"/>
          <w:bCs/>
          <w:iCs/>
          <w:sz w:val="21"/>
        </w:rPr>
      </w:pPr>
    </w:p>
    <w:tbl>
      <w:tblPr>
        <w:tblStyle w:val="aa"/>
        <w:tblW w:w="0" w:type="auto"/>
        <w:tblLook w:val="04A0" w:firstRow="1" w:lastRow="0" w:firstColumn="1" w:lastColumn="0" w:noHBand="0" w:noVBand="1"/>
      </w:tblPr>
      <w:tblGrid>
        <w:gridCol w:w="10456"/>
      </w:tblGrid>
      <w:tr w:rsidR="00CB63FE" w:rsidRPr="00AF43A2" w14:paraId="1E016E79" w14:textId="77777777" w:rsidTr="00CB63FE">
        <w:tc>
          <w:tcPr>
            <w:tcW w:w="10790" w:type="dxa"/>
            <w:tcBorders>
              <w:top w:val="single" w:sz="4" w:space="0" w:color="auto"/>
              <w:left w:val="single" w:sz="4" w:space="0" w:color="auto"/>
              <w:bottom w:val="single" w:sz="4" w:space="0" w:color="auto"/>
              <w:right w:val="single" w:sz="4" w:space="0" w:color="auto"/>
            </w:tcBorders>
          </w:tcPr>
          <w:p w14:paraId="1C01FC89" w14:textId="75230224" w:rsidR="00784BC6" w:rsidRPr="00AF43A2" w:rsidRDefault="00784BC6" w:rsidP="000A0528">
            <w:pPr>
              <w:spacing w:after="0" w:line="240" w:lineRule="auto"/>
              <w:jc w:val="both"/>
              <w:rPr>
                <w:rFonts w:asciiTheme="minorHAnsi" w:hAnsiTheme="minorHAnsi" w:cstheme="minorHAnsi"/>
                <w:b/>
                <w:color w:val="202020" w:themeColor="text1" w:themeShade="80"/>
                <w:sz w:val="21"/>
                <w:u w:val="single"/>
              </w:rPr>
            </w:pPr>
            <w:r w:rsidRPr="00AF43A2">
              <w:rPr>
                <w:rFonts w:asciiTheme="minorHAnsi" w:hAnsiTheme="minorHAnsi" w:cstheme="minorHAnsi"/>
                <w:b/>
                <w:color w:val="202020" w:themeColor="text1" w:themeShade="80"/>
                <w:sz w:val="21"/>
                <w:u w:val="single"/>
              </w:rPr>
              <w:t>Description of the process of prioritisation</w:t>
            </w:r>
          </w:p>
          <w:p w14:paraId="0E696202" w14:textId="12D9AAFD" w:rsidR="00D9383C" w:rsidRPr="00AF43A2" w:rsidRDefault="00D9383C" w:rsidP="000A0528">
            <w:pPr>
              <w:spacing w:after="0" w:line="240" w:lineRule="auto"/>
              <w:ind w:firstLine="175"/>
              <w:jc w:val="both"/>
              <w:rPr>
                <w:rFonts w:asciiTheme="minorHAnsi" w:hAnsiTheme="minorHAnsi" w:cstheme="minorHAnsi"/>
                <w:color w:val="202020" w:themeColor="text1" w:themeShade="80"/>
                <w:sz w:val="21"/>
              </w:rPr>
            </w:pPr>
            <w:r w:rsidRPr="00AF43A2">
              <w:rPr>
                <w:rFonts w:asciiTheme="minorHAnsi" w:hAnsiTheme="minorHAnsi" w:cstheme="minorHAnsi"/>
                <w:color w:val="202020" w:themeColor="text1" w:themeShade="80"/>
                <w:sz w:val="21"/>
              </w:rPr>
              <w:t xml:space="preserve">A comprehensive </w:t>
            </w:r>
            <w:r w:rsidRPr="00AF43A2">
              <w:rPr>
                <w:rFonts w:asciiTheme="minorHAnsi" w:hAnsiTheme="minorHAnsi" w:cstheme="minorHAnsi"/>
                <w:b/>
                <w:i/>
                <w:color w:val="202020" w:themeColor="text1" w:themeShade="80"/>
                <w:sz w:val="21"/>
              </w:rPr>
              <w:t xml:space="preserve">National </w:t>
            </w:r>
            <w:r w:rsidRPr="00AF43A2">
              <w:rPr>
                <w:rFonts w:asciiTheme="minorHAnsi" w:hAnsiTheme="minorHAnsi" w:cstheme="minorHAnsi"/>
                <w:b/>
                <w:i/>
                <w:color w:val="1E1E1E" w:themeColor="background2"/>
                <w:sz w:val="21"/>
              </w:rPr>
              <w:t>Dialogue</w:t>
            </w:r>
            <w:r w:rsidRPr="00AF43A2">
              <w:rPr>
                <w:rFonts w:asciiTheme="minorHAnsi" w:hAnsiTheme="minorHAnsi" w:cstheme="minorHAnsi"/>
                <w:color w:val="1E1E1E" w:themeColor="background2"/>
                <w:sz w:val="21"/>
              </w:rPr>
              <w:t xml:space="preserve"> (ND) was held with the active involvement of a wide range of national and regional stakeholders, and supported by the CCM Secretariat. </w:t>
            </w:r>
            <w:r w:rsidR="00810253" w:rsidRPr="00AF43A2">
              <w:rPr>
                <w:rFonts w:asciiTheme="minorHAnsi" w:hAnsiTheme="minorHAnsi" w:cstheme="minorHAnsi"/>
                <w:color w:val="1E1E1E" w:themeColor="background2"/>
                <w:sz w:val="21"/>
              </w:rPr>
              <w:t xml:space="preserve">Special support was </w:t>
            </w:r>
            <w:r w:rsidR="001E6199" w:rsidRPr="00AF43A2">
              <w:rPr>
                <w:rFonts w:asciiTheme="minorHAnsi" w:hAnsiTheme="minorHAnsi" w:cstheme="minorHAnsi"/>
                <w:color w:val="1E1E1E" w:themeColor="background2"/>
                <w:sz w:val="21"/>
              </w:rPr>
              <w:t>provided</w:t>
            </w:r>
            <w:r w:rsidR="00810253" w:rsidRPr="00AF43A2">
              <w:rPr>
                <w:rFonts w:asciiTheme="minorHAnsi" w:hAnsiTheme="minorHAnsi" w:cstheme="minorHAnsi"/>
                <w:color w:val="1E1E1E" w:themeColor="background2"/>
                <w:sz w:val="21"/>
              </w:rPr>
              <w:t xml:space="preserve"> by the Global Fund to support this dialogue among KPs. </w:t>
            </w:r>
            <w:r w:rsidRPr="00AF43A2">
              <w:rPr>
                <w:rFonts w:asciiTheme="minorHAnsi" w:hAnsiTheme="minorHAnsi" w:cstheme="minorHAnsi"/>
                <w:color w:val="1E1E1E" w:themeColor="background2"/>
                <w:sz w:val="21"/>
              </w:rPr>
              <w:t xml:space="preserve">The dialogue involved a series of working meetings that started in February 2020. These meetings included discussions </w:t>
            </w:r>
            <w:r w:rsidRPr="00AF43A2">
              <w:rPr>
                <w:rFonts w:asciiTheme="minorHAnsi" w:hAnsiTheme="minorHAnsi" w:cstheme="minorHAnsi"/>
                <w:color w:val="202020" w:themeColor="text1" w:themeShade="80"/>
                <w:sz w:val="21"/>
              </w:rPr>
              <w:t>with 46 representatives of KP communities – including people who use drugs, sex workers, PLHIV, MSM and transgender people – from 13 cities from all corners of Kazakhstan. The KPs meetings were also attended by observers of the Kazakhstan Scientific Centre for Dermatology and Infectious Diseases (</w:t>
            </w:r>
            <w:r w:rsidR="001D3332" w:rsidRPr="00AF43A2">
              <w:rPr>
                <w:rFonts w:asciiTheme="minorHAnsi" w:hAnsiTheme="minorHAnsi" w:cstheme="minorHAnsi"/>
                <w:color w:val="202020" w:themeColor="text1" w:themeShade="80"/>
                <w:sz w:val="21"/>
              </w:rPr>
              <w:t>KNCDID</w:t>
            </w:r>
            <w:r w:rsidRPr="00AF43A2">
              <w:rPr>
                <w:rFonts w:asciiTheme="minorHAnsi" w:hAnsiTheme="minorHAnsi" w:cstheme="minorHAnsi"/>
                <w:color w:val="202020" w:themeColor="text1" w:themeShade="80"/>
                <w:sz w:val="21"/>
              </w:rPr>
              <w:t>, the former Republican AIDS Centre), UNAIDS and the CCM Secretariat. Key topics included the use of new psychoactive substances</w:t>
            </w:r>
            <w:r w:rsidR="001E6199" w:rsidRPr="00AF43A2">
              <w:rPr>
                <w:rFonts w:asciiTheme="minorHAnsi" w:hAnsiTheme="minorHAnsi" w:cstheme="minorHAnsi"/>
                <w:color w:val="202020" w:themeColor="text1" w:themeShade="80"/>
                <w:sz w:val="21"/>
              </w:rPr>
              <w:t xml:space="preserve"> (NPS)</w:t>
            </w:r>
            <w:r w:rsidRPr="00AF43A2">
              <w:rPr>
                <w:rFonts w:asciiTheme="minorHAnsi" w:hAnsiTheme="minorHAnsi" w:cstheme="minorHAnsi"/>
                <w:color w:val="202020" w:themeColor="text1" w:themeShade="80"/>
                <w:sz w:val="21"/>
              </w:rPr>
              <w:t xml:space="preserve">; </w:t>
            </w:r>
            <w:r w:rsidR="001E6199" w:rsidRPr="00AF43A2">
              <w:rPr>
                <w:rFonts w:asciiTheme="minorHAnsi" w:hAnsiTheme="minorHAnsi" w:cstheme="minorHAnsi"/>
                <w:color w:val="202020" w:themeColor="text1" w:themeShade="80"/>
                <w:sz w:val="21"/>
              </w:rPr>
              <w:t>opioid substitution therapy (</w:t>
            </w:r>
            <w:r w:rsidRPr="00AF43A2">
              <w:rPr>
                <w:rFonts w:asciiTheme="minorHAnsi" w:hAnsiTheme="minorHAnsi" w:cstheme="minorHAnsi"/>
                <w:color w:val="202020" w:themeColor="text1" w:themeShade="80"/>
                <w:sz w:val="21"/>
              </w:rPr>
              <w:t>OST</w:t>
            </w:r>
            <w:r w:rsidR="001E6199" w:rsidRPr="00AF43A2">
              <w:rPr>
                <w:rFonts w:asciiTheme="minorHAnsi" w:hAnsiTheme="minorHAnsi" w:cstheme="minorHAnsi"/>
                <w:color w:val="202020" w:themeColor="text1" w:themeShade="80"/>
                <w:sz w:val="21"/>
              </w:rPr>
              <w:t>)</w:t>
            </w:r>
            <w:r w:rsidRPr="00AF43A2">
              <w:rPr>
                <w:rFonts w:asciiTheme="minorHAnsi" w:hAnsiTheme="minorHAnsi" w:cstheme="minorHAnsi"/>
                <w:color w:val="202020" w:themeColor="text1" w:themeShade="80"/>
                <w:sz w:val="21"/>
              </w:rPr>
              <w:t>; HIV testing; effectiveness of HIV prevention for KPs; ART for KPs living with HIV; availability and quality of data; stigma and discrimination;</w:t>
            </w:r>
            <w:r w:rsidR="0020776D" w:rsidRPr="00AF43A2">
              <w:rPr>
                <w:rFonts w:asciiTheme="minorHAnsi" w:hAnsiTheme="minorHAnsi" w:cstheme="minorHAnsi"/>
                <w:color w:val="202020" w:themeColor="text1" w:themeShade="80"/>
                <w:sz w:val="21"/>
              </w:rPr>
              <w:t xml:space="preserve"> </w:t>
            </w:r>
            <w:r w:rsidRPr="00AF43A2">
              <w:rPr>
                <w:rFonts w:asciiTheme="minorHAnsi" w:hAnsiTheme="minorHAnsi" w:cstheme="minorHAnsi"/>
                <w:color w:val="202020" w:themeColor="text1" w:themeShade="80"/>
                <w:sz w:val="21"/>
              </w:rPr>
              <w:t xml:space="preserve">capacity of NGOs working with KPs; community mobilisation. In addition to these KP meetings, work </w:t>
            </w:r>
            <w:r w:rsidRPr="00AF43A2">
              <w:rPr>
                <w:rFonts w:asciiTheme="minorHAnsi" w:hAnsiTheme="minorHAnsi" w:cstheme="minorHAnsi"/>
                <w:color w:val="1E1E1E" w:themeColor="background2"/>
                <w:sz w:val="21"/>
              </w:rPr>
              <w:t xml:space="preserve">meetings were also held with the Kazakhstan Union of PLHIV, </w:t>
            </w:r>
            <w:r w:rsidR="001D3332" w:rsidRPr="00AF43A2">
              <w:rPr>
                <w:rFonts w:asciiTheme="minorHAnsi" w:hAnsiTheme="minorHAnsi" w:cstheme="minorHAnsi"/>
                <w:color w:val="1E1E1E" w:themeColor="background2"/>
                <w:sz w:val="21"/>
              </w:rPr>
              <w:t>KNCDID</w:t>
            </w:r>
            <w:r w:rsidRPr="00AF43A2">
              <w:rPr>
                <w:rFonts w:asciiTheme="minorHAnsi" w:hAnsiTheme="minorHAnsi" w:cstheme="minorHAnsi"/>
                <w:color w:val="1E1E1E" w:themeColor="background2"/>
                <w:sz w:val="21"/>
              </w:rPr>
              <w:t xml:space="preserve"> and UNAIDS to review the available data, national health policies and identify priorities. The final report</w:t>
            </w:r>
            <w:r w:rsidRPr="00AF43A2">
              <w:rPr>
                <w:rStyle w:val="af"/>
                <w:rFonts w:asciiTheme="minorHAnsi" w:hAnsiTheme="minorHAnsi" w:cstheme="minorHAnsi"/>
                <w:color w:val="1E1E1E" w:themeColor="background2"/>
                <w:sz w:val="21"/>
              </w:rPr>
              <w:footnoteReference w:id="5"/>
            </w:r>
            <w:r w:rsidRPr="00AF43A2">
              <w:rPr>
                <w:rFonts w:asciiTheme="minorHAnsi" w:hAnsiTheme="minorHAnsi" w:cstheme="minorHAnsi"/>
                <w:color w:val="1E1E1E" w:themeColor="background2"/>
                <w:sz w:val="21"/>
              </w:rPr>
              <w:t xml:space="preserve"> of this National Dialogue process </w:t>
            </w:r>
            <w:r w:rsidRPr="005E00FF">
              <w:rPr>
                <w:rFonts w:asciiTheme="minorHAnsi" w:hAnsiTheme="minorHAnsi" w:cstheme="minorHAnsi"/>
                <w:color w:val="1E1E1E" w:themeColor="background2"/>
                <w:sz w:val="21"/>
              </w:rPr>
              <w:t>was subsequently used as a key input for the development of the Funding Request</w:t>
            </w:r>
            <w:r w:rsidR="00784BC6" w:rsidRPr="005E00FF">
              <w:rPr>
                <w:rFonts w:asciiTheme="minorHAnsi" w:hAnsiTheme="minorHAnsi" w:cstheme="minorHAnsi"/>
                <w:color w:val="1E1E1E" w:themeColor="background2"/>
                <w:sz w:val="21"/>
              </w:rPr>
              <w:t xml:space="preserve"> </w:t>
            </w:r>
            <w:r w:rsidR="00784BC6" w:rsidRPr="005E00FF">
              <w:rPr>
                <w:rFonts w:asciiTheme="minorHAnsi" w:hAnsiTheme="minorHAnsi" w:cstheme="minorHAnsi"/>
                <w:i/>
                <w:color w:val="1E1E1E" w:themeColor="background2"/>
                <w:sz w:val="21"/>
              </w:rPr>
              <w:t>(</w:t>
            </w:r>
            <w:r w:rsidR="005E00FF" w:rsidRPr="005E00FF">
              <w:rPr>
                <w:rFonts w:asciiTheme="minorHAnsi" w:hAnsiTheme="minorHAnsi" w:cstheme="minorHAnsi"/>
                <w:i/>
                <w:color w:val="1E1E1E" w:themeColor="background2"/>
                <w:sz w:val="21"/>
              </w:rPr>
              <w:t>see Annex 13; p.1-20</w:t>
            </w:r>
            <w:r w:rsidR="00784BC6" w:rsidRPr="005E00FF">
              <w:rPr>
                <w:rFonts w:asciiTheme="minorHAnsi" w:hAnsiTheme="minorHAnsi" w:cstheme="minorHAnsi"/>
                <w:i/>
                <w:color w:val="1E1E1E" w:themeColor="background2"/>
                <w:sz w:val="21"/>
              </w:rPr>
              <w:t>).</w:t>
            </w:r>
          </w:p>
          <w:p w14:paraId="7BE1A42A" w14:textId="6EB2B12B" w:rsidR="00D9383C" w:rsidRPr="00AF43A2" w:rsidRDefault="00D9383C" w:rsidP="000A0528">
            <w:pPr>
              <w:spacing w:after="0" w:line="240" w:lineRule="auto"/>
              <w:ind w:firstLine="284"/>
              <w:jc w:val="both"/>
              <w:rPr>
                <w:rFonts w:asciiTheme="minorHAnsi" w:hAnsiTheme="minorHAnsi" w:cstheme="minorHAnsi"/>
                <w:color w:val="202020" w:themeColor="text1" w:themeShade="80"/>
                <w:sz w:val="21"/>
              </w:rPr>
            </w:pPr>
            <w:r w:rsidRPr="00AF43A2">
              <w:rPr>
                <w:rFonts w:asciiTheme="minorHAnsi" w:hAnsiTheme="minorHAnsi" w:cstheme="minorHAnsi"/>
                <w:color w:val="202020" w:themeColor="text1" w:themeShade="80"/>
                <w:sz w:val="21"/>
              </w:rPr>
              <w:t xml:space="preserve">In addition to the ND process, a </w:t>
            </w:r>
            <w:r w:rsidRPr="00AF43A2">
              <w:rPr>
                <w:rFonts w:asciiTheme="minorHAnsi" w:hAnsiTheme="minorHAnsi" w:cstheme="minorHAnsi"/>
                <w:b/>
                <w:i/>
                <w:color w:val="202020" w:themeColor="text1" w:themeShade="80"/>
                <w:sz w:val="21"/>
              </w:rPr>
              <w:t>call for proposals</w:t>
            </w:r>
            <w:r w:rsidRPr="00AF43A2">
              <w:rPr>
                <w:rFonts w:asciiTheme="minorHAnsi" w:hAnsiTheme="minorHAnsi" w:cstheme="minorHAnsi"/>
                <w:color w:val="202020" w:themeColor="text1" w:themeShade="80"/>
                <w:sz w:val="21"/>
              </w:rPr>
              <w:t xml:space="preserve"> was launched by the CCM regarding key services to be considered for the FR. This included project proposals on topics including HIV prevention for KPs, including rapid testing; OST,</w:t>
            </w:r>
            <w:r w:rsidR="001E6199" w:rsidRPr="00AF43A2">
              <w:rPr>
                <w:rFonts w:asciiTheme="minorHAnsi" w:hAnsiTheme="minorHAnsi" w:cstheme="minorHAnsi"/>
                <w:color w:val="202020" w:themeColor="text1" w:themeShade="80"/>
                <w:sz w:val="21"/>
              </w:rPr>
              <w:t xml:space="preserve"> overdose (O</w:t>
            </w:r>
            <w:r w:rsidRPr="00AF43A2">
              <w:rPr>
                <w:rFonts w:asciiTheme="minorHAnsi" w:hAnsiTheme="minorHAnsi" w:cstheme="minorHAnsi"/>
                <w:color w:val="202020" w:themeColor="text1" w:themeShade="80"/>
                <w:sz w:val="21"/>
              </w:rPr>
              <w:t>D</w:t>
            </w:r>
            <w:r w:rsidR="001E6199" w:rsidRPr="00AF43A2">
              <w:rPr>
                <w:rFonts w:asciiTheme="minorHAnsi" w:hAnsiTheme="minorHAnsi" w:cstheme="minorHAnsi"/>
                <w:color w:val="202020" w:themeColor="text1" w:themeShade="80"/>
                <w:sz w:val="21"/>
              </w:rPr>
              <w:t>)</w:t>
            </w:r>
            <w:r w:rsidRPr="00AF43A2">
              <w:rPr>
                <w:rFonts w:asciiTheme="minorHAnsi" w:hAnsiTheme="minorHAnsi" w:cstheme="minorHAnsi"/>
                <w:color w:val="202020" w:themeColor="text1" w:themeShade="80"/>
                <w:sz w:val="21"/>
              </w:rPr>
              <w:t xml:space="preserve"> management and programmes for NPS users; PrEP; strengthening ART </w:t>
            </w:r>
            <w:r w:rsidRPr="00AF43A2">
              <w:rPr>
                <w:rFonts w:asciiTheme="minorHAnsi" w:hAnsiTheme="minorHAnsi" w:cstheme="minorHAnsi"/>
                <w:color w:val="202020" w:themeColor="text1" w:themeShade="80"/>
                <w:sz w:val="21"/>
              </w:rPr>
              <w:lastRenderedPageBreak/>
              <w:t>adherence by PLHIV and KPs; legal support for PLHIV and KPs; strengthening information systems on KP services; medical services for undocumented migrants; and social contracting.</w:t>
            </w:r>
          </w:p>
          <w:p w14:paraId="7C940FA5" w14:textId="368F2BF5" w:rsidR="00CB63FE" w:rsidRPr="00AF43A2" w:rsidRDefault="00D9383C" w:rsidP="000A0528">
            <w:pPr>
              <w:spacing w:after="0" w:line="240" w:lineRule="auto"/>
              <w:ind w:firstLine="284"/>
              <w:jc w:val="both"/>
              <w:rPr>
                <w:rFonts w:asciiTheme="minorHAnsi" w:hAnsiTheme="minorHAnsi" w:cstheme="minorHAnsi"/>
                <w:color w:val="1E1E1E" w:themeColor="background2"/>
                <w:sz w:val="21"/>
                <w:szCs w:val="21"/>
              </w:rPr>
            </w:pPr>
            <w:r w:rsidRPr="00AF43A2">
              <w:rPr>
                <w:rFonts w:asciiTheme="minorHAnsi" w:hAnsiTheme="minorHAnsi" w:cstheme="minorHAnsi"/>
                <w:color w:val="202020" w:themeColor="text1" w:themeShade="80"/>
                <w:sz w:val="21"/>
              </w:rPr>
              <w:t xml:space="preserve">In March 2020, an international consultant was recruited to coordinate the further development of the funding request. However, due to the </w:t>
            </w:r>
            <w:r w:rsidRPr="00AF43A2">
              <w:rPr>
                <w:rFonts w:asciiTheme="minorHAnsi" w:hAnsiTheme="minorHAnsi" w:cstheme="minorHAnsi"/>
                <w:color w:val="1E1E1E" w:themeColor="background2"/>
                <w:sz w:val="21"/>
              </w:rPr>
              <w:t xml:space="preserve">Covid-19 pandemic, as of early March, all meetings and discussions had to take place through regular e-mail contact and teleconferences. The process continued with extensive discussions with all stakeholders regarding the priorities identified through the National Dialogue; the proposals for services and programmes; as well as key policy documents; epidemiological data; programme M&amp;E data; </w:t>
            </w:r>
            <w:r w:rsidR="00D07D68" w:rsidRPr="00AF43A2">
              <w:rPr>
                <w:rFonts w:asciiTheme="minorHAnsi" w:hAnsiTheme="minorHAnsi" w:cstheme="minorHAnsi"/>
                <w:color w:val="1E1E1E" w:themeColor="background2"/>
                <w:sz w:val="21"/>
              </w:rPr>
              <w:t xml:space="preserve">the Global Fund Portfolio Analysis; </w:t>
            </w:r>
            <w:r w:rsidRPr="00AF43A2">
              <w:rPr>
                <w:rFonts w:asciiTheme="minorHAnsi" w:hAnsiTheme="minorHAnsi" w:cstheme="minorHAnsi"/>
                <w:color w:val="1E1E1E" w:themeColor="background2"/>
                <w:sz w:val="21"/>
              </w:rPr>
              <w:t>and assessment reports</w:t>
            </w:r>
            <w:r w:rsidRPr="00AF43A2">
              <w:rPr>
                <w:rStyle w:val="af"/>
                <w:rFonts w:asciiTheme="minorHAnsi" w:hAnsiTheme="minorHAnsi" w:cstheme="minorHAnsi"/>
                <w:color w:val="1E1E1E" w:themeColor="background2"/>
                <w:sz w:val="21"/>
              </w:rPr>
              <w:footnoteReference w:id="6"/>
            </w:r>
            <w:r w:rsidRPr="00AF43A2">
              <w:rPr>
                <w:rFonts w:asciiTheme="minorHAnsi" w:hAnsiTheme="minorHAnsi" w:cstheme="minorHAnsi"/>
                <w:color w:val="1E1E1E" w:themeColor="background2"/>
                <w:sz w:val="21"/>
              </w:rPr>
              <w:t xml:space="preserve">. This process allowed prioritising the proposed interventions to be included in the FR, based on the outcomes of the national dialogue and key policy and evaluation reports, with a view to strengthening the sustainability of the national HIV </w:t>
            </w:r>
            <w:r w:rsidRPr="00AF43A2">
              <w:rPr>
                <w:rFonts w:asciiTheme="minorHAnsi" w:hAnsiTheme="minorHAnsi" w:cstheme="minorHAnsi"/>
                <w:color w:val="1E1E1E" w:themeColor="background2"/>
                <w:sz w:val="21"/>
                <w:szCs w:val="21"/>
              </w:rPr>
              <w:t>response.</w:t>
            </w:r>
            <w:r w:rsidR="00A34937" w:rsidRPr="00AF43A2">
              <w:rPr>
                <w:color w:val="1E1E1E" w:themeColor="background2"/>
                <w:sz w:val="21"/>
                <w:szCs w:val="21"/>
              </w:rPr>
              <w:t xml:space="preserve"> </w:t>
            </w:r>
            <w:r w:rsidR="00810253" w:rsidRPr="00AF43A2">
              <w:rPr>
                <w:rFonts w:asciiTheme="minorHAnsi" w:hAnsiTheme="minorHAnsi" w:cstheme="minorHAnsi"/>
                <w:color w:val="1E1E1E" w:themeColor="background2"/>
                <w:sz w:val="21"/>
                <w:szCs w:val="21"/>
              </w:rPr>
              <w:t>All</w:t>
            </w:r>
            <w:r w:rsidR="00A34937" w:rsidRPr="00AF43A2">
              <w:rPr>
                <w:rFonts w:asciiTheme="minorHAnsi" w:hAnsiTheme="minorHAnsi" w:cstheme="minorHAnsi"/>
                <w:color w:val="1E1E1E" w:themeColor="background2"/>
                <w:sz w:val="21"/>
                <w:szCs w:val="21"/>
              </w:rPr>
              <w:t xml:space="preserve"> materials were prepared in English and Russian and key documents were shared </w:t>
            </w:r>
            <w:r w:rsidR="00810253" w:rsidRPr="00AF43A2">
              <w:rPr>
                <w:rFonts w:asciiTheme="minorHAnsi" w:hAnsiTheme="minorHAnsi" w:cstheme="minorHAnsi"/>
                <w:color w:val="1E1E1E" w:themeColor="background2"/>
                <w:sz w:val="21"/>
                <w:szCs w:val="21"/>
              </w:rPr>
              <w:t xml:space="preserve">for feedback </w:t>
            </w:r>
            <w:r w:rsidR="00A34937" w:rsidRPr="00AF43A2">
              <w:rPr>
                <w:rFonts w:asciiTheme="minorHAnsi" w:hAnsiTheme="minorHAnsi" w:cstheme="minorHAnsi"/>
                <w:color w:val="1E1E1E" w:themeColor="background2"/>
                <w:sz w:val="21"/>
                <w:szCs w:val="21"/>
              </w:rPr>
              <w:t>throughout the process with CCM as well as key technical and funding partners</w:t>
            </w:r>
            <w:r w:rsidR="00810253" w:rsidRPr="00AF43A2">
              <w:rPr>
                <w:rFonts w:asciiTheme="minorHAnsi" w:hAnsiTheme="minorHAnsi" w:cstheme="minorHAnsi"/>
                <w:color w:val="1E1E1E" w:themeColor="background2"/>
                <w:sz w:val="21"/>
                <w:szCs w:val="21"/>
              </w:rPr>
              <w:t xml:space="preserve">, including WHO, </w:t>
            </w:r>
            <w:r w:rsidR="00A34937" w:rsidRPr="00AF43A2">
              <w:rPr>
                <w:rFonts w:asciiTheme="minorHAnsi" w:hAnsiTheme="minorHAnsi" w:cstheme="minorHAnsi"/>
                <w:color w:val="1E1E1E" w:themeColor="background2"/>
                <w:sz w:val="21"/>
                <w:szCs w:val="21"/>
              </w:rPr>
              <w:t>UNAIDS</w:t>
            </w:r>
            <w:r w:rsidR="00810253" w:rsidRPr="00AF43A2">
              <w:rPr>
                <w:rFonts w:asciiTheme="minorHAnsi" w:hAnsiTheme="minorHAnsi" w:cstheme="minorHAnsi"/>
                <w:color w:val="1E1E1E" w:themeColor="background2"/>
                <w:sz w:val="21"/>
                <w:szCs w:val="21"/>
              </w:rPr>
              <w:t xml:space="preserve"> and </w:t>
            </w:r>
            <w:r w:rsidR="00A34937" w:rsidRPr="00AF43A2">
              <w:rPr>
                <w:rFonts w:asciiTheme="minorHAnsi" w:hAnsiTheme="minorHAnsi" w:cstheme="minorHAnsi"/>
                <w:color w:val="1E1E1E" w:themeColor="background2"/>
                <w:sz w:val="21"/>
                <w:szCs w:val="21"/>
              </w:rPr>
              <w:t>US governmental partners.</w:t>
            </w:r>
          </w:p>
          <w:p w14:paraId="5E0CA77B" w14:textId="2681F134" w:rsidR="00784BC6" w:rsidRPr="00AF43A2" w:rsidRDefault="00784BC6" w:rsidP="000A0528">
            <w:pPr>
              <w:spacing w:after="0" w:line="240" w:lineRule="auto"/>
              <w:jc w:val="both"/>
              <w:rPr>
                <w:rFonts w:asciiTheme="minorHAnsi" w:hAnsiTheme="minorHAnsi" w:cstheme="minorHAnsi"/>
                <w:color w:val="1E1E1E" w:themeColor="background2"/>
                <w:sz w:val="10"/>
                <w:szCs w:val="10"/>
              </w:rPr>
            </w:pPr>
          </w:p>
          <w:p w14:paraId="620F115C" w14:textId="53804A8F" w:rsidR="00784BC6" w:rsidRPr="00AF43A2" w:rsidRDefault="00784BC6" w:rsidP="000A0528">
            <w:pPr>
              <w:spacing w:after="0" w:line="240" w:lineRule="auto"/>
              <w:jc w:val="both"/>
              <w:rPr>
                <w:rFonts w:asciiTheme="minorHAnsi" w:hAnsiTheme="minorHAnsi" w:cstheme="minorHAnsi"/>
                <w:b/>
                <w:color w:val="1E1E1E" w:themeColor="background2"/>
                <w:sz w:val="21"/>
                <w:u w:val="single"/>
              </w:rPr>
            </w:pPr>
            <w:r w:rsidRPr="00AF43A2">
              <w:rPr>
                <w:rFonts w:asciiTheme="minorHAnsi" w:hAnsiTheme="minorHAnsi" w:cstheme="minorHAnsi"/>
                <w:b/>
                <w:color w:val="1E1E1E" w:themeColor="background2"/>
                <w:sz w:val="21"/>
                <w:u w:val="single"/>
              </w:rPr>
              <w:t>Guiding documents and principles</w:t>
            </w:r>
          </w:p>
          <w:p w14:paraId="0039FDD3" w14:textId="1341CAC5" w:rsidR="00FC4648" w:rsidRPr="00AF43A2" w:rsidRDefault="00D07D68" w:rsidP="000A0528">
            <w:pPr>
              <w:spacing w:after="0" w:line="240" w:lineRule="auto"/>
              <w:ind w:firstLine="284"/>
              <w:jc w:val="both"/>
              <w:rPr>
                <w:rFonts w:asciiTheme="minorHAnsi" w:hAnsiTheme="minorHAnsi" w:cstheme="minorHAnsi"/>
                <w:color w:val="1E1E1E" w:themeColor="background2"/>
                <w:sz w:val="21"/>
              </w:rPr>
            </w:pPr>
            <w:r w:rsidRPr="00AF43A2">
              <w:rPr>
                <w:rFonts w:asciiTheme="minorHAnsi" w:hAnsiTheme="minorHAnsi" w:cstheme="minorHAnsi"/>
                <w:color w:val="1E1E1E" w:themeColor="background2"/>
                <w:sz w:val="21"/>
              </w:rPr>
              <w:t xml:space="preserve">The </w:t>
            </w:r>
            <w:r w:rsidRPr="00AF43A2">
              <w:rPr>
                <w:rFonts w:asciiTheme="minorHAnsi" w:hAnsiTheme="minorHAnsi" w:cstheme="minorHAnsi"/>
                <w:b/>
                <w:i/>
                <w:color w:val="1E1E1E" w:themeColor="background2"/>
                <w:sz w:val="21"/>
              </w:rPr>
              <w:t>Portfolio Analysis</w:t>
            </w:r>
            <w:r w:rsidRPr="00AF43A2">
              <w:rPr>
                <w:rFonts w:asciiTheme="minorHAnsi" w:hAnsiTheme="minorHAnsi" w:cstheme="minorHAnsi"/>
                <w:color w:val="1E1E1E" w:themeColor="background2"/>
                <w:sz w:val="21"/>
              </w:rPr>
              <w:t xml:space="preserve"> was used as strategic guidance for the prioritisation of interventions </w:t>
            </w:r>
            <w:r w:rsidR="00147B3D" w:rsidRPr="00AF43A2">
              <w:rPr>
                <w:rFonts w:asciiTheme="minorHAnsi" w:hAnsiTheme="minorHAnsi" w:cstheme="minorHAnsi"/>
                <w:color w:val="1E1E1E" w:themeColor="background2"/>
                <w:sz w:val="21"/>
              </w:rPr>
              <w:t>for</w:t>
            </w:r>
            <w:r w:rsidRPr="00AF43A2">
              <w:rPr>
                <w:rFonts w:asciiTheme="minorHAnsi" w:hAnsiTheme="minorHAnsi" w:cstheme="minorHAnsi"/>
                <w:color w:val="1E1E1E" w:themeColor="background2"/>
                <w:sz w:val="21"/>
              </w:rPr>
              <w:t xml:space="preserve"> this Funding Request. Key priorities mentioned include the i</w:t>
            </w:r>
            <w:r w:rsidR="00FC4648" w:rsidRPr="00AF43A2">
              <w:rPr>
                <w:rFonts w:asciiTheme="minorHAnsi" w:hAnsiTheme="minorHAnsi" w:cstheme="minorHAnsi"/>
                <w:color w:val="1E1E1E" w:themeColor="background2"/>
                <w:sz w:val="21"/>
              </w:rPr>
              <w:t>ntroduc</w:t>
            </w:r>
            <w:r w:rsidRPr="00AF43A2">
              <w:rPr>
                <w:rFonts w:asciiTheme="minorHAnsi" w:hAnsiTheme="minorHAnsi" w:cstheme="minorHAnsi"/>
                <w:color w:val="1E1E1E" w:themeColor="background2"/>
                <w:sz w:val="21"/>
              </w:rPr>
              <w:t xml:space="preserve">tion and </w:t>
            </w:r>
            <w:r w:rsidR="00FC4648" w:rsidRPr="00AF43A2">
              <w:rPr>
                <w:rFonts w:asciiTheme="minorHAnsi" w:hAnsiTheme="minorHAnsi" w:cstheme="minorHAnsi"/>
                <w:color w:val="1E1E1E" w:themeColor="background2"/>
                <w:sz w:val="21"/>
              </w:rPr>
              <w:t>scal</w:t>
            </w:r>
            <w:r w:rsidR="00147B3D" w:rsidRPr="00AF43A2">
              <w:rPr>
                <w:rFonts w:asciiTheme="minorHAnsi" w:hAnsiTheme="minorHAnsi" w:cstheme="minorHAnsi"/>
                <w:color w:val="1E1E1E" w:themeColor="background2"/>
                <w:sz w:val="21"/>
              </w:rPr>
              <w:t>e-</w:t>
            </w:r>
            <w:r w:rsidR="00FC4648" w:rsidRPr="00AF43A2">
              <w:rPr>
                <w:rFonts w:asciiTheme="minorHAnsi" w:hAnsiTheme="minorHAnsi" w:cstheme="minorHAnsi"/>
                <w:color w:val="1E1E1E" w:themeColor="background2"/>
                <w:sz w:val="21"/>
              </w:rPr>
              <w:t xml:space="preserve">up </w:t>
            </w:r>
            <w:r w:rsidRPr="00AF43A2">
              <w:rPr>
                <w:rFonts w:asciiTheme="minorHAnsi" w:hAnsiTheme="minorHAnsi" w:cstheme="minorHAnsi"/>
                <w:color w:val="1E1E1E" w:themeColor="background2"/>
                <w:sz w:val="21"/>
              </w:rPr>
              <w:t>of</w:t>
            </w:r>
            <w:r w:rsidR="00FC4648" w:rsidRPr="00AF43A2">
              <w:rPr>
                <w:rFonts w:asciiTheme="minorHAnsi" w:hAnsiTheme="minorHAnsi" w:cstheme="minorHAnsi"/>
                <w:color w:val="1E1E1E" w:themeColor="background2"/>
                <w:sz w:val="21"/>
              </w:rPr>
              <w:t xml:space="preserve"> new HIV testing modalities</w:t>
            </w:r>
            <w:r w:rsidRPr="00AF43A2">
              <w:rPr>
                <w:rFonts w:asciiTheme="minorHAnsi" w:hAnsiTheme="minorHAnsi" w:cstheme="minorHAnsi"/>
                <w:color w:val="1E1E1E" w:themeColor="background2"/>
                <w:sz w:val="21"/>
              </w:rPr>
              <w:t xml:space="preserve"> </w:t>
            </w:r>
            <w:r w:rsidR="00FC4648" w:rsidRPr="00AF43A2">
              <w:rPr>
                <w:rFonts w:asciiTheme="minorHAnsi" w:hAnsiTheme="minorHAnsi" w:cstheme="minorHAnsi"/>
                <w:color w:val="1E1E1E" w:themeColor="background2"/>
                <w:sz w:val="21"/>
              </w:rPr>
              <w:t xml:space="preserve">tailored to reach </w:t>
            </w:r>
            <w:r w:rsidRPr="00AF43A2">
              <w:rPr>
                <w:rFonts w:asciiTheme="minorHAnsi" w:hAnsiTheme="minorHAnsi" w:cstheme="minorHAnsi"/>
                <w:color w:val="1E1E1E" w:themeColor="background2"/>
                <w:sz w:val="21"/>
              </w:rPr>
              <w:t>KPs; the i</w:t>
            </w:r>
            <w:r w:rsidR="00FC4648" w:rsidRPr="00AF43A2">
              <w:rPr>
                <w:rFonts w:asciiTheme="minorHAnsi" w:hAnsiTheme="minorHAnsi" w:cstheme="minorHAnsi"/>
                <w:color w:val="1E1E1E" w:themeColor="background2"/>
                <w:sz w:val="21"/>
              </w:rPr>
              <w:t>ntroduction and scale</w:t>
            </w:r>
            <w:r w:rsidR="00147B3D" w:rsidRPr="00AF43A2">
              <w:rPr>
                <w:rFonts w:asciiTheme="minorHAnsi" w:hAnsiTheme="minorHAnsi" w:cstheme="minorHAnsi"/>
                <w:color w:val="1E1E1E" w:themeColor="background2"/>
                <w:sz w:val="21"/>
              </w:rPr>
              <w:t>-</w:t>
            </w:r>
            <w:r w:rsidR="00FC4648" w:rsidRPr="00AF43A2">
              <w:rPr>
                <w:rFonts w:asciiTheme="minorHAnsi" w:hAnsiTheme="minorHAnsi" w:cstheme="minorHAnsi"/>
                <w:color w:val="1E1E1E" w:themeColor="background2"/>
                <w:sz w:val="21"/>
              </w:rPr>
              <w:t>up of PrEP</w:t>
            </w:r>
            <w:r w:rsidR="00147B3D" w:rsidRPr="00AF43A2">
              <w:rPr>
                <w:rFonts w:asciiTheme="minorHAnsi" w:hAnsiTheme="minorHAnsi" w:cstheme="minorHAnsi"/>
                <w:color w:val="1E1E1E" w:themeColor="background2"/>
                <w:sz w:val="21"/>
              </w:rPr>
              <w:t>; f</w:t>
            </w:r>
            <w:r w:rsidR="00FC4648" w:rsidRPr="00AF43A2">
              <w:rPr>
                <w:rFonts w:asciiTheme="minorHAnsi" w:hAnsiTheme="minorHAnsi" w:cstheme="minorHAnsi"/>
                <w:color w:val="1E1E1E" w:themeColor="background2"/>
                <w:sz w:val="21"/>
              </w:rPr>
              <w:t xml:space="preserve">urther strengthening </w:t>
            </w:r>
            <w:r w:rsidR="00147B3D" w:rsidRPr="00AF43A2">
              <w:rPr>
                <w:rFonts w:asciiTheme="minorHAnsi" w:hAnsiTheme="minorHAnsi" w:cstheme="minorHAnsi"/>
                <w:color w:val="1E1E1E" w:themeColor="background2"/>
                <w:sz w:val="21"/>
              </w:rPr>
              <w:t>of v</w:t>
            </w:r>
            <w:r w:rsidR="00FC4648" w:rsidRPr="00AF43A2">
              <w:rPr>
                <w:rFonts w:asciiTheme="minorHAnsi" w:hAnsiTheme="minorHAnsi" w:cstheme="minorHAnsi"/>
                <w:color w:val="1E1E1E" w:themeColor="background2"/>
                <w:sz w:val="21"/>
              </w:rPr>
              <w:t xml:space="preserve">iral </w:t>
            </w:r>
            <w:r w:rsidR="00147B3D" w:rsidRPr="00AF43A2">
              <w:rPr>
                <w:rFonts w:asciiTheme="minorHAnsi" w:hAnsiTheme="minorHAnsi" w:cstheme="minorHAnsi"/>
                <w:color w:val="1E1E1E" w:themeColor="background2"/>
                <w:sz w:val="21"/>
              </w:rPr>
              <w:t>l</w:t>
            </w:r>
            <w:r w:rsidR="00FC4648" w:rsidRPr="00AF43A2">
              <w:rPr>
                <w:rFonts w:asciiTheme="minorHAnsi" w:hAnsiTheme="minorHAnsi" w:cstheme="minorHAnsi"/>
                <w:color w:val="1E1E1E" w:themeColor="background2"/>
                <w:sz w:val="21"/>
              </w:rPr>
              <w:t xml:space="preserve">oad </w:t>
            </w:r>
            <w:r w:rsidR="00147B3D" w:rsidRPr="00AF43A2">
              <w:rPr>
                <w:rFonts w:asciiTheme="minorHAnsi" w:hAnsiTheme="minorHAnsi" w:cstheme="minorHAnsi"/>
                <w:color w:val="1E1E1E" w:themeColor="background2"/>
                <w:sz w:val="21"/>
              </w:rPr>
              <w:t xml:space="preserve">(VL) </w:t>
            </w:r>
            <w:r w:rsidR="00FC4648" w:rsidRPr="00AF43A2">
              <w:rPr>
                <w:rFonts w:asciiTheme="minorHAnsi" w:hAnsiTheme="minorHAnsi" w:cstheme="minorHAnsi"/>
                <w:color w:val="1E1E1E" w:themeColor="background2"/>
                <w:sz w:val="21"/>
              </w:rPr>
              <w:t>testing</w:t>
            </w:r>
            <w:r w:rsidR="00147B3D" w:rsidRPr="00AF43A2">
              <w:rPr>
                <w:rFonts w:asciiTheme="minorHAnsi" w:hAnsiTheme="minorHAnsi" w:cstheme="minorHAnsi"/>
                <w:color w:val="1E1E1E" w:themeColor="background2"/>
                <w:sz w:val="21"/>
              </w:rPr>
              <w:t>,</w:t>
            </w:r>
            <w:r w:rsidR="00FC4648" w:rsidRPr="00AF43A2">
              <w:rPr>
                <w:rFonts w:asciiTheme="minorHAnsi" w:hAnsiTheme="minorHAnsi" w:cstheme="minorHAnsi"/>
                <w:color w:val="1E1E1E" w:themeColor="background2"/>
                <w:sz w:val="21"/>
              </w:rPr>
              <w:t xml:space="preserve"> including unification of </w:t>
            </w:r>
            <w:r w:rsidR="00147B3D" w:rsidRPr="00AF43A2">
              <w:rPr>
                <w:rFonts w:asciiTheme="minorHAnsi" w:hAnsiTheme="minorHAnsi" w:cstheme="minorHAnsi"/>
                <w:color w:val="1E1E1E" w:themeColor="background2"/>
                <w:sz w:val="21"/>
              </w:rPr>
              <w:t>VL</w:t>
            </w:r>
            <w:r w:rsidR="00FC4648" w:rsidRPr="00AF43A2">
              <w:rPr>
                <w:rFonts w:asciiTheme="minorHAnsi" w:hAnsiTheme="minorHAnsi" w:cstheme="minorHAnsi"/>
                <w:color w:val="1E1E1E" w:themeColor="background2"/>
                <w:sz w:val="21"/>
              </w:rPr>
              <w:t xml:space="preserve"> testing technologies</w:t>
            </w:r>
            <w:r w:rsidR="00FE7E8D" w:rsidRPr="00AF43A2">
              <w:rPr>
                <w:rFonts w:asciiTheme="minorHAnsi" w:hAnsiTheme="minorHAnsi" w:cstheme="minorHAnsi"/>
                <w:color w:val="1E1E1E" w:themeColor="background2"/>
                <w:sz w:val="21"/>
              </w:rPr>
              <w:t xml:space="preserve"> (as evidenced by strengthening of lab capacity)</w:t>
            </w:r>
            <w:r w:rsidR="00147B3D" w:rsidRPr="00AF43A2">
              <w:rPr>
                <w:rFonts w:asciiTheme="minorHAnsi" w:hAnsiTheme="minorHAnsi" w:cstheme="minorHAnsi"/>
                <w:color w:val="1E1E1E" w:themeColor="background2"/>
                <w:sz w:val="21"/>
              </w:rPr>
              <w:t xml:space="preserve">; </w:t>
            </w:r>
            <w:r w:rsidR="00FC4648" w:rsidRPr="00AF43A2">
              <w:rPr>
                <w:rFonts w:asciiTheme="minorHAnsi" w:hAnsiTheme="minorHAnsi" w:cstheme="minorHAnsi"/>
                <w:color w:val="1E1E1E" w:themeColor="background2"/>
                <w:sz w:val="21"/>
              </w:rPr>
              <w:t xml:space="preserve">strengthening of </w:t>
            </w:r>
            <w:r w:rsidR="00147B3D" w:rsidRPr="00AF43A2">
              <w:rPr>
                <w:rFonts w:asciiTheme="minorHAnsi" w:hAnsiTheme="minorHAnsi" w:cstheme="minorHAnsi"/>
                <w:color w:val="1E1E1E" w:themeColor="background2"/>
                <w:sz w:val="21"/>
              </w:rPr>
              <w:t>d</w:t>
            </w:r>
            <w:r w:rsidR="00FC4648" w:rsidRPr="00AF43A2">
              <w:rPr>
                <w:rFonts w:asciiTheme="minorHAnsi" w:hAnsiTheme="minorHAnsi" w:cstheme="minorHAnsi"/>
                <w:color w:val="1E1E1E" w:themeColor="background2"/>
                <w:sz w:val="21"/>
              </w:rPr>
              <w:t xml:space="preserve">ifferentiated </w:t>
            </w:r>
            <w:r w:rsidR="00147B3D" w:rsidRPr="00AF43A2">
              <w:rPr>
                <w:rFonts w:asciiTheme="minorHAnsi" w:hAnsiTheme="minorHAnsi" w:cstheme="minorHAnsi"/>
                <w:color w:val="1E1E1E" w:themeColor="background2"/>
                <w:sz w:val="21"/>
              </w:rPr>
              <w:t>s</w:t>
            </w:r>
            <w:r w:rsidR="00FC4648" w:rsidRPr="00AF43A2">
              <w:rPr>
                <w:rFonts w:asciiTheme="minorHAnsi" w:hAnsiTheme="minorHAnsi" w:cstheme="minorHAnsi"/>
                <w:color w:val="1E1E1E" w:themeColor="background2"/>
                <w:sz w:val="21"/>
              </w:rPr>
              <w:t>ervice</w:t>
            </w:r>
            <w:r w:rsidR="00147B3D" w:rsidRPr="00AF43A2">
              <w:rPr>
                <w:rFonts w:asciiTheme="minorHAnsi" w:hAnsiTheme="minorHAnsi" w:cstheme="minorHAnsi"/>
                <w:color w:val="1E1E1E" w:themeColor="background2"/>
                <w:sz w:val="21"/>
              </w:rPr>
              <w:t>-d</w:t>
            </w:r>
            <w:r w:rsidR="00FC4648" w:rsidRPr="00AF43A2">
              <w:rPr>
                <w:rFonts w:asciiTheme="minorHAnsi" w:hAnsiTheme="minorHAnsi" w:cstheme="minorHAnsi"/>
                <w:color w:val="1E1E1E" w:themeColor="background2"/>
                <w:sz w:val="21"/>
              </w:rPr>
              <w:t xml:space="preserve">elivery models focused on </w:t>
            </w:r>
            <w:r w:rsidR="00147B3D" w:rsidRPr="00AF43A2">
              <w:rPr>
                <w:rFonts w:asciiTheme="minorHAnsi" w:hAnsiTheme="minorHAnsi" w:cstheme="minorHAnsi"/>
                <w:color w:val="1E1E1E" w:themeColor="background2"/>
                <w:sz w:val="21"/>
              </w:rPr>
              <w:t xml:space="preserve">KPs </w:t>
            </w:r>
            <w:r w:rsidR="00FC4648" w:rsidRPr="00AF43A2">
              <w:rPr>
                <w:rFonts w:asciiTheme="minorHAnsi" w:hAnsiTheme="minorHAnsi" w:cstheme="minorHAnsi"/>
                <w:color w:val="1E1E1E" w:themeColor="background2"/>
                <w:sz w:val="21"/>
              </w:rPr>
              <w:t>in ART provision</w:t>
            </w:r>
            <w:r w:rsidR="00147B3D" w:rsidRPr="00AF43A2">
              <w:rPr>
                <w:rFonts w:asciiTheme="minorHAnsi" w:hAnsiTheme="minorHAnsi" w:cstheme="minorHAnsi"/>
                <w:color w:val="1E1E1E" w:themeColor="background2"/>
                <w:sz w:val="21"/>
              </w:rPr>
              <w:t>; a</w:t>
            </w:r>
            <w:r w:rsidR="00FC4648" w:rsidRPr="00AF43A2">
              <w:rPr>
                <w:rFonts w:asciiTheme="minorHAnsi" w:hAnsiTheme="minorHAnsi" w:cstheme="minorHAnsi"/>
                <w:color w:val="1E1E1E" w:themeColor="background2"/>
                <w:sz w:val="21"/>
              </w:rPr>
              <w:t>d</w:t>
            </w:r>
            <w:r w:rsidR="00427207" w:rsidRPr="00AF43A2">
              <w:rPr>
                <w:rFonts w:asciiTheme="minorHAnsi" w:hAnsiTheme="minorHAnsi" w:cstheme="minorHAnsi"/>
                <w:color w:val="1E1E1E" w:themeColor="background2"/>
                <w:sz w:val="21"/>
              </w:rPr>
              <w:t>d</w:t>
            </w:r>
            <w:r w:rsidR="00FC4648" w:rsidRPr="00AF43A2">
              <w:rPr>
                <w:rFonts w:asciiTheme="minorHAnsi" w:hAnsiTheme="minorHAnsi" w:cstheme="minorHAnsi"/>
                <w:color w:val="1E1E1E" w:themeColor="background2"/>
                <w:sz w:val="21"/>
              </w:rPr>
              <w:t xml:space="preserve">ressing stigma and discrimination and other human rights-related barriers to support increased uptake and retention of </w:t>
            </w:r>
            <w:r w:rsidR="00147B3D" w:rsidRPr="00AF43A2">
              <w:rPr>
                <w:rFonts w:asciiTheme="minorHAnsi" w:hAnsiTheme="minorHAnsi" w:cstheme="minorHAnsi"/>
                <w:color w:val="1E1E1E" w:themeColor="background2"/>
                <w:sz w:val="21"/>
              </w:rPr>
              <w:t>KPs</w:t>
            </w:r>
            <w:r w:rsidR="00FC4648" w:rsidRPr="00AF43A2">
              <w:rPr>
                <w:rFonts w:asciiTheme="minorHAnsi" w:hAnsiTheme="minorHAnsi" w:cstheme="minorHAnsi"/>
                <w:color w:val="1E1E1E" w:themeColor="background2"/>
                <w:sz w:val="21"/>
              </w:rPr>
              <w:t xml:space="preserve"> throughout the cascade.</w:t>
            </w:r>
          </w:p>
          <w:p w14:paraId="22EE775B" w14:textId="77777777" w:rsidR="00814031" w:rsidRPr="00AF43A2" w:rsidRDefault="00493A7E" w:rsidP="000A0528">
            <w:pPr>
              <w:spacing w:after="0" w:line="240" w:lineRule="auto"/>
              <w:ind w:firstLine="284"/>
              <w:jc w:val="both"/>
              <w:rPr>
                <w:rFonts w:asciiTheme="minorHAnsi" w:hAnsiTheme="minorHAnsi" w:cstheme="minorHAnsi"/>
                <w:color w:val="1E1E1E" w:themeColor="background2"/>
                <w:sz w:val="21"/>
              </w:rPr>
            </w:pPr>
            <w:r w:rsidRPr="00AF43A2">
              <w:rPr>
                <w:rFonts w:asciiTheme="minorHAnsi" w:hAnsiTheme="minorHAnsi" w:cstheme="minorHAnsi"/>
                <w:color w:val="1E1E1E" w:themeColor="background2"/>
                <w:sz w:val="21"/>
              </w:rPr>
              <w:t>In addition, prioritisation was guided b</w:t>
            </w:r>
            <w:r w:rsidR="00AA305F" w:rsidRPr="00AF43A2">
              <w:rPr>
                <w:rFonts w:asciiTheme="minorHAnsi" w:hAnsiTheme="minorHAnsi" w:cstheme="minorHAnsi"/>
                <w:color w:val="1E1E1E" w:themeColor="background2"/>
                <w:sz w:val="21"/>
              </w:rPr>
              <w:t>y</w:t>
            </w:r>
            <w:r w:rsidRPr="00AF43A2">
              <w:rPr>
                <w:rFonts w:asciiTheme="minorHAnsi" w:hAnsiTheme="minorHAnsi" w:cstheme="minorHAnsi"/>
                <w:color w:val="1E1E1E" w:themeColor="background2"/>
                <w:sz w:val="21"/>
              </w:rPr>
              <w:t xml:space="preserve"> the </w:t>
            </w:r>
            <w:r w:rsidRPr="00AF43A2">
              <w:rPr>
                <w:rFonts w:asciiTheme="minorHAnsi" w:hAnsiTheme="minorHAnsi" w:cstheme="minorHAnsi"/>
                <w:b/>
                <w:i/>
                <w:color w:val="1E1E1E" w:themeColor="background2"/>
                <w:sz w:val="21"/>
              </w:rPr>
              <w:t>application focus requirement</w:t>
            </w:r>
            <w:r w:rsidRPr="00AF43A2">
              <w:rPr>
                <w:rFonts w:asciiTheme="minorHAnsi" w:hAnsiTheme="minorHAnsi" w:cstheme="minorHAnsi"/>
                <w:color w:val="1E1E1E" w:themeColor="background2"/>
                <w:sz w:val="21"/>
              </w:rPr>
              <w:t xml:space="preserve"> </w:t>
            </w:r>
            <w:r w:rsidR="00FE7E8D" w:rsidRPr="00AF43A2">
              <w:rPr>
                <w:rFonts w:asciiTheme="minorHAnsi" w:hAnsiTheme="minorHAnsi" w:cstheme="minorHAnsi"/>
                <w:color w:val="1E1E1E" w:themeColor="background2"/>
                <w:sz w:val="21"/>
              </w:rPr>
              <w:t xml:space="preserve">specified in the </w:t>
            </w:r>
            <w:r w:rsidR="00FE7E8D" w:rsidRPr="00AF43A2">
              <w:rPr>
                <w:rFonts w:asciiTheme="minorHAnsi" w:hAnsiTheme="minorHAnsi" w:cstheme="minorHAnsi"/>
                <w:b/>
                <w:i/>
                <w:color w:val="1E1E1E" w:themeColor="background2"/>
                <w:sz w:val="21"/>
              </w:rPr>
              <w:t>Allocation Letter</w:t>
            </w:r>
            <w:r w:rsidR="00FE7E8D" w:rsidRPr="00AF43A2">
              <w:rPr>
                <w:rFonts w:asciiTheme="minorHAnsi" w:hAnsiTheme="minorHAnsi" w:cstheme="minorHAnsi"/>
                <w:color w:val="1E1E1E" w:themeColor="background2"/>
                <w:sz w:val="21"/>
              </w:rPr>
              <w:t xml:space="preserve"> </w:t>
            </w:r>
            <w:r w:rsidRPr="00AF43A2">
              <w:rPr>
                <w:rFonts w:asciiTheme="minorHAnsi" w:hAnsiTheme="minorHAnsi" w:cstheme="minorHAnsi"/>
                <w:color w:val="1E1E1E" w:themeColor="background2"/>
                <w:sz w:val="21"/>
              </w:rPr>
              <w:t xml:space="preserve">that 100% of allocated funding should focus on interventions that maintain or scale-up </w:t>
            </w:r>
            <w:r w:rsidRPr="00AF43A2">
              <w:rPr>
                <w:rFonts w:asciiTheme="minorHAnsi" w:hAnsiTheme="minorHAnsi" w:cstheme="minorHAnsi"/>
                <w:b/>
                <w:i/>
                <w:color w:val="1E1E1E" w:themeColor="background2"/>
                <w:sz w:val="21"/>
              </w:rPr>
              <w:t>evidence-based interventions for key and vulnerable populations.</w:t>
            </w:r>
            <w:r w:rsidRPr="00AF43A2">
              <w:rPr>
                <w:rFonts w:asciiTheme="minorHAnsi" w:hAnsiTheme="minorHAnsi" w:cstheme="minorHAnsi"/>
                <w:color w:val="1E1E1E" w:themeColor="background2"/>
                <w:sz w:val="21"/>
              </w:rPr>
              <w:t xml:space="preserve"> This includes </w:t>
            </w:r>
            <w:r w:rsidRPr="00AF43A2">
              <w:rPr>
                <w:rFonts w:asciiTheme="minorHAnsi" w:hAnsiTheme="minorHAnsi" w:cstheme="minorHAnsi"/>
                <w:b/>
                <w:i/>
                <w:color w:val="1E1E1E" w:themeColor="background2"/>
                <w:sz w:val="21"/>
              </w:rPr>
              <w:t>innovative service models and interventions</w:t>
            </w:r>
            <w:r w:rsidRPr="00AF43A2">
              <w:rPr>
                <w:rFonts w:asciiTheme="minorHAnsi" w:hAnsiTheme="minorHAnsi" w:cstheme="minorHAnsi"/>
                <w:color w:val="1E1E1E" w:themeColor="background2"/>
                <w:sz w:val="21"/>
              </w:rPr>
              <w:t xml:space="preserve"> that aim to strengthen prevention, testing, treatment and care</w:t>
            </w:r>
            <w:r w:rsidR="00AA305F" w:rsidRPr="00AF43A2">
              <w:rPr>
                <w:rFonts w:asciiTheme="minorHAnsi" w:hAnsiTheme="minorHAnsi" w:cstheme="minorHAnsi"/>
                <w:color w:val="1E1E1E" w:themeColor="background2"/>
                <w:sz w:val="21"/>
              </w:rPr>
              <w:t>. E</w:t>
            </w:r>
            <w:r w:rsidRPr="00AF43A2">
              <w:rPr>
                <w:rFonts w:asciiTheme="minorHAnsi" w:hAnsiTheme="minorHAnsi" w:cstheme="minorHAnsi"/>
                <w:color w:val="1E1E1E" w:themeColor="background2"/>
                <w:sz w:val="21"/>
              </w:rPr>
              <w:t xml:space="preserve">xamples of the result of these choices include: 1) an emphasis on HIV prevention serviced by NGOs in a </w:t>
            </w:r>
            <w:r w:rsidRPr="00AF43A2">
              <w:rPr>
                <w:rFonts w:asciiTheme="minorHAnsi" w:hAnsiTheme="minorHAnsi" w:cstheme="minorHAnsi"/>
                <w:i/>
                <w:color w:val="1E1E1E" w:themeColor="background2"/>
                <w:sz w:val="21"/>
              </w:rPr>
              <w:t>selected</w:t>
            </w:r>
            <w:r w:rsidRPr="00AF43A2">
              <w:rPr>
                <w:rFonts w:asciiTheme="minorHAnsi" w:hAnsiTheme="minorHAnsi" w:cstheme="minorHAnsi"/>
                <w:color w:val="1E1E1E" w:themeColor="background2"/>
                <w:sz w:val="21"/>
              </w:rPr>
              <w:t xml:space="preserve"> number of Regions with </w:t>
            </w:r>
            <w:r w:rsidRPr="00AF43A2">
              <w:rPr>
                <w:rFonts w:asciiTheme="minorHAnsi" w:hAnsiTheme="minorHAnsi" w:cstheme="minorHAnsi"/>
                <w:i/>
                <w:color w:val="1E1E1E" w:themeColor="background2"/>
                <w:sz w:val="21"/>
              </w:rPr>
              <w:t>highest HIV rates</w:t>
            </w:r>
            <w:r w:rsidR="00AA305F" w:rsidRPr="00AF43A2">
              <w:rPr>
                <w:rFonts w:asciiTheme="minorHAnsi" w:hAnsiTheme="minorHAnsi" w:cstheme="minorHAnsi"/>
                <w:i/>
                <w:color w:val="1E1E1E" w:themeColor="background2"/>
                <w:sz w:val="21"/>
              </w:rPr>
              <w:t>;</w:t>
            </w:r>
            <w:r w:rsidRPr="00AF43A2">
              <w:rPr>
                <w:rFonts w:asciiTheme="minorHAnsi" w:hAnsiTheme="minorHAnsi" w:cstheme="minorHAnsi"/>
                <w:color w:val="1E1E1E" w:themeColor="background2"/>
                <w:sz w:val="21"/>
              </w:rPr>
              <w:t xml:space="preserve"> </w:t>
            </w:r>
            <w:r w:rsidR="00AA305F" w:rsidRPr="00AF43A2">
              <w:rPr>
                <w:rFonts w:asciiTheme="minorHAnsi" w:hAnsiTheme="minorHAnsi" w:cstheme="minorHAnsi"/>
                <w:color w:val="1E1E1E" w:themeColor="background2"/>
                <w:sz w:val="21"/>
              </w:rPr>
              <w:t xml:space="preserve">and </w:t>
            </w:r>
            <w:r w:rsidRPr="00AF43A2">
              <w:rPr>
                <w:rFonts w:asciiTheme="minorHAnsi" w:hAnsiTheme="minorHAnsi" w:cstheme="minorHAnsi"/>
                <w:color w:val="1E1E1E" w:themeColor="background2"/>
                <w:sz w:val="21"/>
              </w:rPr>
              <w:t>among th</w:t>
            </w:r>
            <w:r w:rsidR="00AA305F" w:rsidRPr="00AF43A2">
              <w:rPr>
                <w:rFonts w:asciiTheme="minorHAnsi" w:hAnsiTheme="minorHAnsi" w:cstheme="minorHAnsi"/>
                <w:color w:val="1E1E1E" w:themeColor="background2"/>
                <w:sz w:val="21"/>
              </w:rPr>
              <w:t>os</w:t>
            </w:r>
            <w:r w:rsidRPr="00AF43A2">
              <w:rPr>
                <w:rFonts w:asciiTheme="minorHAnsi" w:hAnsiTheme="minorHAnsi" w:cstheme="minorHAnsi"/>
                <w:color w:val="1E1E1E" w:themeColor="background2"/>
                <w:sz w:val="21"/>
              </w:rPr>
              <w:t>e KPs</w:t>
            </w:r>
            <w:r w:rsidR="00AA305F" w:rsidRPr="00AF43A2">
              <w:rPr>
                <w:rFonts w:asciiTheme="minorHAnsi" w:hAnsiTheme="minorHAnsi" w:cstheme="minorHAnsi"/>
                <w:color w:val="1E1E1E" w:themeColor="background2"/>
                <w:sz w:val="21"/>
              </w:rPr>
              <w:t xml:space="preserve"> that </w:t>
            </w:r>
            <w:r w:rsidRPr="00AF43A2">
              <w:rPr>
                <w:rFonts w:asciiTheme="minorHAnsi" w:hAnsiTheme="minorHAnsi" w:cstheme="minorHAnsi"/>
                <w:color w:val="1E1E1E" w:themeColor="background2"/>
                <w:sz w:val="21"/>
              </w:rPr>
              <w:t>show the highest</w:t>
            </w:r>
            <w:r w:rsidR="00AA305F" w:rsidRPr="00AF43A2">
              <w:rPr>
                <w:rFonts w:asciiTheme="minorHAnsi" w:hAnsiTheme="minorHAnsi" w:cstheme="minorHAnsi"/>
                <w:color w:val="1E1E1E" w:themeColor="background2"/>
                <w:sz w:val="21"/>
              </w:rPr>
              <w:t xml:space="preserve"> – </w:t>
            </w:r>
            <w:r w:rsidRPr="00AF43A2">
              <w:rPr>
                <w:rFonts w:asciiTheme="minorHAnsi" w:hAnsiTheme="minorHAnsi" w:cstheme="minorHAnsi"/>
                <w:color w:val="1E1E1E" w:themeColor="background2"/>
                <w:sz w:val="21"/>
              </w:rPr>
              <w:t>even sharply increasing</w:t>
            </w:r>
            <w:r w:rsidR="00AA305F" w:rsidRPr="00AF43A2">
              <w:rPr>
                <w:rFonts w:asciiTheme="minorHAnsi" w:hAnsiTheme="minorHAnsi" w:cstheme="minorHAnsi"/>
                <w:color w:val="1E1E1E" w:themeColor="background2"/>
                <w:sz w:val="21"/>
              </w:rPr>
              <w:t xml:space="preserve"> –</w:t>
            </w:r>
            <w:r w:rsidRPr="00AF43A2">
              <w:rPr>
                <w:rFonts w:asciiTheme="minorHAnsi" w:hAnsiTheme="minorHAnsi" w:cstheme="minorHAnsi"/>
                <w:color w:val="1E1E1E" w:themeColor="background2"/>
                <w:sz w:val="21"/>
              </w:rPr>
              <w:t xml:space="preserve"> HIV rates, i.e. MSM and TG people, and to a lesser extent PWID</w:t>
            </w:r>
            <w:r w:rsidR="00AA305F" w:rsidRPr="00AF43A2">
              <w:rPr>
                <w:rFonts w:asciiTheme="minorHAnsi" w:hAnsiTheme="minorHAnsi" w:cstheme="minorHAnsi"/>
                <w:color w:val="1E1E1E" w:themeColor="background2"/>
                <w:sz w:val="21"/>
              </w:rPr>
              <w:t>;</w:t>
            </w:r>
            <w:r w:rsidRPr="00AF43A2">
              <w:rPr>
                <w:rFonts w:asciiTheme="minorHAnsi" w:hAnsiTheme="minorHAnsi" w:cstheme="minorHAnsi"/>
                <w:color w:val="1E1E1E" w:themeColor="background2"/>
                <w:sz w:val="21"/>
              </w:rPr>
              <w:t xml:space="preserve"> while not prioritising SWs, who have lower HIV rates and whose services are covered by the State; </w:t>
            </w:r>
            <w:r w:rsidR="00AA305F" w:rsidRPr="00AF43A2">
              <w:rPr>
                <w:rFonts w:asciiTheme="minorHAnsi" w:hAnsiTheme="minorHAnsi" w:cstheme="minorHAnsi"/>
                <w:color w:val="1E1E1E" w:themeColor="background2"/>
                <w:sz w:val="21"/>
              </w:rPr>
              <w:t xml:space="preserve">2) A </w:t>
            </w:r>
            <w:r w:rsidR="00AA305F" w:rsidRPr="00AF43A2">
              <w:rPr>
                <w:rFonts w:asciiTheme="minorHAnsi" w:hAnsiTheme="minorHAnsi" w:cstheme="minorHAnsi"/>
                <w:b/>
                <w:i/>
                <w:color w:val="1E1E1E" w:themeColor="background2"/>
                <w:sz w:val="21"/>
              </w:rPr>
              <w:t>focus on gaps</w:t>
            </w:r>
            <w:r w:rsidR="00AA305F" w:rsidRPr="00AF43A2">
              <w:rPr>
                <w:rFonts w:asciiTheme="minorHAnsi" w:hAnsiTheme="minorHAnsi" w:cstheme="minorHAnsi"/>
                <w:color w:val="1E1E1E" w:themeColor="background2"/>
                <w:sz w:val="21"/>
              </w:rPr>
              <w:t xml:space="preserve"> in service delivery, such as OST; OD prevention and management; PrEP; and legal services for KPs and PLHIV; 3</w:t>
            </w:r>
            <w:r w:rsidRPr="00AF43A2">
              <w:rPr>
                <w:rFonts w:asciiTheme="minorHAnsi" w:hAnsiTheme="minorHAnsi" w:cstheme="minorHAnsi"/>
                <w:color w:val="1E1E1E" w:themeColor="background2"/>
                <w:sz w:val="21"/>
              </w:rPr>
              <w:t xml:space="preserve">) A focus on </w:t>
            </w:r>
            <w:r w:rsidRPr="00AF43A2">
              <w:rPr>
                <w:rFonts w:asciiTheme="minorHAnsi" w:hAnsiTheme="minorHAnsi" w:cstheme="minorHAnsi"/>
                <w:b/>
                <w:i/>
                <w:color w:val="1E1E1E" w:themeColor="background2"/>
                <w:sz w:val="21"/>
              </w:rPr>
              <w:t>patient-centred service models</w:t>
            </w:r>
            <w:r w:rsidRPr="00AF43A2">
              <w:rPr>
                <w:rFonts w:asciiTheme="minorHAnsi" w:hAnsiTheme="minorHAnsi" w:cstheme="minorHAnsi"/>
                <w:color w:val="1E1E1E" w:themeColor="background2"/>
                <w:sz w:val="21"/>
              </w:rPr>
              <w:t xml:space="preserve">, </w:t>
            </w:r>
            <w:r w:rsidR="00FE7E8D" w:rsidRPr="00AF43A2">
              <w:rPr>
                <w:rFonts w:asciiTheme="minorHAnsi" w:hAnsiTheme="minorHAnsi" w:cstheme="minorHAnsi"/>
                <w:color w:val="1E1E1E" w:themeColor="background2"/>
                <w:sz w:val="21"/>
              </w:rPr>
              <w:t>including</w:t>
            </w:r>
            <w:r w:rsidRPr="00AF43A2">
              <w:rPr>
                <w:rFonts w:asciiTheme="minorHAnsi" w:hAnsiTheme="minorHAnsi" w:cstheme="minorHAnsi"/>
                <w:color w:val="1E1E1E" w:themeColor="background2"/>
                <w:sz w:val="21"/>
              </w:rPr>
              <w:t xml:space="preserve"> peer counsellors </w:t>
            </w:r>
            <w:r w:rsidR="00FE7E8D" w:rsidRPr="00AF43A2">
              <w:rPr>
                <w:rFonts w:asciiTheme="minorHAnsi" w:hAnsiTheme="minorHAnsi" w:cstheme="minorHAnsi"/>
                <w:color w:val="1E1E1E" w:themeColor="background2"/>
                <w:sz w:val="21"/>
              </w:rPr>
              <w:t>strengthening ART adherence among</w:t>
            </w:r>
            <w:r w:rsidRPr="00AF43A2">
              <w:rPr>
                <w:rFonts w:asciiTheme="minorHAnsi" w:hAnsiTheme="minorHAnsi" w:cstheme="minorHAnsi"/>
                <w:color w:val="1E1E1E" w:themeColor="background2"/>
                <w:sz w:val="21"/>
              </w:rPr>
              <w:t xml:space="preserve"> PLHIV – especially those who are particularly vulnerable, such as PWID and TG</w:t>
            </w:r>
            <w:r w:rsidR="00AA305F" w:rsidRPr="00AF43A2">
              <w:rPr>
                <w:rFonts w:asciiTheme="minorHAnsi" w:hAnsiTheme="minorHAnsi" w:cstheme="minorHAnsi"/>
                <w:color w:val="1E1E1E" w:themeColor="background2"/>
                <w:sz w:val="21"/>
              </w:rPr>
              <w:t xml:space="preserve">; and with special attention for strengthening referral mechanisms and continuity of care; 4) a focus on </w:t>
            </w:r>
            <w:r w:rsidR="00AA305F" w:rsidRPr="00AF43A2">
              <w:rPr>
                <w:rFonts w:asciiTheme="minorHAnsi" w:hAnsiTheme="minorHAnsi" w:cstheme="minorHAnsi"/>
                <w:b/>
                <w:i/>
                <w:color w:val="1E1E1E" w:themeColor="background2"/>
                <w:sz w:val="21"/>
              </w:rPr>
              <w:t>equity of access</w:t>
            </w:r>
            <w:r w:rsidR="00AA305F" w:rsidRPr="00AF43A2">
              <w:rPr>
                <w:rFonts w:asciiTheme="minorHAnsi" w:hAnsiTheme="minorHAnsi" w:cstheme="minorHAnsi"/>
                <w:color w:val="1E1E1E" w:themeColor="background2"/>
                <w:sz w:val="21"/>
              </w:rPr>
              <w:t>, i.e. focusing on those regions with the lowest ART adherence; on those regions with lower service coverage; access to ART for undocumented migrants.</w:t>
            </w:r>
          </w:p>
          <w:p w14:paraId="7E8E618B" w14:textId="6C77BDB4" w:rsidR="00745811" w:rsidRPr="005E00FF" w:rsidRDefault="00814031" w:rsidP="000A0528">
            <w:pPr>
              <w:spacing w:after="0" w:line="240" w:lineRule="auto"/>
              <w:ind w:firstLine="284"/>
              <w:jc w:val="both"/>
              <w:rPr>
                <w:rFonts w:asciiTheme="minorHAnsi" w:hAnsiTheme="minorHAnsi" w:cstheme="minorHAnsi"/>
                <w:color w:val="1E1E1E" w:themeColor="background2"/>
                <w:sz w:val="21"/>
              </w:rPr>
            </w:pPr>
            <w:r w:rsidRPr="00AF43A2">
              <w:rPr>
                <w:rFonts w:asciiTheme="minorHAnsi" w:hAnsiTheme="minorHAnsi" w:cstheme="minorHAnsi"/>
                <w:color w:val="1E1E1E" w:themeColor="background2"/>
                <w:sz w:val="21"/>
              </w:rPr>
              <w:t>Prioritisation of proposed interventions in this FR also builds on the findings and recommendations of the</w:t>
            </w:r>
            <w:r w:rsidR="00745811" w:rsidRPr="00AF43A2">
              <w:rPr>
                <w:rFonts w:asciiTheme="minorHAnsi" w:hAnsiTheme="minorHAnsi" w:cstheme="minorHAnsi"/>
                <w:color w:val="1E1E1E" w:themeColor="background2"/>
                <w:sz w:val="21"/>
              </w:rPr>
              <w:t xml:space="preserve"> </w:t>
            </w:r>
            <w:r w:rsidRPr="00AF43A2">
              <w:rPr>
                <w:rFonts w:asciiTheme="minorHAnsi" w:hAnsiTheme="minorHAnsi" w:cstheme="minorHAnsi"/>
                <w:color w:val="1E1E1E" w:themeColor="background2"/>
                <w:sz w:val="21"/>
              </w:rPr>
              <w:t xml:space="preserve">recent </w:t>
            </w:r>
            <w:r w:rsidRPr="00AF43A2">
              <w:rPr>
                <w:rFonts w:asciiTheme="minorHAnsi" w:hAnsiTheme="minorHAnsi" w:cstheme="minorHAnsi"/>
                <w:b/>
                <w:i/>
                <w:color w:val="1E1E1E" w:themeColor="background2"/>
                <w:sz w:val="21"/>
              </w:rPr>
              <w:t xml:space="preserve">evaluation of the </w:t>
            </w:r>
            <w:r w:rsidRPr="005E00FF">
              <w:rPr>
                <w:rFonts w:asciiTheme="minorHAnsi" w:hAnsiTheme="minorHAnsi" w:cstheme="minorHAnsi"/>
                <w:b/>
                <w:i/>
                <w:color w:val="1E1E1E" w:themeColor="background2"/>
                <w:sz w:val="21"/>
              </w:rPr>
              <w:t>national HIV response</w:t>
            </w:r>
            <w:r w:rsidRPr="005E00FF">
              <w:rPr>
                <w:rFonts w:asciiTheme="minorHAnsi" w:hAnsiTheme="minorHAnsi" w:cstheme="minorHAnsi"/>
                <w:color w:val="1E1E1E" w:themeColor="background2"/>
                <w:sz w:val="21"/>
              </w:rPr>
              <w:t xml:space="preserve"> </w:t>
            </w:r>
            <w:r w:rsidRPr="005E00FF">
              <w:rPr>
                <w:rFonts w:asciiTheme="minorHAnsi" w:hAnsiTheme="minorHAnsi" w:cstheme="minorHAnsi"/>
                <w:i/>
                <w:color w:val="1E1E1E" w:themeColor="background2"/>
                <w:sz w:val="21"/>
              </w:rPr>
              <w:t>(</w:t>
            </w:r>
            <w:r w:rsidR="00D77754" w:rsidRPr="005E00FF">
              <w:rPr>
                <w:rFonts w:asciiTheme="minorHAnsi" w:hAnsiTheme="minorHAnsi" w:cstheme="minorHAnsi"/>
                <w:i/>
                <w:color w:val="1E1E1E" w:themeColor="background2"/>
                <w:sz w:val="21"/>
              </w:rPr>
              <w:t>see Annex 10; pp. 27-33</w:t>
            </w:r>
            <w:r w:rsidRPr="005E00FF">
              <w:rPr>
                <w:rFonts w:asciiTheme="minorHAnsi" w:hAnsiTheme="minorHAnsi" w:cstheme="minorHAnsi"/>
                <w:i/>
                <w:color w:val="1E1E1E" w:themeColor="background2"/>
                <w:sz w:val="21"/>
              </w:rPr>
              <w:t>).</w:t>
            </w:r>
            <w:r w:rsidRPr="005E00FF">
              <w:rPr>
                <w:rFonts w:asciiTheme="minorHAnsi" w:hAnsiTheme="minorHAnsi" w:cstheme="minorHAnsi"/>
                <w:color w:val="1E1E1E" w:themeColor="background2"/>
                <w:sz w:val="21"/>
              </w:rPr>
              <w:t xml:space="preserve"> These include:  </w:t>
            </w:r>
            <w:r w:rsidRPr="005E00FF">
              <w:rPr>
                <w:rFonts w:asciiTheme="minorHAnsi" w:hAnsiTheme="minorHAnsi" w:cstheme="minorHAnsi"/>
                <w:color w:val="1E1E1E" w:themeColor="background2"/>
              </w:rPr>
              <w:t xml:space="preserve">1) strengthening the second and third of the 90-90-90 targets, specifically improving </w:t>
            </w:r>
            <w:r w:rsidR="00784BC6" w:rsidRPr="005E00FF">
              <w:rPr>
                <w:rFonts w:asciiTheme="minorHAnsi" w:hAnsiTheme="minorHAnsi" w:cstheme="minorHAnsi"/>
                <w:color w:val="1E1E1E" w:themeColor="background2"/>
              </w:rPr>
              <w:t xml:space="preserve">access to and continuity of </w:t>
            </w:r>
            <w:r w:rsidRPr="005E00FF">
              <w:rPr>
                <w:rFonts w:asciiTheme="minorHAnsi" w:hAnsiTheme="minorHAnsi" w:cstheme="minorHAnsi"/>
                <w:color w:val="1E1E1E" w:themeColor="background2"/>
              </w:rPr>
              <w:t>ART</w:t>
            </w:r>
            <w:r w:rsidR="00784BC6" w:rsidRPr="005E00FF">
              <w:rPr>
                <w:rFonts w:asciiTheme="minorHAnsi" w:hAnsiTheme="minorHAnsi" w:cstheme="minorHAnsi"/>
                <w:color w:val="1E1E1E" w:themeColor="background2"/>
              </w:rPr>
              <w:t xml:space="preserve">; </w:t>
            </w:r>
            <w:r w:rsidRPr="005E00FF">
              <w:rPr>
                <w:rFonts w:asciiTheme="minorHAnsi" w:hAnsiTheme="minorHAnsi" w:cstheme="minorHAnsi"/>
                <w:color w:val="1E1E1E" w:themeColor="background2"/>
              </w:rPr>
              <w:t>2</w:t>
            </w:r>
            <w:r w:rsidR="00784BC6" w:rsidRPr="005E00FF">
              <w:rPr>
                <w:rFonts w:asciiTheme="minorHAnsi" w:hAnsiTheme="minorHAnsi" w:cstheme="minorHAnsi"/>
                <w:color w:val="1E1E1E" w:themeColor="background2"/>
              </w:rPr>
              <w:t>)</w:t>
            </w:r>
            <w:r w:rsidRPr="005E00FF">
              <w:rPr>
                <w:rFonts w:asciiTheme="minorHAnsi" w:hAnsiTheme="minorHAnsi" w:cstheme="minorHAnsi"/>
                <w:color w:val="1E1E1E" w:themeColor="background2"/>
              </w:rPr>
              <w:t xml:space="preserve"> Strengthen</w:t>
            </w:r>
            <w:r w:rsidR="00784BC6" w:rsidRPr="005E00FF">
              <w:rPr>
                <w:rFonts w:asciiTheme="minorHAnsi" w:hAnsiTheme="minorHAnsi" w:cstheme="minorHAnsi"/>
                <w:color w:val="1E1E1E" w:themeColor="background2"/>
              </w:rPr>
              <w:t>ing</w:t>
            </w:r>
            <w:r w:rsidRPr="005E00FF">
              <w:rPr>
                <w:rFonts w:asciiTheme="minorHAnsi" w:hAnsiTheme="minorHAnsi" w:cstheme="minorHAnsi"/>
                <w:color w:val="1E1E1E" w:themeColor="background2"/>
              </w:rPr>
              <w:t xml:space="preserve"> the role of NGOs and community-based service providers to improve the quality and coverage of HIV preventive services, OST, early HIV testing, linkage to care and ART adherence, particularly for PWID and MSM</w:t>
            </w:r>
            <w:r w:rsidR="00784BC6" w:rsidRPr="005E00FF">
              <w:rPr>
                <w:rFonts w:asciiTheme="minorHAnsi" w:hAnsiTheme="minorHAnsi" w:cstheme="minorHAnsi"/>
                <w:color w:val="1E1E1E" w:themeColor="background2"/>
              </w:rPr>
              <w:t xml:space="preserve">; </w:t>
            </w:r>
            <w:r w:rsidRPr="005E00FF">
              <w:rPr>
                <w:rFonts w:asciiTheme="minorHAnsi" w:hAnsiTheme="minorHAnsi" w:cstheme="minorHAnsi"/>
                <w:color w:val="1E1E1E" w:themeColor="background2"/>
              </w:rPr>
              <w:t>3</w:t>
            </w:r>
            <w:r w:rsidR="00784BC6" w:rsidRPr="005E00FF">
              <w:rPr>
                <w:rFonts w:asciiTheme="minorHAnsi" w:hAnsiTheme="minorHAnsi" w:cstheme="minorHAnsi"/>
                <w:color w:val="1E1E1E" w:themeColor="background2"/>
              </w:rPr>
              <w:t>)</w:t>
            </w:r>
            <w:r w:rsidRPr="005E00FF">
              <w:rPr>
                <w:rFonts w:asciiTheme="minorHAnsi" w:hAnsiTheme="minorHAnsi" w:cstheme="minorHAnsi"/>
                <w:color w:val="1E1E1E" w:themeColor="background2"/>
              </w:rPr>
              <w:t xml:space="preserve"> Improve timely linkage to and initiation of ART</w:t>
            </w:r>
            <w:r w:rsidR="00784BC6" w:rsidRPr="005E00FF">
              <w:rPr>
                <w:rFonts w:asciiTheme="minorHAnsi" w:hAnsiTheme="minorHAnsi" w:cstheme="minorHAnsi"/>
                <w:color w:val="1E1E1E" w:themeColor="background2"/>
              </w:rPr>
              <w:t xml:space="preserve">; </w:t>
            </w:r>
            <w:r w:rsidRPr="005E00FF">
              <w:rPr>
                <w:rFonts w:asciiTheme="minorHAnsi" w:hAnsiTheme="minorHAnsi" w:cstheme="minorHAnsi"/>
                <w:color w:val="1E1E1E" w:themeColor="background2"/>
              </w:rPr>
              <w:t>4</w:t>
            </w:r>
            <w:r w:rsidR="00784BC6" w:rsidRPr="005E00FF">
              <w:rPr>
                <w:rFonts w:asciiTheme="minorHAnsi" w:hAnsiTheme="minorHAnsi" w:cstheme="minorHAnsi"/>
                <w:color w:val="1E1E1E" w:themeColor="background2"/>
              </w:rPr>
              <w:t>)</w:t>
            </w:r>
            <w:r w:rsidRPr="005E00FF">
              <w:rPr>
                <w:rFonts w:asciiTheme="minorHAnsi" w:hAnsiTheme="minorHAnsi" w:cstheme="minorHAnsi"/>
                <w:color w:val="1E1E1E" w:themeColor="background2"/>
              </w:rPr>
              <w:t xml:space="preserve"> </w:t>
            </w:r>
            <w:r w:rsidR="00784BC6" w:rsidRPr="005E00FF">
              <w:rPr>
                <w:rFonts w:asciiTheme="minorHAnsi" w:hAnsiTheme="minorHAnsi" w:cstheme="minorHAnsi"/>
                <w:color w:val="1E1E1E" w:themeColor="background2"/>
              </w:rPr>
              <w:t xml:space="preserve">strengthening </w:t>
            </w:r>
            <w:r w:rsidRPr="005E00FF">
              <w:rPr>
                <w:rFonts w:asciiTheme="minorHAnsi" w:hAnsiTheme="minorHAnsi" w:cstheme="minorHAnsi"/>
                <w:color w:val="1E1E1E" w:themeColor="background2"/>
              </w:rPr>
              <w:t>diagnosis and linkage to HIV treatment and care of undocumented citizens and migrant populations</w:t>
            </w:r>
            <w:r w:rsidR="00784BC6" w:rsidRPr="005E00FF">
              <w:rPr>
                <w:rFonts w:asciiTheme="minorHAnsi" w:hAnsiTheme="minorHAnsi" w:cstheme="minorHAnsi"/>
                <w:color w:val="1E1E1E" w:themeColor="background2"/>
              </w:rPr>
              <w:t xml:space="preserve">; and </w:t>
            </w:r>
            <w:r w:rsidRPr="005E00FF">
              <w:rPr>
                <w:rFonts w:asciiTheme="minorHAnsi" w:hAnsiTheme="minorHAnsi" w:cstheme="minorHAnsi"/>
                <w:color w:val="1E1E1E" w:themeColor="background2"/>
              </w:rPr>
              <w:t>5</w:t>
            </w:r>
            <w:r w:rsidR="00784BC6" w:rsidRPr="005E00FF">
              <w:rPr>
                <w:rFonts w:asciiTheme="minorHAnsi" w:hAnsiTheme="minorHAnsi" w:cstheme="minorHAnsi"/>
                <w:color w:val="1E1E1E" w:themeColor="background2"/>
              </w:rPr>
              <w:t>)</w:t>
            </w:r>
            <w:r w:rsidRPr="005E00FF">
              <w:rPr>
                <w:rFonts w:asciiTheme="minorHAnsi" w:hAnsiTheme="minorHAnsi" w:cstheme="minorHAnsi"/>
                <w:color w:val="1E1E1E" w:themeColor="background2"/>
              </w:rPr>
              <w:t xml:space="preserve"> Updat</w:t>
            </w:r>
            <w:r w:rsidR="00784BC6" w:rsidRPr="005E00FF">
              <w:rPr>
                <w:rFonts w:asciiTheme="minorHAnsi" w:hAnsiTheme="minorHAnsi" w:cstheme="minorHAnsi"/>
                <w:color w:val="1E1E1E" w:themeColor="background2"/>
              </w:rPr>
              <w:t>ing</w:t>
            </w:r>
            <w:r w:rsidRPr="005E00FF">
              <w:rPr>
                <w:rFonts w:asciiTheme="minorHAnsi" w:hAnsiTheme="minorHAnsi" w:cstheme="minorHAnsi"/>
                <w:color w:val="1E1E1E" w:themeColor="background2"/>
              </w:rPr>
              <w:t xml:space="preserve"> data collection system</w:t>
            </w:r>
            <w:r w:rsidR="00784BC6" w:rsidRPr="005E00FF">
              <w:rPr>
                <w:rFonts w:asciiTheme="minorHAnsi" w:hAnsiTheme="minorHAnsi" w:cstheme="minorHAnsi"/>
                <w:color w:val="1E1E1E" w:themeColor="background2"/>
              </w:rPr>
              <w:t>s.</w:t>
            </w:r>
          </w:p>
          <w:p w14:paraId="2BB6AA2E" w14:textId="64A4C328" w:rsidR="00AA305F" w:rsidRPr="005E00FF" w:rsidRDefault="00AA305F" w:rsidP="000A0528">
            <w:pPr>
              <w:spacing w:after="0" w:line="240" w:lineRule="auto"/>
              <w:ind w:firstLine="284"/>
              <w:jc w:val="both"/>
              <w:rPr>
                <w:rFonts w:asciiTheme="minorHAnsi" w:hAnsiTheme="minorHAnsi" w:cstheme="minorHAnsi"/>
                <w:bCs/>
                <w:iCs/>
                <w:color w:val="1E1E1E" w:themeColor="background2"/>
                <w:sz w:val="21"/>
              </w:rPr>
            </w:pPr>
            <w:r w:rsidRPr="005E00FF">
              <w:rPr>
                <w:rFonts w:asciiTheme="minorHAnsi" w:hAnsiTheme="minorHAnsi" w:cstheme="minorHAnsi"/>
                <w:color w:val="1E1E1E" w:themeColor="background2"/>
                <w:sz w:val="21"/>
              </w:rPr>
              <w:t>A</w:t>
            </w:r>
            <w:r w:rsidR="00FE7E8D" w:rsidRPr="005E00FF">
              <w:rPr>
                <w:rFonts w:asciiTheme="minorHAnsi" w:hAnsiTheme="minorHAnsi" w:cstheme="minorHAnsi"/>
                <w:color w:val="1E1E1E" w:themeColor="background2"/>
                <w:sz w:val="21"/>
              </w:rPr>
              <w:t xml:space="preserve">nother key document for the prioritisation of interventions has been the </w:t>
            </w:r>
            <w:r w:rsidR="00FE7E8D" w:rsidRPr="005E00FF">
              <w:rPr>
                <w:rFonts w:asciiTheme="minorHAnsi" w:hAnsiTheme="minorHAnsi" w:cstheme="minorHAnsi"/>
                <w:bCs/>
                <w:iCs/>
                <w:color w:val="1E1E1E" w:themeColor="background2"/>
                <w:sz w:val="21"/>
              </w:rPr>
              <w:t xml:space="preserve">recent </w:t>
            </w:r>
            <w:r w:rsidR="00FE7E8D" w:rsidRPr="005E00FF">
              <w:rPr>
                <w:rFonts w:asciiTheme="minorHAnsi" w:hAnsiTheme="minorHAnsi" w:cstheme="minorHAnsi"/>
                <w:bCs/>
                <w:i/>
                <w:iCs/>
                <w:color w:val="1E1E1E" w:themeColor="background2"/>
                <w:sz w:val="21"/>
              </w:rPr>
              <w:t>“</w:t>
            </w:r>
            <w:r w:rsidR="00FE7E8D" w:rsidRPr="005E00FF">
              <w:rPr>
                <w:rFonts w:asciiTheme="minorHAnsi" w:hAnsiTheme="minorHAnsi" w:cstheme="minorHAnsi"/>
                <w:b/>
                <w:bCs/>
                <w:i/>
                <w:iCs/>
                <w:color w:val="1E1E1E" w:themeColor="background2"/>
                <w:sz w:val="21"/>
              </w:rPr>
              <w:t>Assessment of the readiness of Kazakhstan for the transition to social contracting to ensure the sustainability of HIV-related services”</w:t>
            </w:r>
            <w:r w:rsidR="00FE7E8D" w:rsidRPr="005E00FF">
              <w:rPr>
                <w:rFonts w:asciiTheme="minorHAnsi" w:hAnsiTheme="minorHAnsi" w:cstheme="minorHAnsi"/>
                <w:bCs/>
                <w:iCs/>
                <w:color w:val="1E1E1E" w:themeColor="background2"/>
                <w:sz w:val="21"/>
              </w:rPr>
              <w:t xml:space="preserve"> </w:t>
            </w:r>
            <w:r w:rsidR="00FE7E8D" w:rsidRPr="005E00FF">
              <w:rPr>
                <w:rFonts w:asciiTheme="minorHAnsi" w:hAnsiTheme="minorHAnsi" w:cstheme="minorHAnsi"/>
                <w:bCs/>
                <w:i/>
                <w:iCs/>
                <w:color w:val="1E1E1E" w:themeColor="background2"/>
                <w:sz w:val="21"/>
              </w:rPr>
              <w:t>(</w:t>
            </w:r>
            <w:r w:rsidR="0000768D" w:rsidRPr="0004163B">
              <w:rPr>
                <w:rFonts w:asciiTheme="minorHAnsi" w:hAnsiTheme="minorHAnsi" w:cstheme="minorHAnsi"/>
                <w:bCs/>
                <w:i/>
                <w:iCs/>
                <w:color w:val="1E1E1E" w:themeColor="background2"/>
                <w:sz w:val="21"/>
              </w:rPr>
              <w:t>see “Assessment of Readiness of the Republic of Kazakhstan to Ensure the Sustainability of HIV-related Services with Funding from the State Budget;</w:t>
            </w:r>
            <w:r w:rsidR="0027020E" w:rsidRPr="005E00FF">
              <w:rPr>
                <w:rFonts w:asciiTheme="minorHAnsi" w:hAnsiTheme="minorHAnsi" w:cstheme="minorHAnsi"/>
                <w:bCs/>
                <w:i/>
                <w:iCs/>
                <w:color w:val="1E1E1E" w:themeColor="background2"/>
                <w:sz w:val="21"/>
              </w:rPr>
              <w:t xml:space="preserve"> pp. 20-21</w:t>
            </w:r>
            <w:r w:rsidR="00FE7E8D" w:rsidRPr="005E00FF">
              <w:rPr>
                <w:rFonts w:asciiTheme="minorHAnsi" w:hAnsiTheme="minorHAnsi" w:cstheme="minorHAnsi"/>
                <w:bCs/>
                <w:i/>
                <w:iCs/>
                <w:color w:val="1E1E1E" w:themeColor="background2"/>
                <w:sz w:val="21"/>
              </w:rPr>
              <w:t>).</w:t>
            </w:r>
            <w:r w:rsidR="00FE7E8D" w:rsidRPr="005E00FF">
              <w:rPr>
                <w:rFonts w:asciiTheme="minorHAnsi" w:hAnsiTheme="minorHAnsi" w:cstheme="minorHAnsi"/>
                <w:bCs/>
                <w:iCs/>
                <w:color w:val="1E1E1E" w:themeColor="background2"/>
                <w:sz w:val="21"/>
              </w:rPr>
              <w:t xml:space="preserve"> This assessment provides specific guidance in a number of areas: </w:t>
            </w:r>
            <w:proofErr w:type="spellStart"/>
            <w:r w:rsidR="00FE7E8D" w:rsidRPr="005E00FF">
              <w:rPr>
                <w:rFonts w:asciiTheme="minorHAnsi" w:hAnsiTheme="minorHAnsi" w:cstheme="minorHAnsi"/>
                <w:bCs/>
                <w:iCs/>
                <w:color w:val="1E1E1E" w:themeColor="background2"/>
                <w:sz w:val="21"/>
              </w:rPr>
              <w:t>i</w:t>
            </w:r>
            <w:proofErr w:type="spellEnd"/>
            <w:r w:rsidR="00FE7E8D" w:rsidRPr="005E00FF">
              <w:rPr>
                <w:rFonts w:asciiTheme="minorHAnsi" w:hAnsiTheme="minorHAnsi" w:cstheme="minorHAnsi"/>
                <w:bCs/>
                <w:iCs/>
                <w:color w:val="1E1E1E" w:themeColor="background2"/>
                <w:sz w:val="21"/>
              </w:rPr>
              <w:t xml:space="preserve">) ensuring </w:t>
            </w:r>
            <w:proofErr w:type="spellStart"/>
            <w:r w:rsidR="00FE7E8D" w:rsidRPr="005E00FF">
              <w:rPr>
                <w:rFonts w:asciiTheme="minorHAnsi" w:hAnsiTheme="minorHAnsi" w:cstheme="minorHAnsi"/>
                <w:bCs/>
                <w:iCs/>
                <w:color w:val="1E1E1E" w:themeColor="background2"/>
                <w:sz w:val="21"/>
              </w:rPr>
              <w:t>prioritisation</w:t>
            </w:r>
            <w:proofErr w:type="spellEnd"/>
            <w:r w:rsidR="00FE7E8D" w:rsidRPr="005E00FF">
              <w:rPr>
                <w:rFonts w:asciiTheme="minorHAnsi" w:hAnsiTheme="minorHAnsi" w:cstheme="minorHAnsi"/>
                <w:bCs/>
                <w:iCs/>
                <w:color w:val="1E1E1E" w:themeColor="background2"/>
                <w:sz w:val="21"/>
              </w:rPr>
              <w:t xml:space="preserve"> of HIV prevention and M&amp;E in the public health system; ii) improving the regulatory framework for addressing remaining gaps of the </w:t>
            </w:r>
            <w:r w:rsidR="003A73EE" w:rsidRPr="005E00FF">
              <w:rPr>
                <w:rFonts w:asciiTheme="minorHAnsi" w:hAnsiTheme="minorHAnsi" w:cstheme="minorHAnsi"/>
                <w:bCs/>
                <w:iCs/>
                <w:color w:val="1E1E1E" w:themeColor="background2"/>
                <w:sz w:val="21"/>
              </w:rPr>
              <w:t xml:space="preserve">current </w:t>
            </w:r>
            <w:r w:rsidR="00FE7E8D" w:rsidRPr="005E00FF">
              <w:rPr>
                <w:rFonts w:asciiTheme="minorHAnsi" w:hAnsiTheme="minorHAnsi" w:cstheme="minorHAnsi"/>
                <w:bCs/>
                <w:iCs/>
                <w:color w:val="1E1E1E" w:themeColor="background2"/>
                <w:sz w:val="21"/>
              </w:rPr>
              <w:t xml:space="preserve">social contracting </w:t>
            </w:r>
            <w:r w:rsidR="003A73EE" w:rsidRPr="005E00FF">
              <w:rPr>
                <w:rFonts w:asciiTheme="minorHAnsi" w:hAnsiTheme="minorHAnsi" w:cstheme="minorHAnsi"/>
                <w:bCs/>
                <w:iCs/>
                <w:color w:val="1E1E1E" w:themeColor="background2"/>
                <w:sz w:val="21"/>
              </w:rPr>
              <w:t>mechanisms, as specified in the ‘readiness assessment’</w:t>
            </w:r>
            <w:r w:rsidR="00FE7E8D" w:rsidRPr="005E00FF">
              <w:rPr>
                <w:rFonts w:asciiTheme="minorHAnsi" w:hAnsiTheme="minorHAnsi" w:cstheme="minorHAnsi"/>
                <w:bCs/>
                <w:iCs/>
                <w:color w:val="1E1E1E" w:themeColor="background2"/>
                <w:sz w:val="21"/>
              </w:rPr>
              <w:t>; iii) ensuring sustainable public funding of HIV prevention, care and support services; and iv) strengthening partnerships between civil society and government at the regional level. These recommendations are explicitly included in this funding request.</w:t>
            </w:r>
          </w:p>
          <w:p w14:paraId="277B022F" w14:textId="499A512C" w:rsidR="001E6199" w:rsidRPr="005E00FF" w:rsidRDefault="001E6199" w:rsidP="000A0528">
            <w:pPr>
              <w:spacing w:after="0" w:line="240" w:lineRule="auto"/>
              <w:ind w:firstLine="284"/>
              <w:jc w:val="both"/>
              <w:rPr>
                <w:rFonts w:asciiTheme="minorHAnsi" w:hAnsiTheme="minorHAnsi" w:cstheme="minorHAnsi"/>
                <w:bCs/>
                <w:iCs/>
                <w:color w:val="1E1E1E" w:themeColor="background2"/>
                <w:sz w:val="21"/>
              </w:rPr>
            </w:pPr>
            <w:r w:rsidRPr="005E00FF">
              <w:rPr>
                <w:rFonts w:asciiTheme="minorHAnsi" w:hAnsiTheme="minorHAnsi" w:cstheme="minorHAnsi"/>
                <w:bCs/>
                <w:iCs/>
                <w:color w:val="1E1E1E" w:themeColor="background2"/>
                <w:sz w:val="21"/>
              </w:rPr>
              <w:t xml:space="preserve">In addition, the recommendations of the 2019 </w:t>
            </w:r>
            <w:r w:rsidRPr="005E00FF">
              <w:rPr>
                <w:rFonts w:asciiTheme="minorHAnsi" w:hAnsiTheme="minorHAnsi" w:cstheme="minorHAnsi"/>
                <w:b/>
                <w:bCs/>
                <w:i/>
                <w:iCs/>
                <w:color w:val="1E1E1E" w:themeColor="background2"/>
                <w:sz w:val="21"/>
              </w:rPr>
              <w:t>Optima exercise</w:t>
            </w:r>
            <w:r w:rsidRPr="005E00FF">
              <w:rPr>
                <w:rStyle w:val="af"/>
                <w:rFonts w:asciiTheme="minorHAnsi" w:hAnsiTheme="minorHAnsi" w:cstheme="minorHAnsi"/>
                <w:bCs/>
                <w:iCs/>
                <w:color w:val="1E1E1E" w:themeColor="background2"/>
                <w:sz w:val="21"/>
              </w:rPr>
              <w:footnoteReference w:id="7"/>
            </w:r>
            <w:r w:rsidRPr="005E00FF">
              <w:rPr>
                <w:rFonts w:asciiTheme="minorHAnsi" w:hAnsiTheme="minorHAnsi" w:cstheme="minorHAnsi"/>
                <w:bCs/>
                <w:iCs/>
                <w:color w:val="1E1E1E" w:themeColor="background2"/>
                <w:sz w:val="21"/>
              </w:rPr>
              <w:t xml:space="preserve"> with regard to HIV resource optimisation were taken into account; these specifically included the importance of: 1) Scaling up antiretroviral therapy and 2) Maintaining investments for HIV testing and prevention programmes targeting MSM</w:t>
            </w:r>
            <w:r w:rsidR="0027020E" w:rsidRPr="005E00FF">
              <w:rPr>
                <w:rFonts w:asciiTheme="minorHAnsi" w:hAnsiTheme="minorHAnsi" w:cstheme="minorHAnsi"/>
                <w:bCs/>
                <w:iCs/>
                <w:color w:val="1E1E1E" w:themeColor="background2"/>
                <w:sz w:val="21"/>
              </w:rPr>
              <w:t xml:space="preserve"> </w:t>
            </w:r>
            <w:r w:rsidR="0027020E" w:rsidRPr="005E00FF">
              <w:rPr>
                <w:rFonts w:asciiTheme="minorHAnsi" w:hAnsiTheme="minorHAnsi" w:cstheme="minorHAnsi"/>
                <w:bCs/>
                <w:i/>
                <w:iCs/>
                <w:color w:val="1E1E1E" w:themeColor="background2"/>
                <w:sz w:val="21"/>
              </w:rPr>
              <w:t>(see Annex 8, p.1)</w:t>
            </w:r>
            <w:r w:rsidRPr="005E00FF">
              <w:rPr>
                <w:rFonts w:asciiTheme="minorHAnsi" w:hAnsiTheme="minorHAnsi" w:cstheme="minorHAnsi"/>
                <w:bCs/>
                <w:i/>
                <w:iCs/>
                <w:color w:val="1E1E1E" w:themeColor="background2"/>
                <w:sz w:val="21"/>
              </w:rPr>
              <w:t>.</w:t>
            </w:r>
          </w:p>
          <w:p w14:paraId="20187831" w14:textId="1BF08C7F" w:rsidR="003A73EE" w:rsidRPr="00AF43A2" w:rsidRDefault="003A73EE" w:rsidP="000A0528">
            <w:pPr>
              <w:spacing w:after="0" w:line="240" w:lineRule="auto"/>
              <w:ind w:firstLine="284"/>
              <w:jc w:val="both"/>
              <w:rPr>
                <w:rFonts w:asciiTheme="minorHAnsi" w:hAnsiTheme="minorHAnsi" w:cstheme="minorHAnsi"/>
                <w:bCs/>
                <w:iCs/>
                <w:color w:val="1E1E1E" w:themeColor="background2"/>
                <w:sz w:val="21"/>
              </w:rPr>
            </w:pPr>
            <w:r w:rsidRPr="005E00FF">
              <w:rPr>
                <w:rFonts w:asciiTheme="minorHAnsi" w:hAnsiTheme="minorHAnsi" w:cstheme="minorHAnsi"/>
                <w:bCs/>
                <w:iCs/>
                <w:color w:val="1E1E1E" w:themeColor="background2"/>
                <w:sz w:val="21"/>
              </w:rPr>
              <w:t xml:space="preserve">Finally, the funding request aims to fill the gaps that are not yet adequately addressed by the current State response: this entails </w:t>
            </w:r>
            <w:r w:rsidRPr="005E00FF">
              <w:rPr>
                <w:rFonts w:asciiTheme="minorHAnsi" w:hAnsiTheme="minorHAnsi" w:cstheme="minorHAnsi"/>
                <w:b/>
                <w:bCs/>
                <w:i/>
                <w:iCs/>
                <w:color w:val="1E1E1E" w:themeColor="background2"/>
                <w:sz w:val="21"/>
              </w:rPr>
              <w:t>avoiding duplication of efforts</w:t>
            </w:r>
            <w:r w:rsidRPr="005E00FF">
              <w:rPr>
                <w:rFonts w:asciiTheme="minorHAnsi" w:hAnsiTheme="minorHAnsi" w:cstheme="minorHAnsi"/>
                <w:bCs/>
                <w:iCs/>
                <w:color w:val="1E1E1E" w:themeColor="background2"/>
                <w:sz w:val="21"/>
              </w:rPr>
              <w:t xml:space="preserve">. Hence, the FR will not address </w:t>
            </w:r>
            <w:r w:rsidRPr="005E00FF">
              <w:rPr>
                <w:rFonts w:asciiTheme="minorHAnsi" w:hAnsiTheme="minorHAnsi" w:cstheme="minorHAnsi"/>
                <w:bCs/>
                <w:i/>
                <w:iCs/>
                <w:color w:val="1E1E1E" w:themeColor="background2"/>
                <w:sz w:val="21"/>
              </w:rPr>
              <w:t>all</w:t>
            </w:r>
            <w:r w:rsidRPr="005E00FF">
              <w:rPr>
                <w:rFonts w:asciiTheme="minorHAnsi" w:hAnsiTheme="minorHAnsi" w:cstheme="minorHAnsi"/>
                <w:bCs/>
                <w:iCs/>
                <w:color w:val="1E1E1E" w:themeColor="background2"/>
                <w:sz w:val="21"/>
              </w:rPr>
              <w:t xml:space="preserve"> the remaining challenges of the national response, but </w:t>
            </w:r>
            <w:r w:rsidRPr="005E00FF">
              <w:rPr>
                <w:rFonts w:asciiTheme="minorHAnsi" w:hAnsiTheme="minorHAnsi" w:cstheme="minorHAnsi"/>
                <w:b/>
                <w:bCs/>
                <w:i/>
                <w:iCs/>
                <w:color w:val="1E1E1E" w:themeColor="background2"/>
                <w:sz w:val="21"/>
              </w:rPr>
              <w:t>complement</w:t>
            </w:r>
            <w:r w:rsidRPr="005E00FF">
              <w:rPr>
                <w:rFonts w:asciiTheme="minorHAnsi" w:hAnsiTheme="minorHAnsi" w:cstheme="minorHAnsi"/>
                <w:bCs/>
                <w:iCs/>
                <w:color w:val="1E1E1E" w:themeColor="background2"/>
                <w:sz w:val="21"/>
              </w:rPr>
              <w:t xml:space="preserve"> existing or</w:t>
            </w:r>
            <w:r w:rsidRPr="00AF43A2">
              <w:rPr>
                <w:rFonts w:asciiTheme="minorHAnsi" w:hAnsiTheme="minorHAnsi" w:cstheme="minorHAnsi"/>
                <w:bCs/>
                <w:iCs/>
                <w:color w:val="1E1E1E" w:themeColor="background2"/>
                <w:sz w:val="21"/>
              </w:rPr>
              <w:t xml:space="preserve"> planned interventions by the </w:t>
            </w:r>
            <w:r w:rsidR="005108F8" w:rsidRPr="00AF43A2">
              <w:rPr>
                <w:rFonts w:asciiTheme="minorHAnsi" w:hAnsiTheme="minorHAnsi" w:cstheme="minorHAnsi"/>
                <w:bCs/>
                <w:iCs/>
                <w:color w:val="1E1E1E" w:themeColor="background2"/>
                <w:sz w:val="21"/>
              </w:rPr>
              <w:t xml:space="preserve">Government and </w:t>
            </w:r>
            <w:r w:rsidR="005108F8" w:rsidRPr="00AF43A2">
              <w:rPr>
                <w:rFonts w:asciiTheme="minorHAnsi" w:hAnsiTheme="minorHAnsi" w:cstheme="minorHAnsi"/>
                <w:bCs/>
                <w:iCs/>
                <w:color w:val="1E1E1E" w:themeColor="background2"/>
                <w:sz w:val="21"/>
              </w:rPr>
              <w:lastRenderedPageBreak/>
              <w:t>MOH</w:t>
            </w:r>
            <w:r w:rsidRPr="00AF43A2">
              <w:rPr>
                <w:rFonts w:asciiTheme="minorHAnsi" w:hAnsiTheme="minorHAnsi" w:cstheme="minorHAnsi"/>
                <w:bCs/>
                <w:iCs/>
                <w:color w:val="1E1E1E" w:themeColor="background2"/>
                <w:sz w:val="21"/>
              </w:rPr>
              <w:t xml:space="preserve">: almost 95% of the current response is financed by the State. </w:t>
            </w:r>
            <w:r w:rsidR="001E6199" w:rsidRPr="00AF43A2">
              <w:rPr>
                <w:rFonts w:asciiTheme="minorHAnsi" w:hAnsiTheme="minorHAnsi" w:cstheme="minorHAnsi"/>
                <w:bCs/>
                <w:iCs/>
                <w:color w:val="1E1E1E" w:themeColor="background2"/>
                <w:sz w:val="21"/>
              </w:rPr>
              <w:t>In this context</w:t>
            </w:r>
            <w:r w:rsidR="005108F8" w:rsidRPr="00AF43A2">
              <w:rPr>
                <w:rFonts w:asciiTheme="minorHAnsi" w:hAnsiTheme="minorHAnsi" w:cstheme="minorHAnsi"/>
                <w:bCs/>
                <w:iCs/>
                <w:color w:val="1E1E1E" w:themeColor="background2"/>
                <w:sz w:val="21"/>
              </w:rPr>
              <w:t>,</w:t>
            </w:r>
            <w:r w:rsidRPr="00AF43A2">
              <w:rPr>
                <w:rFonts w:asciiTheme="minorHAnsi" w:hAnsiTheme="minorHAnsi" w:cstheme="minorHAnsi"/>
                <w:bCs/>
                <w:iCs/>
                <w:color w:val="1E1E1E" w:themeColor="background2"/>
                <w:sz w:val="21"/>
              </w:rPr>
              <w:t xml:space="preserve"> the FR does not have a major focus on strengthening PSM systems, as the MOH has already prioritised this and will be dealing with it.</w:t>
            </w:r>
          </w:p>
          <w:p w14:paraId="1CF92B5E" w14:textId="3B6636FE" w:rsidR="00A34937" w:rsidRPr="00AF43A2" w:rsidRDefault="00A34937" w:rsidP="000A0528">
            <w:pPr>
              <w:spacing w:after="0" w:line="240" w:lineRule="auto"/>
              <w:jc w:val="both"/>
              <w:rPr>
                <w:rFonts w:asciiTheme="minorHAnsi" w:hAnsiTheme="minorHAnsi" w:cstheme="minorHAnsi"/>
                <w:color w:val="FF0000"/>
                <w:sz w:val="8"/>
                <w:szCs w:val="8"/>
              </w:rPr>
            </w:pPr>
          </w:p>
        </w:tc>
      </w:tr>
    </w:tbl>
    <w:p w14:paraId="151F15A7" w14:textId="77777777" w:rsidR="00814031" w:rsidRPr="00AF43A2" w:rsidRDefault="00814031" w:rsidP="000A0528">
      <w:pPr>
        <w:spacing w:after="0" w:line="240" w:lineRule="auto"/>
        <w:rPr>
          <w:rFonts w:asciiTheme="minorHAnsi" w:hAnsiTheme="minorHAnsi" w:cstheme="minorHAnsi"/>
        </w:rPr>
      </w:pPr>
    </w:p>
    <w:p w14:paraId="55305E18" w14:textId="75A5FCD1" w:rsidR="00810CCB" w:rsidRPr="00AF43A2" w:rsidRDefault="00071C82" w:rsidP="000A0528">
      <w:pPr>
        <w:pStyle w:val="affff3"/>
        <w:numPr>
          <w:ilvl w:val="0"/>
          <w:numId w:val="23"/>
        </w:numPr>
        <w:spacing w:after="0" w:line="240" w:lineRule="auto"/>
        <w:ind w:left="360" w:hanging="270"/>
        <w:jc w:val="both"/>
        <w:rPr>
          <w:rFonts w:asciiTheme="minorHAnsi" w:hAnsiTheme="minorHAnsi" w:cstheme="minorHAnsi"/>
          <w:sz w:val="21"/>
        </w:rPr>
      </w:pPr>
      <w:r w:rsidRPr="00AF43A2">
        <w:rPr>
          <w:rFonts w:asciiTheme="minorHAnsi" w:hAnsiTheme="minorHAnsi" w:cstheme="minorHAnsi"/>
          <w:sz w:val="21"/>
        </w:rPr>
        <w:t xml:space="preserve">Fill in </w:t>
      </w:r>
      <w:r w:rsidRPr="00AF43A2">
        <w:rPr>
          <w:rFonts w:asciiTheme="minorHAnsi" w:hAnsiTheme="minorHAnsi" w:cstheme="minorHAnsi"/>
          <w:b/>
          <w:sz w:val="21"/>
        </w:rPr>
        <w:t xml:space="preserve">one table for </w:t>
      </w:r>
      <w:r w:rsidR="00AA64EC" w:rsidRPr="00AF43A2">
        <w:rPr>
          <w:rFonts w:asciiTheme="minorHAnsi" w:hAnsiTheme="minorHAnsi" w:cstheme="minorHAnsi"/>
          <w:b/>
          <w:sz w:val="21"/>
        </w:rPr>
        <w:t>eac</w:t>
      </w:r>
      <w:r w:rsidR="00416B90" w:rsidRPr="00AF43A2">
        <w:rPr>
          <w:rFonts w:asciiTheme="minorHAnsi" w:hAnsiTheme="minorHAnsi" w:cstheme="minorHAnsi"/>
          <w:b/>
          <w:sz w:val="21"/>
        </w:rPr>
        <w:t>h disease component</w:t>
      </w:r>
      <w:r w:rsidR="00F112AD" w:rsidRPr="00AF43A2">
        <w:rPr>
          <w:rFonts w:asciiTheme="minorHAnsi" w:hAnsiTheme="minorHAnsi" w:cstheme="minorHAnsi"/>
          <w:sz w:val="21"/>
        </w:rPr>
        <w:t>,</w:t>
      </w:r>
      <w:r w:rsidR="00416B90" w:rsidRPr="00AF43A2">
        <w:rPr>
          <w:rFonts w:asciiTheme="minorHAnsi" w:hAnsiTheme="minorHAnsi" w:cstheme="minorHAnsi"/>
          <w:sz w:val="21"/>
        </w:rPr>
        <w:t xml:space="preserve"> and</w:t>
      </w:r>
      <w:r w:rsidR="001D32A9" w:rsidRPr="00AF43A2">
        <w:rPr>
          <w:rFonts w:asciiTheme="minorHAnsi" w:hAnsiTheme="minorHAnsi" w:cstheme="minorHAnsi"/>
          <w:sz w:val="21"/>
        </w:rPr>
        <w:t xml:space="preserve"> an additional table for integrated or cross-cutting programming</w:t>
      </w:r>
      <w:r w:rsidR="00F112AD" w:rsidRPr="00AF43A2">
        <w:rPr>
          <w:rFonts w:asciiTheme="minorHAnsi" w:hAnsiTheme="minorHAnsi" w:cstheme="minorHAnsi"/>
          <w:sz w:val="21"/>
        </w:rPr>
        <w:t xml:space="preserve">, such as </w:t>
      </w:r>
      <w:r w:rsidR="00CC14C5" w:rsidRPr="00AF43A2">
        <w:rPr>
          <w:rFonts w:asciiTheme="minorHAnsi" w:hAnsiTheme="minorHAnsi" w:cstheme="minorHAnsi"/>
          <w:sz w:val="21"/>
        </w:rPr>
        <w:t>TB</w:t>
      </w:r>
      <w:r w:rsidR="00723D34" w:rsidRPr="00AF43A2">
        <w:rPr>
          <w:rFonts w:asciiTheme="minorHAnsi" w:hAnsiTheme="minorHAnsi" w:cstheme="minorHAnsi"/>
          <w:sz w:val="21"/>
        </w:rPr>
        <w:t>/HIV</w:t>
      </w:r>
      <w:r w:rsidR="00CC14C5" w:rsidRPr="00AF43A2">
        <w:rPr>
          <w:rFonts w:asciiTheme="minorHAnsi" w:hAnsiTheme="minorHAnsi" w:cstheme="minorHAnsi"/>
          <w:sz w:val="21"/>
        </w:rPr>
        <w:t xml:space="preserve"> or</w:t>
      </w:r>
      <w:r w:rsidR="00361089" w:rsidRPr="00AF43A2">
        <w:rPr>
          <w:rFonts w:asciiTheme="minorHAnsi" w:hAnsiTheme="minorHAnsi" w:cstheme="minorHAnsi"/>
          <w:sz w:val="21"/>
        </w:rPr>
        <w:t xml:space="preserve"> </w:t>
      </w:r>
      <w:r w:rsidR="00AD189E" w:rsidRPr="00AF43A2">
        <w:rPr>
          <w:rFonts w:asciiTheme="minorHAnsi" w:hAnsiTheme="minorHAnsi" w:cstheme="minorHAnsi"/>
          <w:sz w:val="21"/>
        </w:rPr>
        <w:t>Resilient and Sustainable Systems for Health (</w:t>
      </w:r>
      <w:r w:rsidR="00361089" w:rsidRPr="00AF43A2">
        <w:rPr>
          <w:rFonts w:asciiTheme="minorHAnsi" w:hAnsiTheme="minorHAnsi" w:cstheme="minorHAnsi"/>
          <w:sz w:val="21"/>
        </w:rPr>
        <w:t>RSSH</w:t>
      </w:r>
      <w:r w:rsidR="00AD189E" w:rsidRPr="00AF43A2">
        <w:rPr>
          <w:rFonts w:asciiTheme="minorHAnsi" w:hAnsiTheme="minorHAnsi" w:cstheme="minorHAnsi"/>
          <w:sz w:val="21"/>
        </w:rPr>
        <w:t>)</w:t>
      </w:r>
      <w:r w:rsidR="00361089" w:rsidRPr="00AF43A2">
        <w:rPr>
          <w:rFonts w:asciiTheme="minorHAnsi" w:hAnsiTheme="minorHAnsi" w:cstheme="minorHAnsi"/>
          <w:sz w:val="21"/>
        </w:rPr>
        <w:t xml:space="preserve"> modules</w:t>
      </w:r>
      <w:r w:rsidR="00F112AD" w:rsidRPr="00AF43A2">
        <w:rPr>
          <w:rFonts w:asciiTheme="minorHAnsi" w:hAnsiTheme="minorHAnsi" w:cstheme="minorHAnsi"/>
          <w:sz w:val="21"/>
        </w:rPr>
        <w:t xml:space="preserve">, </w:t>
      </w:r>
      <w:r w:rsidR="00AB6271" w:rsidRPr="00AF43A2">
        <w:rPr>
          <w:rFonts w:asciiTheme="minorHAnsi" w:hAnsiTheme="minorHAnsi" w:cstheme="minorHAnsi"/>
          <w:sz w:val="21"/>
        </w:rPr>
        <w:t>to describe the areas prioriti</w:t>
      </w:r>
      <w:r w:rsidR="00B65B8B" w:rsidRPr="00AF43A2">
        <w:rPr>
          <w:rFonts w:asciiTheme="minorHAnsi" w:hAnsiTheme="minorHAnsi" w:cstheme="minorHAnsi"/>
          <w:sz w:val="21"/>
        </w:rPr>
        <w:t>s</w:t>
      </w:r>
      <w:r w:rsidR="00AB6271" w:rsidRPr="00AF43A2">
        <w:rPr>
          <w:rFonts w:asciiTheme="minorHAnsi" w:hAnsiTheme="minorHAnsi" w:cstheme="minorHAnsi"/>
          <w:sz w:val="21"/>
        </w:rPr>
        <w:t>ed for this funding request</w:t>
      </w:r>
      <w:r w:rsidR="001D32A9" w:rsidRPr="00AF43A2">
        <w:rPr>
          <w:rFonts w:asciiTheme="minorHAnsi" w:hAnsiTheme="minorHAnsi" w:cstheme="minorHAnsi"/>
          <w:sz w:val="21"/>
        </w:rPr>
        <w:t xml:space="preserve">. </w:t>
      </w:r>
      <w:r w:rsidR="007629F9" w:rsidRPr="00AF43A2">
        <w:rPr>
          <w:rFonts w:asciiTheme="minorHAnsi" w:hAnsiTheme="minorHAnsi" w:cstheme="minorHAnsi"/>
          <w:sz w:val="21"/>
        </w:rPr>
        <w:t xml:space="preserve"> </w:t>
      </w:r>
    </w:p>
    <w:p w14:paraId="21B36C43" w14:textId="77777777" w:rsidR="00071C82" w:rsidRPr="00AF43A2" w:rsidRDefault="00071C82" w:rsidP="000A0528">
      <w:pPr>
        <w:pStyle w:val="affff3"/>
        <w:spacing w:after="0" w:line="240" w:lineRule="auto"/>
        <w:ind w:left="360"/>
        <w:jc w:val="both"/>
        <w:rPr>
          <w:rFonts w:asciiTheme="minorHAnsi" w:hAnsiTheme="minorHAnsi" w:cstheme="minorHAnsi"/>
        </w:rPr>
      </w:pPr>
    </w:p>
    <w:tbl>
      <w:tblPr>
        <w:tblStyle w:val="TableGrid3"/>
        <w:tblW w:w="10350" w:type="dxa"/>
        <w:tblInd w:w="-5" w:type="dxa"/>
        <w:tblLayout w:type="fixed"/>
        <w:tblLook w:val="04A0" w:firstRow="1" w:lastRow="0" w:firstColumn="1" w:lastColumn="0" w:noHBand="0" w:noVBand="1"/>
      </w:tblPr>
      <w:tblGrid>
        <w:gridCol w:w="1276"/>
        <w:gridCol w:w="9074"/>
      </w:tblGrid>
      <w:tr w:rsidR="00C75ACA" w:rsidRPr="00AF43A2" w14:paraId="68E2BF61" w14:textId="77777777" w:rsidTr="000E5723">
        <w:trPr>
          <w:trHeight w:val="422"/>
        </w:trPr>
        <w:tc>
          <w:tcPr>
            <w:tcW w:w="1276" w:type="dxa"/>
            <w:shd w:val="clear" w:color="auto" w:fill="F2F2F2"/>
            <w:vAlign w:val="center"/>
          </w:tcPr>
          <w:p w14:paraId="1B4168EC" w14:textId="537C96AA" w:rsidR="00C75ACA" w:rsidRPr="00AF43A2" w:rsidRDefault="00D26046" w:rsidP="000A0528">
            <w:pPr>
              <w:spacing w:after="0" w:line="240" w:lineRule="auto"/>
              <w:ind w:right="-112"/>
              <w:rPr>
                <w:rFonts w:cstheme="minorHAnsi"/>
                <w:sz w:val="21"/>
              </w:rPr>
            </w:pPr>
            <w:r w:rsidRPr="00AF43A2">
              <w:rPr>
                <w:rFonts w:cstheme="minorHAnsi"/>
                <w:sz w:val="21"/>
              </w:rPr>
              <w:t xml:space="preserve">Component </w:t>
            </w:r>
          </w:p>
        </w:tc>
        <w:tc>
          <w:tcPr>
            <w:tcW w:w="9074" w:type="dxa"/>
            <w:vAlign w:val="center"/>
          </w:tcPr>
          <w:p w14:paraId="3762EB1E" w14:textId="06E8D78D" w:rsidR="00C75ACA" w:rsidRPr="00AF43A2" w:rsidRDefault="00AE5048" w:rsidP="000A0528">
            <w:pPr>
              <w:spacing w:after="0" w:line="240" w:lineRule="auto"/>
              <w:rPr>
                <w:rFonts w:cstheme="minorHAnsi"/>
                <w:b/>
              </w:rPr>
            </w:pPr>
            <w:r w:rsidRPr="00AF43A2">
              <w:rPr>
                <w:rFonts w:cstheme="minorHAnsi"/>
                <w:b/>
              </w:rPr>
              <w:t>HIV</w:t>
            </w:r>
          </w:p>
        </w:tc>
      </w:tr>
      <w:tr w:rsidR="00C75ACA" w:rsidRPr="00AF43A2" w14:paraId="1F556EFA" w14:textId="77777777" w:rsidTr="00BC55CC">
        <w:trPr>
          <w:trHeight w:val="440"/>
        </w:trPr>
        <w:tc>
          <w:tcPr>
            <w:tcW w:w="1276" w:type="dxa"/>
            <w:shd w:val="clear" w:color="auto" w:fill="F2F2F2"/>
          </w:tcPr>
          <w:p w14:paraId="7025AD34" w14:textId="77777777" w:rsidR="001C2843" w:rsidRPr="00AF43A2" w:rsidRDefault="00D26046" w:rsidP="000A0528">
            <w:pPr>
              <w:spacing w:after="0" w:line="240" w:lineRule="auto"/>
              <w:rPr>
                <w:rFonts w:cstheme="minorHAnsi"/>
                <w:sz w:val="21"/>
              </w:rPr>
            </w:pPr>
            <w:r w:rsidRPr="00AF43A2">
              <w:rPr>
                <w:rFonts w:cstheme="minorHAnsi"/>
                <w:sz w:val="21"/>
              </w:rPr>
              <w:t>Module/</w:t>
            </w:r>
          </w:p>
          <w:p w14:paraId="5DD4D224" w14:textId="241EA57B" w:rsidR="00C75ACA" w:rsidRPr="00AF43A2" w:rsidRDefault="000E5723" w:rsidP="000A0528">
            <w:pPr>
              <w:spacing w:after="0" w:line="240" w:lineRule="auto"/>
              <w:rPr>
                <w:rFonts w:cstheme="minorHAnsi"/>
                <w:sz w:val="21"/>
              </w:rPr>
            </w:pPr>
            <w:proofErr w:type="spellStart"/>
            <w:r w:rsidRPr="00AF43A2">
              <w:rPr>
                <w:rFonts w:cstheme="minorHAnsi"/>
                <w:sz w:val="21"/>
              </w:rPr>
              <w:t>I</w:t>
            </w:r>
            <w:r w:rsidR="00C75ACA" w:rsidRPr="00AF43A2">
              <w:rPr>
                <w:rFonts w:cstheme="minorHAnsi"/>
                <w:sz w:val="21"/>
              </w:rPr>
              <w:t>nterven</w:t>
            </w:r>
            <w:r w:rsidRPr="00AF43A2">
              <w:rPr>
                <w:rFonts w:cstheme="minorHAnsi"/>
                <w:sz w:val="21"/>
              </w:rPr>
              <w:t>-</w:t>
            </w:r>
            <w:r w:rsidR="00C75ACA" w:rsidRPr="00AF43A2">
              <w:rPr>
                <w:rFonts w:cstheme="minorHAnsi"/>
                <w:sz w:val="21"/>
              </w:rPr>
              <w:t>tions</w:t>
            </w:r>
            <w:proofErr w:type="spellEnd"/>
          </w:p>
        </w:tc>
        <w:tc>
          <w:tcPr>
            <w:tcW w:w="9074" w:type="dxa"/>
            <w:vAlign w:val="center"/>
          </w:tcPr>
          <w:p w14:paraId="04C74329" w14:textId="42A14D0B" w:rsidR="000E5723" w:rsidRPr="00AF43A2" w:rsidRDefault="00084391" w:rsidP="000A0528">
            <w:pPr>
              <w:spacing w:after="0" w:line="240" w:lineRule="auto"/>
              <w:jc w:val="both"/>
              <w:rPr>
                <w:rFonts w:cstheme="minorHAnsi"/>
                <w:b/>
                <w:i/>
                <w:sz w:val="21"/>
              </w:rPr>
            </w:pPr>
            <w:r w:rsidRPr="00AF43A2">
              <w:rPr>
                <w:rFonts w:cstheme="minorHAnsi"/>
                <w:b/>
                <w:color w:val="404040" w:themeColor="text1"/>
                <w:sz w:val="21"/>
                <w:u w:val="single"/>
              </w:rPr>
              <w:t xml:space="preserve">NOTE: </w:t>
            </w:r>
            <w:r w:rsidR="000E5723" w:rsidRPr="00AF43A2">
              <w:rPr>
                <w:rFonts w:cstheme="minorHAnsi"/>
                <w:b/>
                <w:i/>
                <w:sz w:val="21"/>
              </w:rPr>
              <w:t xml:space="preserve">More details about services are provided in the </w:t>
            </w:r>
            <w:r w:rsidRPr="00AF43A2">
              <w:rPr>
                <w:rFonts w:cstheme="minorHAnsi"/>
                <w:b/>
                <w:i/>
                <w:sz w:val="21"/>
              </w:rPr>
              <w:t>“</w:t>
            </w:r>
            <w:r w:rsidR="000E5723" w:rsidRPr="00AF43A2">
              <w:rPr>
                <w:rFonts w:cstheme="minorHAnsi"/>
                <w:b/>
                <w:i/>
                <w:sz w:val="21"/>
              </w:rPr>
              <w:t>Rationale</w:t>
            </w:r>
            <w:r w:rsidRPr="00AF43A2">
              <w:rPr>
                <w:rFonts w:cstheme="minorHAnsi"/>
                <w:b/>
                <w:i/>
                <w:sz w:val="21"/>
              </w:rPr>
              <w:t>”</w:t>
            </w:r>
            <w:r w:rsidR="000E5723" w:rsidRPr="00AF43A2">
              <w:rPr>
                <w:rFonts w:cstheme="minorHAnsi"/>
                <w:b/>
                <w:i/>
                <w:sz w:val="21"/>
              </w:rPr>
              <w:t xml:space="preserve"> section.</w:t>
            </w:r>
          </w:p>
          <w:p w14:paraId="15F90B7D" w14:textId="4D6DB50B" w:rsidR="00C75ACA" w:rsidRPr="00AF43A2" w:rsidRDefault="00AE5048" w:rsidP="000A0528">
            <w:pPr>
              <w:spacing w:after="0" w:line="240" w:lineRule="auto"/>
              <w:jc w:val="both"/>
              <w:rPr>
                <w:rFonts w:cstheme="minorHAnsi"/>
                <w:b/>
                <w:sz w:val="21"/>
                <w:u w:val="single"/>
              </w:rPr>
            </w:pPr>
            <w:r w:rsidRPr="00AF43A2">
              <w:rPr>
                <w:rFonts w:cstheme="minorHAnsi"/>
                <w:b/>
                <w:sz w:val="21"/>
                <w:u w:val="single"/>
              </w:rPr>
              <w:t>Module 1: PREVENTION</w:t>
            </w:r>
          </w:p>
          <w:p w14:paraId="57689317" w14:textId="4DB63F35" w:rsidR="00AE5048" w:rsidRPr="00AF43A2" w:rsidRDefault="00AE5048" w:rsidP="000A0528">
            <w:pPr>
              <w:pStyle w:val="affff3"/>
              <w:numPr>
                <w:ilvl w:val="1"/>
                <w:numId w:val="25"/>
              </w:numPr>
              <w:spacing w:after="0" w:line="240" w:lineRule="auto"/>
              <w:ind w:left="412" w:hanging="425"/>
              <w:jc w:val="both"/>
              <w:rPr>
                <w:rFonts w:cstheme="minorHAnsi"/>
                <w:color w:val="1E1E1E" w:themeColor="background2"/>
                <w:sz w:val="21"/>
              </w:rPr>
            </w:pPr>
            <w:r w:rsidRPr="00AF43A2">
              <w:rPr>
                <w:rFonts w:cstheme="minorHAnsi"/>
                <w:b/>
                <w:i/>
                <w:sz w:val="21"/>
              </w:rPr>
              <w:t xml:space="preserve">Condom and lubricant </w:t>
            </w:r>
            <w:r w:rsidRPr="00AF43A2">
              <w:rPr>
                <w:rFonts w:cstheme="minorHAnsi"/>
                <w:b/>
                <w:i/>
                <w:color w:val="1E1E1E" w:themeColor="background2"/>
                <w:sz w:val="21"/>
              </w:rPr>
              <w:t>programming</w:t>
            </w:r>
            <w:r w:rsidR="00F35300" w:rsidRPr="00AF43A2">
              <w:rPr>
                <w:rFonts w:cstheme="minorHAnsi"/>
                <w:color w:val="1E1E1E" w:themeColor="background2"/>
                <w:sz w:val="21"/>
              </w:rPr>
              <w:t xml:space="preserve"> – This </w:t>
            </w:r>
            <w:r w:rsidR="00BA5AD1" w:rsidRPr="00AF43A2">
              <w:rPr>
                <w:rFonts w:cstheme="minorHAnsi"/>
                <w:color w:val="1E1E1E" w:themeColor="background2"/>
                <w:sz w:val="21"/>
              </w:rPr>
              <w:t xml:space="preserve">intervention </w:t>
            </w:r>
            <w:r w:rsidR="00F35300" w:rsidRPr="00AF43A2">
              <w:rPr>
                <w:rFonts w:cstheme="minorHAnsi"/>
                <w:sz w:val="21"/>
              </w:rPr>
              <w:t>will focus on ensuring adequate availability of condoms and lubricants</w:t>
            </w:r>
            <w:r w:rsidR="000E5FAE" w:rsidRPr="00AF43A2">
              <w:rPr>
                <w:rFonts w:cstheme="minorHAnsi"/>
                <w:sz w:val="21"/>
              </w:rPr>
              <w:t xml:space="preserve"> – in particular</w:t>
            </w:r>
            <w:r w:rsidR="00F35300" w:rsidRPr="00AF43A2">
              <w:rPr>
                <w:rFonts w:cstheme="minorHAnsi"/>
                <w:sz w:val="21"/>
              </w:rPr>
              <w:t xml:space="preserve"> </w:t>
            </w:r>
            <w:r w:rsidR="005C4EB8" w:rsidRPr="00AF43A2">
              <w:rPr>
                <w:rFonts w:cstheme="minorHAnsi"/>
                <w:sz w:val="21"/>
              </w:rPr>
              <w:t>for</w:t>
            </w:r>
            <w:r w:rsidR="00F35300" w:rsidRPr="00AF43A2">
              <w:rPr>
                <w:rFonts w:cstheme="minorHAnsi"/>
                <w:sz w:val="21"/>
              </w:rPr>
              <w:t xml:space="preserve"> MSM</w:t>
            </w:r>
            <w:r w:rsidR="000E5FAE" w:rsidRPr="00AF43A2">
              <w:rPr>
                <w:rFonts w:cstheme="minorHAnsi"/>
                <w:sz w:val="21"/>
              </w:rPr>
              <w:t xml:space="preserve"> and </w:t>
            </w:r>
            <w:r w:rsidR="005C4EB8" w:rsidRPr="00AF43A2">
              <w:rPr>
                <w:rFonts w:cstheme="minorHAnsi"/>
                <w:sz w:val="21"/>
              </w:rPr>
              <w:t>TG</w:t>
            </w:r>
            <w:r w:rsidR="000E5723" w:rsidRPr="00AF43A2">
              <w:rPr>
                <w:rFonts w:cstheme="minorHAnsi"/>
                <w:sz w:val="21"/>
              </w:rPr>
              <w:t>,</w:t>
            </w:r>
            <w:r w:rsidR="005C4EB8" w:rsidRPr="00AF43A2">
              <w:rPr>
                <w:rFonts w:cstheme="minorHAnsi"/>
                <w:sz w:val="21"/>
              </w:rPr>
              <w:t xml:space="preserve"> </w:t>
            </w:r>
            <w:r w:rsidR="000E5FAE" w:rsidRPr="00AF43A2">
              <w:rPr>
                <w:rFonts w:cstheme="minorHAnsi"/>
                <w:sz w:val="21"/>
              </w:rPr>
              <w:t xml:space="preserve">and to a lesser extent </w:t>
            </w:r>
            <w:r w:rsidR="000E5FAE" w:rsidRPr="00AF43A2">
              <w:rPr>
                <w:rFonts w:cstheme="minorHAnsi"/>
                <w:color w:val="1E1E1E" w:themeColor="background2"/>
                <w:sz w:val="21"/>
              </w:rPr>
              <w:t xml:space="preserve">for </w:t>
            </w:r>
            <w:r w:rsidR="0048356F" w:rsidRPr="00AF43A2">
              <w:rPr>
                <w:rFonts w:cstheme="minorHAnsi"/>
                <w:color w:val="1E1E1E" w:themeColor="background2"/>
                <w:sz w:val="21"/>
              </w:rPr>
              <w:t xml:space="preserve">PWID and </w:t>
            </w:r>
            <w:r w:rsidR="005C4EB8" w:rsidRPr="00AF43A2">
              <w:rPr>
                <w:rFonts w:cstheme="minorHAnsi"/>
                <w:color w:val="1E1E1E" w:themeColor="background2"/>
                <w:sz w:val="21"/>
              </w:rPr>
              <w:t>users of new psychoactive substances (NPS</w:t>
            </w:r>
            <w:r w:rsidR="0048356F" w:rsidRPr="00AF43A2">
              <w:rPr>
                <w:rFonts w:cstheme="minorHAnsi"/>
                <w:color w:val="1E1E1E" w:themeColor="background2"/>
                <w:sz w:val="21"/>
              </w:rPr>
              <w:t>)</w:t>
            </w:r>
            <w:r w:rsidR="000E5FAE" w:rsidRPr="00AF43A2">
              <w:rPr>
                <w:rFonts w:cstheme="minorHAnsi"/>
                <w:color w:val="1E1E1E" w:themeColor="background2"/>
                <w:sz w:val="21"/>
              </w:rPr>
              <w:t xml:space="preserve"> – complementing key prevention commodities on a limited scale, with the State gradually absorbing this component.</w:t>
            </w:r>
          </w:p>
          <w:p w14:paraId="6928E55C" w14:textId="122270AE" w:rsidR="00F35300" w:rsidRPr="00AF43A2" w:rsidRDefault="00AE5048" w:rsidP="000A0528">
            <w:pPr>
              <w:pStyle w:val="affff3"/>
              <w:numPr>
                <w:ilvl w:val="1"/>
                <w:numId w:val="25"/>
              </w:numPr>
              <w:spacing w:after="0" w:line="240" w:lineRule="auto"/>
              <w:ind w:left="412" w:hanging="425"/>
              <w:jc w:val="both"/>
              <w:rPr>
                <w:rFonts w:cstheme="minorHAnsi"/>
                <w:color w:val="1E1E1E" w:themeColor="background2"/>
                <w:sz w:val="21"/>
              </w:rPr>
            </w:pPr>
            <w:r w:rsidRPr="00AF43A2">
              <w:rPr>
                <w:rFonts w:cstheme="minorHAnsi"/>
                <w:b/>
                <w:i/>
                <w:color w:val="1E1E1E" w:themeColor="background2"/>
                <w:sz w:val="21"/>
              </w:rPr>
              <w:t>Behaviour change interventions</w:t>
            </w:r>
            <w:r w:rsidRPr="00AF43A2">
              <w:rPr>
                <w:rFonts w:cstheme="minorHAnsi"/>
                <w:color w:val="1E1E1E" w:themeColor="background2"/>
                <w:sz w:val="21"/>
              </w:rPr>
              <w:t xml:space="preserve"> (MSM</w:t>
            </w:r>
            <w:r w:rsidR="0048356F" w:rsidRPr="00AF43A2">
              <w:rPr>
                <w:rFonts w:cstheme="minorHAnsi"/>
                <w:color w:val="1E1E1E" w:themeColor="background2"/>
                <w:sz w:val="21"/>
              </w:rPr>
              <w:t>, TG &amp;</w:t>
            </w:r>
            <w:r w:rsidRPr="00AF43A2">
              <w:rPr>
                <w:rFonts w:cstheme="minorHAnsi"/>
                <w:color w:val="1E1E1E" w:themeColor="background2"/>
                <w:sz w:val="21"/>
              </w:rPr>
              <w:t xml:space="preserve"> PWID)</w:t>
            </w:r>
            <w:r w:rsidR="00BA5AD1" w:rsidRPr="00AF43A2">
              <w:rPr>
                <w:rFonts w:cstheme="minorHAnsi"/>
                <w:color w:val="1E1E1E" w:themeColor="background2"/>
                <w:sz w:val="21"/>
              </w:rPr>
              <w:t xml:space="preserve"> – </w:t>
            </w:r>
            <w:r w:rsidR="00197244" w:rsidRPr="00AF43A2">
              <w:rPr>
                <w:rFonts w:cstheme="minorHAnsi"/>
                <w:color w:val="1E1E1E" w:themeColor="background2"/>
                <w:sz w:val="21"/>
              </w:rPr>
              <w:t xml:space="preserve">This includes support for NGO outreach workers (ORWs) in </w:t>
            </w:r>
            <w:r w:rsidR="000E5723" w:rsidRPr="00AF43A2">
              <w:rPr>
                <w:rFonts w:cstheme="minorHAnsi"/>
                <w:color w:val="1E1E1E" w:themeColor="background2"/>
                <w:sz w:val="21"/>
              </w:rPr>
              <w:t xml:space="preserve">high-prevalence </w:t>
            </w:r>
            <w:r w:rsidR="00197244" w:rsidRPr="00AF43A2">
              <w:rPr>
                <w:rFonts w:cstheme="minorHAnsi"/>
                <w:color w:val="1E1E1E" w:themeColor="background2"/>
                <w:sz w:val="21"/>
              </w:rPr>
              <w:t xml:space="preserve">priority regions for MSM/TG </w:t>
            </w:r>
            <w:r w:rsidR="000E5723" w:rsidRPr="00AF43A2">
              <w:rPr>
                <w:rFonts w:cstheme="minorHAnsi"/>
                <w:color w:val="1E1E1E" w:themeColor="background2"/>
                <w:sz w:val="21"/>
              </w:rPr>
              <w:t>(6 regions</w:t>
            </w:r>
            <w:r w:rsidR="001E7E83" w:rsidRPr="00AF43A2">
              <w:rPr>
                <w:rFonts w:cstheme="minorHAnsi"/>
                <w:color w:val="1E1E1E" w:themeColor="background2"/>
                <w:sz w:val="21"/>
              </w:rPr>
              <w:t xml:space="preserve">: </w:t>
            </w:r>
            <w:r w:rsidR="001E7E83" w:rsidRPr="00AF43A2">
              <w:rPr>
                <w:rFonts w:eastAsia="Calibri" w:cstheme="minorHAnsi"/>
                <w:color w:val="1E1E1E" w:themeColor="background2"/>
                <w:sz w:val="21"/>
                <w:szCs w:val="21"/>
                <w:lang w:val="en-GB"/>
              </w:rPr>
              <w:t>Aktobe, East-Kazakhstan, Pavlodar, Karaganda, Nur-Sultan and Shymkent</w:t>
            </w:r>
            <w:r w:rsidR="000E5723" w:rsidRPr="00AF43A2">
              <w:rPr>
                <w:rFonts w:cstheme="minorHAnsi"/>
                <w:color w:val="1E1E1E" w:themeColor="background2"/>
                <w:sz w:val="21"/>
              </w:rPr>
              <w:t xml:space="preserve">) </w:t>
            </w:r>
            <w:r w:rsidR="00197244" w:rsidRPr="00AF43A2">
              <w:rPr>
                <w:rFonts w:cstheme="minorHAnsi"/>
                <w:color w:val="1E1E1E" w:themeColor="background2"/>
                <w:sz w:val="21"/>
              </w:rPr>
              <w:t>and PWID</w:t>
            </w:r>
            <w:r w:rsidR="000E5723" w:rsidRPr="00AF43A2">
              <w:rPr>
                <w:rFonts w:cstheme="minorHAnsi"/>
                <w:color w:val="1E1E1E" w:themeColor="background2"/>
                <w:sz w:val="21"/>
              </w:rPr>
              <w:t xml:space="preserve"> (3 regions</w:t>
            </w:r>
            <w:r w:rsidR="001E7E83" w:rsidRPr="00AF43A2">
              <w:rPr>
                <w:rFonts w:cstheme="minorHAnsi"/>
                <w:color w:val="1E1E1E" w:themeColor="background2"/>
                <w:sz w:val="21"/>
              </w:rPr>
              <w:t xml:space="preserve">: </w:t>
            </w:r>
            <w:r w:rsidR="001E7E83" w:rsidRPr="00AF43A2">
              <w:rPr>
                <w:rFonts w:eastAsia="Calibri" w:cstheme="minorHAnsi"/>
                <w:color w:val="1E1E1E" w:themeColor="background2"/>
                <w:sz w:val="21"/>
                <w:szCs w:val="21"/>
                <w:lang w:val="en-GB"/>
              </w:rPr>
              <w:t>Karaganda, Kostanay and Nur-Sultan</w:t>
            </w:r>
            <w:r w:rsidR="000E5723" w:rsidRPr="00AF43A2">
              <w:rPr>
                <w:rFonts w:cstheme="minorHAnsi"/>
                <w:color w:val="1E1E1E" w:themeColor="background2"/>
                <w:sz w:val="21"/>
              </w:rPr>
              <w:t xml:space="preserve">); </w:t>
            </w:r>
            <w:r w:rsidR="00197244" w:rsidRPr="00AF43A2">
              <w:rPr>
                <w:rFonts w:cstheme="minorHAnsi"/>
                <w:color w:val="1E1E1E" w:themeColor="background2"/>
                <w:sz w:val="21"/>
              </w:rPr>
              <w:t xml:space="preserve">these </w:t>
            </w:r>
            <w:r w:rsidR="000E5723" w:rsidRPr="00AF43A2">
              <w:rPr>
                <w:rFonts w:cstheme="minorHAnsi"/>
                <w:color w:val="1E1E1E" w:themeColor="background2"/>
                <w:sz w:val="21"/>
              </w:rPr>
              <w:t>ORWs</w:t>
            </w:r>
            <w:r w:rsidR="00197244" w:rsidRPr="00AF43A2">
              <w:rPr>
                <w:rFonts w:cstheme="minorHAnsi"/>
                <w:color w:val="1E1E1E" w:themeColor="background2"/>
                <w:sz w:val="21"/>
              </w:rPr>
              <w:t xml:space="preserve"> are in addition to ORWs already financed by the Government.</w:t>
            </w:r>
          </w:p>
          <w:p w14:paraId="13A40B0B" w14:textId="20DCA664" w:rsidR="00F35300" w:rsidRPr="00AF43A2" w:rsidRDefault="00AE5048" w:rsidP="000A0528">
            <w:pPr>
              <w:pStyle w:val="affff3"/>
              <w:numPr>
                <w:ilvl w:val="1"/>
                <w:numId w:val="25"/>
              </w:numPr>
              <w:spacing w:after="0" w:line="240" w:lineRule="auto"/>
              <w:ind w:left="412" w:hanging="425"/>
              <w:jc w:val="both"/>
              <w:rPr>
                <w:rFonts w:cstheme="minorHAnsi"/>
                <w:color w:val="1E1E1E" w:themeColor="background2"/>
                <w:sz w:val="21"/>
              </w:rPr>
            </w:pPr>
            <w:r w:rsidRPr="00AF43A2">
              <w:rPr>
                <w:rFonts w:cstheme="minorHAnsi"/>
                <w:b/>
                <w:i/>
                <w:sz w:val="21"/>
              </w:rPr>
              <w:t xml:space="preserve">Behaviour </w:t>
            </w:r>
            <w:r w:rsidRPr="00AF43A2">
              <w:rPr>
                <w:rFonts w:cstheme="minorHAnsi"/>
                <w:b/>
                <w:i/>
                <w:color w:val="1E1E1E" w:themeColor="background2"/>
                <w:sz w:val="21"/>
              </w:rPr>
              <w:t>change interventions</w:t>
            </w:r>
            <w:r w:rsidRPr="00AF43A2">
              <w:rPr>
                <w:rFonts w:cstheme="minorHAnsi"/>
                <w:color w:val="1E1E1E" w:themeColor="background2"/>
                <w:sz w:val="21"/>
              </w:rPr>
              <w:t xml:space="preserve"> </w:t>
            </w:r>
            <w:r w:rsidR="000E5723" w:rsidRPr="00AF43A2">
              <w:rPr>
                <w:rFonts w:cstheme="minorHAnsi"/>
                <w:b/>
                <w:i/>
                <w:color w:val="1E1E1E" w:themeColor="background2"/>
                <w:sz w:val="21"/>
              </w:rPr>
              <w:t xml:space="preserve">for </w:t>
            </w:r>
            <w:r w:rsidRPr="00AF43A2">
              <w:rPr>
                <w:rFonts w:cstheme="minorHAnsi"/>
                <w:b/>
                <w:i/>
                <w:color w:val="1E1E1E" w:themeColor="background2"/>
                <w:sz w:val="21"/>
              </w:rPr>
              <w:t>Transgender people</w:t>
            </w:r>
            <w:r w:rsidR="000E5723" w:rsidRPr="00AF43A2">
              <w:rPr>
                <w:rFonts w:cstheme="minorHAnsi"/>
                <w:color w:val="1E1E1E" w:themeColor="background2"/>
                <w:sz w:val="21"/>
              </w:rPr>
              <w:t xml:space="preserve"> </w:t>
            </w:r>
            <w:r w:rsidR="00BA5AD1" w:rsidRPr="00AF43A2">
              <w:rPr>
                <w:rFonts w:cstheme="minorHAnsi"/>
                <w:color w:val="1E1E1E" w:themeColor="background2"/>
                <w:sz w:val="21"/>
              </w:rPr>
              <w:t xml:space="preserve">– </w:t>
            </w:r>
            <w:r w:rsidR="005C4EB8" w:rsidRPr="00AF43A2">
              <w:rPr>
                <w:rFonts w:cstheme="minorHAnsi"/>
                <w:color w:val="1E1E1E" w:themeColor="background2"/>
                <w:sz w:val="21"/>
              </w:rPr>
              <w:t>This involves the development of a HIV-prevention service package, tailored to the HIV risk profile and service needs of Transgender people; as well as capacity building and roll-out in 4</w:t>
            </w:r>
            <w:r w:rsidR="00F05DD4" w:rsidRPr="00AF43A2">
              <w:rPr>
                <w:rFonts w:cstheme="minorHAnsi"/>
                <w:color w:val="1E1E1E" w:themeColor="background2"/>
                <w:sz w:val="21"/>
              </w:rPr>
              <w:t xml:space="preserve"> priority</w:t>
            </w:r>
            <w:r w:rsidR="005C4EB8" w:rsidRPr="00AF43A2">
              <w:rPr>
                <w:rFonts w:cstheme="minorHAnsi"/>
                <w:color w:val="1E1E1E" w:themeColor="background2"/>
                <w:sz w:val="21"/>
              </w:rPr>
              <w:t xml:space="preserve"> regions</w:t>
            </w:r>
            <w:r w:rsidR="001E7E83" w:rsidRPr="00AF43A2">
              <w:rPr>
                <w:rFonts w:cstheme="minorHAnsi"/>
                <w:color w:val="1E1E1E" w:themeColor="background2"/>
                <w:sz w:val="21"/>
              </w:rPr>
              <w:t xml:space="preserve"> (</w:t>
            </w:r>
            <w:r w:rsidR="001E7E83" w:rsidRPr="00AF43A2">
              <w:rPr>
                <w:rFonts w:eastAsia="Calibri" w:cstheme="minorHAnsi"/>
                <w:color w:val="1E1E1E" w:themeColor="background2"/>
                <w:sz w:val="21"/>
                <w:szCs w:val="21"/>
                <w:lang w:val="en-GB"/>
              </w:rPr>
              <w:t>Aktobe, Karaganda, Shymkent &amp; Nur-Sultan)</w:t>
            </w:r>
            <w:r w:rsidR="00F05DD4" w:rsidRPr="00AF43A2">
              <w:rPr>
                <w:rFonts w:cstheme="minorHAnsi"/>
                <w:color w:val="1E1E1E" w:themeColor="background2"/>
                <w:sz w:val="21"/>
              </w:rPr>
              <w:t>.</w:t>
            </w:r>
          </w:p>
          <w:p w14:paraId="4F4FE041" w14:textId="30AADA4A" w:rsidR="00F35300" w:rsidRPr="00AF43A2" w:rsidRDefault="00AE5048" w:rsidP="000A0528">
            <w:pPr>
              <w:pStyle w:val="affff3"/>
              <w:numPr>
                <w:ilvl w:val="1"/>
                <w:numId w:val="25"/>
              </w:numPr>
              <w:spacing w:after="0" w:line="240" w:lineRule="auto"/>
              <w:ind w:left="412" w:hanging="425"/>
              <w:jc w:val="both"/>
              <w:rPr>
                <w:rFonts w:cstheme="minorHAnsi"/>
                <w:color w:val="1E1E1E" w:themeColor="background2"/>
                <w:sz w:val="21"/>
              </w:rPr>
            </w:pPr>
            <w:r w:rsidRPr="00AF43A2">
              <w:rPr>
                <w:rFonts w:cstheme="minorHAnsi"/>
                <w:b/>
                <w:i/>
                <w:color w:val="1E1E1E" w:themeColor="background2"/>
                <w:sz w:val="21"/>
              </w:rPr>
              <w:t>Pre-Exposure Prophylaxis</w:t>
            </w:r>
            <w:r w:rsidRPr="00AF43A2">
              <w:rPr>
                <w:rFonts w:cstheme="minorHAnsi"/>
                <w:color w:val="1E1E1E" w:themeColor="background2"/>
                <w:sz w:val="21"/>
              </w:rPr>
              <w:t xml:space="preserve"> (PrEP)</w:t>
            </w:r>
            <w:r w:rsidR="00BA5AD1" w:rsidRPr="00AF43A2">
              <w:rPr>
                <w:rFonts w:cstheme="minorHAnsi"/>
                <w:color w:val="1E1E1E" w:themeColor="background2"/>
                <w:sz w:val="21"/>
              </w:rPr>
              <w:t xml:space="preserve"> – This involves a PrEP </w:t>
            </w:r>
            <w:r w:rsidR="00234A06" w:rsidRPr="00AF43A2">
              <w:rPr>
                <w:rFonts w:cstheme="minorHAnsi"/>
                <w:color w:val="1E1E1E" w:themeColor="background2"/>
                <w:sz w:val="21"/>
              </w:rPr>
              <w:t>programme</w:t>
            </w:r>
            <w:r w:rsidR="00BA5AD1" w:rsidRPr="00AF43A2">
              <w:rPr>
                <w:rFonts w:cstheme="minorHAnsi"/>
                <w:color w:val="1E1E1E" w:themeColor="background2"/>
                <w:sz w:val="21"/>
              </w:rPr>
              <w:t xml:space="preserve"> among MSM and TG in </w:t>
            </w:r>
            <w:r w:rsidR="000E5723" w:rsidRPr="00AF43A2">
              <w:rPr>
                <w:rFonts w:cstheme="minorHAnsi"/>
                <w:color w:val="1E1E1E" w:themeColor="background2"/>
                <w:sz w:val="21"/>
              </w:rPr>
              <w:t>6</w:t>
            </w:r>
            <w:r w:rsidR="00BA5AD1" w:rsidRPr="00AF43A2">
              <w:rPr>
                <w:rFonts w:cstheme="minorHAnsi"/>
                <w:color w:val="1E1E1E" w:themeColor="background2"/>
                <w:sz w:val="21"/>
              </w:rPr>
              <w:t xml:space="preserve"> regions</w:t>
            </w:r>
            <w:r w:rsidR="000E5723" w:rsidRPr="00AF43A2">
              <w:rPr>
                <w:rFonts w:cstheme="minorHAnsi"/>
                <w:color w:val="1E1E1E" w:themeColor="background2"/>
                <w:sz w:val="21"/>
              </w:rPr>
              <w:t>.</w:t>
            </w:r>
          </w:p>
          <w:p w14:paraId="287AD20D" w14:textId="6D00E308" w:rsidR="00F35300" w:rsidRPr="00AF43A2" w:rsidRDefault="00AE5048" w:rsidP="000A0528">
            <w:pPr>
              <w:pStyle w:val="affff3"/>
              <w:numPr>
                <w:ilvl w:val="1"/>
                <w:numId w:val="25"/>
              </w:numPr>
              <w:spacing w:after="0" w:line="240" w:lineRule="auto"/>
              <w:ind w:left="412" w:hanging="425"/>
              <w:jc w:val="both"/>
              <w:rPr>
                <w:rFonts w:cstheme="minorHAnsi"/>
                <w:color w:val="1E1E1E" w:themeColor="background2"/>
                <w:sz w:val="21"/>
              </w:rPr>
            </w:pPr>
            <w:r w:rsidRPr="00AF43A2">
              <w:rPr>
                <w:rFonts w:cstheme="minorHAnsi"/>
                <w:b/>
                <w:i/>
                <w:color w:val="1E1E1E" w:themeColor="background2"/>
                <w:sz w:val="21"/>
              </w:rPr>
              <w:t>Opioid substitution therapy and other medically assisted drug dependence treatment</w:t>
            </w:r>
            <w:r w:rsidR="00BA5AD1" w:rsidRPr="00AF43A2">
              <w:rPr>
                <w:rFonts w:cstheme="minorHAnsi"/>
                <w:color w:val="1E1E1E" w:themeColor="background2"/>
                <w:sz w:val="21"/>
              </w:rPr>
              <w:t xml:space="preserve"> – This involves</w:t>
            </w:r>
            <w:r w:rsidR="000E5723" w:rsidRPr="00AF43A2">
              <w:rPr>
                <w:rFonts w:cstheme="minorHAnsi"/>
                <w:color w:val="1E1E1E" w:themeColor="background2"/>
                <w:sz w:val="21"/>
              </w:rPr>
              <w:t xml:space="preserve"> systematic</w:t>
            </w:r>
            <w:r w:rsidR="000E5723" w:rsidRPr="00AF43A2">
              <w:rPr>
                <w:rFonts w:cstheme="minorHAnsi"/>
                <w:color w:val="404040" w:themeColor="text1"/>
                <w:sz w:val="21"/>
              </w:rPr>
              <w:t>, large-scale a</w:t>
            </w:r>
            <w:r w:rsidR="003E03ED" w:rsidRPr="00AF43A2">
              <w:rPr>
                <w:rFonts w:cstheme="minorHAnsi"/>
                <w:color w:val="404040" w:themeColor="text1"/>
                <w:sz w:val="21"/>
              </w:rPr>
              <w:t>dvocacy for OST</w:t>
            </w:r>
            <w:r w:rsidR="000E5723" w:rsidRPr="00AF43A2">
              <w:rPr>
                <w:rFonts w:cstheme="minorHAnsi"/>
                <w:color w:val="404040" w:themeColor="text1"/>
                <w:sz w:val="21"/>
              </w:rPr>
              <w:t xml:space="preserve"> and s</w:t>
            </w:r>
            <w:r w:rsidR="003E03ED" w:rsidRPr="00AF43A2">
              <w:rPr>
                <w:rFonts w:cstheme="minorHAnsi"/>
                <w:color w:val="404040" w:themeColor="text1"/>
                <w:sz w:val="21"/>
              </w:rPr>
              <w:t xml:space="preserve">trengthening the sustainability </w:t>
            </w:r>
            <w:r w:rsidR="000E5723" w:rsidRPr="00AF43A2">
              <w:rPr>
                <w:rFonts w:cstheme="minorHAnsi"/>
                <w:color w:val="404040" w:themeColor="text1"/>
                <w:sz w:val="21"/>
              </w:rPr>
              <w:t>and</w:t>
            </w:r>
            <w:r w:rsidR="003E03ED" w:rsidRPr="00AF43A2">
              <w:rPr>
                <w:rFonts w:cstheme="minorHAnsi"/>
                <w:color w:val="404040" w:themeColor="text1"/>
                <w:sz w:val="21"/>
              </w:rPr>
              <w:t xml:space="preserve"> </w:t>
            </w:r>
            <w:r w:rsidR="003E03ED" w:rsidRPr="00AF43A2">
              <w:rPr>
                <w:rFonts w:cstheme="minorHAnsi"/>
                <w:color w:val="1E1E1E" w:themeColor="background2"/>
                <w:sz w:val="21"/>
              </w:rPr>
              <w:t>expansion of the OST programme</w:t>
            </w:r>
            <w:r w:rsidR="000E5723" w:rsidRPr="00AF43A2">
              <w:rPr>
                <w:rFonts w:cstheme="minorHAnsi"/>
                <w:color w:val="1E1E1E" w:themeColor="background2"/>
                <w:sz w:val="21"/>
              </w:rPr>
              <w:t>.</w:t>
            </w:r>
          </w:p>
          <w:p w14:paraId="25CDBEB9" w14:textId="51E430F1" w:rsidR="00F35300" w:rsidRPr="00AF43A2" w:rsidRDefault="00AE5048" w:rsidP="000A0528">
            <w:pPr>
              <w:pStyle w:val="affff3"/>
              <w:numPr>
                <w:ilvl w:val="1"/>
                <w:numId w:val="25"/>
              </w:numPr>
              <w:spacing w:after="0" w:line="240" w:lineRule="auto"/>
              <w:ind w:left="412" w:hanging="425"/>
              <w:jc w:val="both"/>
              <w:rPr>
                <w:rFonts w:cstheme="minorHAnsi"/>
                <w:color w:val="1E1E1E" w:themeColor="background2"/>
                <w:sz w:val="21"/>
              </w:rPr>
            </w:pPr>
            <w:r w:rsidRPr="00AF43A2">
              <w:rPr>
                <w:rFonts w:cstheme="minorHAnsi"/>
                <w:b/>
                <w:i/>
                <w:color w:val="1E1E1E" w:themeColor="background2"/>
                <w:sz w:val="21"/>
              </w:rPr>
              <w:t xml:space="preserve">Overdose </w:t>
            </w:r>
            <w:r w:rsidR="00F05DD4" w:rsidRPr="00AF43A2">
              <w:rPr>
                <w:rFonts w:cstheme="minorHAnsi"/>
                <w:b/>
                <w:i/>
                <w:color w:val="1E1E1E" w:themeColor="background2"/>
                <w:sz w:val="21"/>
              </w:rPr>
              <w:t xml:space="preserve">(OD) </w:t>
            </w:r>
            <w:r w:rsidRPr="00AF43A2">
              <w:rPr>
                <w:rFonts w:cstheme="minorHAnsi"/>
                <w:b/>
                <w:i/>
                <w:color w:val="1E1E1E" w:themeColor="background2"/>
                <w:sz w:val="21"/>
              </w:rPr>
              <w:t>prevention and management</w:t>
            </w:r>
            <w:r w:rsidR="00BA5AD1" w:rsidRPr="00AF43A2">
              <w:rPr>
                <w:rFonts w:cstheme="minorHAnsi"/>
                <w:color w:val="1E1E1E" w:themeColor="background2"/>
                <w:sz w:val="21"/>
              </w:rPr>
              <w:t xml:space="preserve"> – </w:t>
            </w:r>
            <w:r w:rsidR="00F05DD4" w:rsidRPr="00AF43A2">
              <w:rPr>
                <w:rFonts w:cstheme="minorHAnsi"/>
                <w:color w:val="1E1E1E" w:themeColor="background2"/>
                <w:sz w:val="21"/>
              </w:rPr>
              <w:t xml:space="preserve">This includes: 1) </w:t>
            </w:r>
            <w:r w:rsidR="00F21FF6" w:rsidRPr="00AF43A2">
              <w:rPr>
                <w:rFonts w:cstheme="minorHAnsi"/>
                <w:color w:val="1E1E1E" w:themeColor="background2"/>
                <w:sz w:val="21"/>
              </w:rPr>
              <w:t>Improving the availability of Overdose therapy; 2) Sustainability of the use of antidote therapy for opioid overdoses.</w:t>
            </w:r>
          </w:p>
          <w:p w14:paraId="5E55D813" w14:textId="46320408" w:rsidR="001C2843" w:rsidRPr="00AF43A2" w:rsidRDefault="00AE5048" w:rsidP="000A0528">
            <w:pPr>
              <w:pStyle w:val="affff3"/>
              <w:numPr>
                <w:ilvl w:val="1"/>
                <w:numId w:val="25"/>
              </w:numPr>
              <w:spacing w:after="0" w:line="240" w:lineRule="auto"/>
              <w:ind w:left="412" w:hanging="425"/>
              <w:jc w:val="both"/>
              <w:rPr>
                <w:rFonts w:cstheme="minorHAnsi"/>
                <w:color w:val="1E1E1E" w:themeColor="background2"/>
                <w:sz w:val="21"/>
              </w:rPr>
            </w:pPr>
            <w:r w:rsidRPr="00AF43A2">
              <w:rPr>
                <w:rFonts w:cstheme="minorHAnsi"/>
                <w:b/>
                <w:i/>
                <w:color w:val="1E1E1E" w:themeColor="background2"/>
                <w:sz w:val="21"/>
              </w:rPr>
              <w:t>Interventions for young key populations</w:t>
            </w:r>
            <w:r w:rsidR="00BA5AD1" w:rsidRPr="00AF43A2">
              <w:rPr>
                <w:rFonts w:cstheme="minorHAnsi"/>
                <w:color w:val="1E1E1E" w:themeColor="background2"/>
                <w:sz w:val="21"/>
              </w:rPr>
              <w:t xml:space="preserve"> –</w:t>
            </w:r>
            <w:r w:rsidRPr="00AF43A2">
              <w:rPr>
                <w:rFonts w:cstheme="minorHAnsi"/>
                <w:color w:val="1E1E1E" w:themeColor="background2"/>
                <w:sz w:val="21"/>
              </w:rPr>
              <w:t xml:space="preserve"> Development of programmes for </w:t>
            </w:r>
            <w:r w:rsidRPr="00AF43A2">
              <w:rPr>
                <w:rFonts w:cstheme="minorHAnsi"/>
                <w:i/>
                <w:color w:val="1E1E1E" w:themeColor="background2"/>
                <w:sz w:val="21"/>
              </w:rPr>
              <w:t>users of New Psychoactive Substances</w:t>
            </w:r>
            <w:r w:rsidRPr="00AF43A2">
              <w:rPr>
                <w:rFonts w:cstheme="minorHAnsi"/>
                <w:color w:val="1E1E1E" w:themeColor="background2"/>
                <w:sz w:val="21"/>
              </w:rPr>
              <w:t xml:space="preserve"> (NPS)</w:t>
            </w:r>
            <w:r w:rsidR="00BA5AD1" w:rsidRPr="00AF43A2">
              <w:rPr>
                <w:rFonts w:cstheme="minorHAnsi"/>
                <w:color w:val="1E1E1E" w:themeColor="background2"/>
                <w:sz w:val="21"/>
              </w:rPr>
              <w:t xml:space="preserve"> –</w:t>
            </w:r>
            <w:r w:rsidR="00F05DD4" w:rsidRPr="00AF43A2">
              <w:rPr>
                <w:rFonts w:cstheme="minorHAnsi"/>
                <w:color w:val="1E1E1E" w:themeColor="background2"/>
                <w:sz w:val="21"/>
              </w:rPr>
              <w:t xml:space="preserve"> This will include</w:t>
            </w:r>
            <w:r w:rsidR="0020776D" w:rsidRPr="00AF43A2">
              <w:rPr>
                <w:rFonts w:cstheme="minorHAnsi"/>
                <w:color w:val="1E1E1E" w:themeColor="background2"/>
                <w:sz w:val="21"/>
              </w:rPr>
              <w:t xml:space="preserve"> 1) a clinical and epidemiological study on NPS and its prevalence in 2021; 2) the development of a Road map for the prevention of NPS (2021); 3) Capacity building of mental health professionals.</w:t>
            </w:r>
          </w:p>
          <w:p w14:paraId="3DA871F8" w14:textId="77777777" w:rsidR="00150DC6" w:rsidRPr="00AF43A2" w:rsidRDefault="00150DC6" w:rsidP="000A0528">
            <w:pPr>
              <w:spacing w:after="0" w:line="240" w:lineRule="auto"/>
              <w:jc w:val="both"/>
              <w:rPr>
                <w:rFonts w:cstheme="minorHAnsi"/>
                <w:b/>
                <w:color w:val="1E1E1E" w:themeColor="background2"/>
                <w:sz w:val="8"/>
                <w:szCs w:val="8"/>
                <w:u w:val="single"/>
              </w:rPr>
            </w:pPr>
          </w:p>
          <w:p w14:paraId="11461D8A" w14:textId="57CBB9EC" w:rsidR="00AE5048" w:rsidRPr="00AF43A2" w:rsidRDefault="00AE5048" w:rsidP="000A0528">
            <w:pPr>
              <w:spacing w:after="0" w:line="240" w:lineRule="auto"/>
              <w:jc w:val="both"/>
              <w:rPr>
                <w:rFonts w:cstheme="minorHAnsi"/>
                <w:b/>
                <w:color w:val="1E1E1E" w:themeColor="background2"/>
                <w:sz w:val="21"/>
                <w:u w:val="single"/>
              </w:rPr>
            </w:pPr>
            <w:r w:rsidRPr="00AF43A2">
              <w:rPr>
                <w:rFonts w:cstheme="minorHAnsi"/>
                <w:b/>
                <w:color w:val="1E1E1E" w:themeColor="background2"/>
                <w:sz w:val="21"/>
                <w:u w:val="single"/>
              </w:rPr>
              <w:t xml:space="preserve">Module 2: </w:t>
            </w:r>
            <w:r w:rsidR="00870131" w:rsidRPr="00AF43A2">
              <w:rPr>
                <w:rFonts w:cstheme="minorHAnsi"/>
                <w:b/>
                <w:color w:val="1E1E1E" w:themeColor="background2"/>
                <w:sz w:val="21"/>
                <w:u w:val="single"/>
              </w:rPr>
              <w:t>DIFFERENTIATED HIV TESTING SERVICES</w:t>
            </w:r>
          </w:p>
          <w:p w14:paraId="358B52EB" w14:textId="3DA7DA76" w:rsidR="00F35300" w:rsidRPr="00AF43A2" w:rsidRDefault="001C2843" w:rsidP="000A0528">
            <w:pPr>
              <w:pStyle w:val="affff3"/>
              <w:numPr>
                <w:ilvl w:val="1"/>
                <w:numId w:val="26"/>
              </w:numPr>
              <w:spacing w:after="0" w:line="240" w:lineRule="auto"/>
              <w:ind w:left="412" w:hanging="412"/>
              <w:jc w:val="both"/>
              <w:rPr>
                <w:rFonts w:cstheme="minorHAnsi"/>
                <w:color w:val="1E1E1E" w:themeColor="background2"/>
                <w:sz w:val="21"/>
              </w:rPr>
            </w:pPr>
            <w:r w:rsidRPr="00AF43A2">
              <w:rPr>
                <w:rFonts w:cstheme="minorHAnsi"/>
                <w:b/>
                <w:i/>
                <w:color w:val="1E1E1E" w:themeColor="background2"/>
                <w:sz w:val="21"/>
              </w:rPr>
              <w:t>Community-based testing</w:t>
            </w:r>
            <w:r w:rsidR="00BA5AD1" w:rsidRPr="00AF43A2">
              <w:rPr>
                <w:rFonts w:cstheme="minorHAnsi"/>
                <w:color w:val="1E1E1E" w:themeColor="background2"/>
                <w:sz w:val="21"/>
              </w:rPr>
              <w:t xml:space="preserve"> – </w:t>
            </w:r>
            <w:r w:rsidR="00375F31" w:rsidRPr="00AF43A2">
              <w:rPr>
                <w:rFonts w:cstheme="minorHAnsi"/>
                <w:color w:val="1E1E1E" w:themeColor="background2"/>
                <w:sz w:val="21"/>
              </w:rPr>
              <w:t xml:space="preserve">This involves the procurement and distribution of oral HIV test kits to NGOs working with MSM/TG in </w:t>
            </w:r>
            <w:r w:rsidR="001E6199" w:rsidRPr="00AF43A2">
              <w:rPr>
                <w:rFonts w:cstheme="minorHAnsi"/>
                <w:color w:val="1E1E1E" w:themeColor="background2"/>
                <w:sz w:val="21"/>
              </w:rPr>
              <w:t>six</w:t>
            </w:r>
            <w:r w:rsidR="00375F31" w:rsidRPr="00AF43A2">
              <w:rPr>
                <w:rFonts w:cstheme="minorHAnsi"/>
                <w:color w:val="1E1E1E" w:themeColor="background2"/>
                <w:sz w:val="21"/>
              </w:rPr>
              <w:t xml:space="preserve"> regions</w:t>
            </w:r>
            <w:r w:rsidR="00C42102" w:rsidRPr="00AF43A2">
              <w:rPr>
                <w:rFonts w:cstheme="minorHAnsi"/>
                <w:color w:val="1E1E1E" w:themeColor="background2"/>
                <w:sz w:val="21"/>
              </w:rPr>
              <w:t xml:space="preserve">; </w:t>
            </w:r>
            <w:r w:rsidR="00375F31" w:rsidRPr="00AF43A2">
              <w:rPr>
                <w:rFonts w:cstheme="minorHAnsi"/>
                <w:color w:val="1E1E1E" w:themeColor="background2"/>
                <w:sz w:val="21"/>
              </w:rPr>
              <w:t xml:space="preserve">PWID in </w:t>
            </w:r>
            <w:r w:rsidR="001E6199" w:rsidRPr="00AF43A2">
              <w:rPr>
                <w:rFonts w:cstheme="minorHAnsi"/>
                <w:color w:val="1E1E1E" w:themeColor="background2"/>
                <w:sz w:val="21"/>
              </w:rPr>
              <w:t>three</w:t>
            </w:r>
            <w:r w:rsidR="00375F31" w:rsidRPr="00AF43A2">
              <w:rPr>
                <w:rFonts w:cstheme="minorHAnsi"/>
                <w:color w:val="1E1E1E" w:themeColor="background2"/>
                <w:sz w:val="21"/>
              </w:rPr>
              <w:t xml:space="preserve"> regions</w:t>
            </w:r>
            <w:r w:rsidR="00C42102" w:rsidRPr="00AF43A2">
              <w:rPr>
                <w:rFonts w:cstheme="minorHAnsi"/>
                <w:color w:val="1E1E1E" w:themeColor="background2"/>
                <w:sz w:val="21"/>
              </w:rPr>
              <w:t xml:space="preserve"> as well as for all 261 AIDS Centre outreach </w:t>
            </w:r>
            <w:r w:rsidR="00C42102" w:rsidRPr="00AF43A2">
              <w:rPr>
                <w:rFonts w:cstheme="minorHAnsi"/>
                <w:color w:val="1E1E1E" w:themeColor="background2"/>
                <w:sz w:val="21"/>
                <w:szCs w:val="21"/>
              </w:rPr>
              <w:t>workers</w:t>
            </w:r>
            <w:r w:rsidR="00375F31" w:rsidRPr="00AF43A2">
              <w:rPr>
                <w:rFonts w:cstheme="minorHAnsi"/>
                <w:color w:val="1E1E1E" w:themeColor="background2"/>
                <w:sz w:val="21"/>
                <w:szCs w:val="21"/>
              </w:rPr>
              <w:t>. Government will increasingly absorb these costs with</w:t>
            </w:r>
            <w:r w:rsidR="00C42102" w:rsidRPr="00AF43A2">
              <w:rPr>
                <w:rFonts w:cstheme="minorHAnsi"/>
                <w:color w:val="1E1E1E" w:themeColor="background2"/>
                <w:sz w:val="21"/>
                <w:szCs w:val="21"/>
              </w:rPr>
              <w:t xml:space="preserve"> </w:t>
            </w:r>
            <w:r w:rsidR="00C42102" w:rsidRPr="00AF43A2">
              <w:rPr>
                <w:color w:val="1E1E1E" w:themeColor="background2"/>
                <w:sz w:val="21"/>
                <w:szCs w:val="21"/>
              </w:rPr>
              <w:t>20% in 2021 and 40% in 2022 and 60% in 2023.</w:t>
            </w:r>
          </w:p>
          <w:p w14:paraId="589FF301" w14:textId="552AB08B" w:rsidR="001C2843" w:rsidRPr="00AF43A2" w:rsidRDefault="001C2843" w:rsidP="000A0528">
            <w:pPr>
              <w:pStyle w:val="affff3"/>
              <w:numPr>
                <w:ilvl w:val="1"/>
                <w:numId w:val="26"/>
              </w:numPr>
              <w:spacing w:after="0" w:line="240" w:lineRule="auto"/>
              <w:ind w:left="412" w:hanging="412"/>
              <w:jc w:val="both"/>
              <w:rPr>
                <w:rFonts w:cstheme="minorHAnsi"/>
                <w:color w:val="1E1E1E" w:themeColor="background2"/>
                <w:sz w:val="21"/>
              </w:rPr>
            </w:pPr>
            <w:r w:rsidRPr="00AF43A2">
              <w:rPr>
                <w:rFonts w:cstheme="minorHAnsi"/>
                <w:b/>
                <w:i/>
                <w:sz w:val="21"/>
              </w:rPr>
              <w:t>HIV self-testing (HIVST)</w:t>
            </w:r>
            <w:r w:rsidR="00BA5AD1" w:rsidRPr="00AF43A2">
              <w:rPr>
                <w:rFonts w:cstheme="minorHAnsi"/>
                <w:sz w:val="21"/>
              </w:rPr>
              <w:t xml:space="preserve"> –</w:t>
            </w:r>
            <w:r w:rsidR="00375F31" w:rsidRPr="00AF43A2">
              <w:rPr>
                <w:rFonts w:cstheme="minorHAnsi"/>
                <w:sz w:val="21"/>
              </w:rPr>
              <w:t xml:space="preserve"> </w:t>
            </w:r>
            <w:r w:rsidR="00375F31" w:rsidRPr="00AF43A2">
              <w:rPr>
                <w:rFonts w:cstheme="minorHAnsi"/>
                <w:color w:val="1E1E1E" w:themeColor="background2"/>
                <w:sz w:val="21"/>
              </w:rPr>
              <w:t>This involves HIVST for 1) Sexual and parenteral (drug-use) partners of PLHIV; and 2) Discordant couples in 3 regions: Karaganda and Almaty regions and Nur-Sultan city. Government will increasingly absorb the HIVST cost (</w:t>
            </w:r>
            <w:r w:rsidR="000B1D4C" w:rsidRPr="00AF43A2">
              <w:rPr>
                <w:color w:val="1E1E1E" w:themeColor="background2"/>
              </w:rPr>
              <w:t>20% in 2021 and 40% in 2022 and 60% in 2023)</w:t>
            </w:r>
            <w:r w:rsidR="00375F31" w:rsidRPr="00AF43A2">
              <w:rPr>
                <w:rFonts w:cstheme="minorHAnsi"/>
                <w:color w:val="1E1E1E" w:themeColor="background2"/>
                <w:sz w:val="21"/>
              </w:rPr>
              <w:t>, with a view to expanding to other Regions as of 2024.</w:t>
            </w:r>
          </w:p>
          <w:p w14:paraId="7BB51B6B" w14:textId="77777777" w:rsidR="00150DC6" w:rsidRPr="00AF43A2" w:rsidRDefault="00150DC6" w:rsidP="000A0528">
            <w:pPr>
              <w:spacing w:after="0" w:line="240" w:lineRule="auto"/>
              <w:jc w:val="both"/>
              <w:rPr>
                <w:rFonts w:cstheme="minorHAnsi"/>
                <w:b/>
                <w:color w:val="1E1E1E" w:themeColor="background2"/>
                <w:sz w:val="8"/>
                <w:szCs w:val="8"/>
                <w:u w:val="single"/>
              </w:rPr>
            </w:pPr>
          </w:p>
          <w:p w14:paraId="59599E91" w14:textId="02290BC4" w:rsidR="001C2843" w:rsidRPr="00AF43A2" w:rsidRDefault="001C2843" w:rsidP="000A0528">
            <w:pPr>
              <w:spacing w:after="0" w:line="240" w:lineRule="auto"/>
              <w:jc w:val="both"/>
              <w:rPr>
                <w:rFonts w:cstheme="minorHAnsi"/>
                <w:b/>
                <w:color w:val="1E1E1E" w:themeColor="background2"/>
                <w:sz w:val="21"/>
                <w:u w:val="single"/>
              </w:rPr>
            </w:pPr>
            <w:r w:rsidRPr="00AF43A2">
              <w:rPr>
                <w:rFonts w:cstheme="minorHAnsi"/>
                <w:b/>
                <w:color w:val="1E1E1E" w:themeColor="background2"/>
                <w:sz w:val="21"/>
                <w:u w:val="single"/>
              </w:rPr>
              <w:t>Module 3: TREATMENT, CARE AND SUPPORT</w:t>
            </w:r>
          </w:p>
          <w:p w14:paraId="1B6A36FD" w14:textId="408B28B7" w:rsidR="003F5814" w:rsidRPr="00AF43A2" w:rsidRDefault="001C2843" w:rsidP="000A0528">
            <w:pPr>
              <w:pStyle w:val="affff3"/>
              <w:numPr>
                <w:ilvl w:val="1"/>
                <w:numId w:val="27"/>
              </w:numPr>
              <w:spacing w:after="0" w:line="240" w:lineRule="auto"/>
              <w:ind w:left="412" w:hanging="412"/>
              <w:jc w:val="both"/>
              <w:rPr>
                <w:rFonts w:cstheme="minorHAnsi"/>
                <w:color w:val="1E1E1E" w:themeColor="background2"/>
                <w:sz w:val="21"/>
              </w:rPr>
            </w:pPr>
            <w:r w:rsidRPr="00AF43A2">
              <w:rPr>
                <w:rFonts w:cstheme="minorHAnsi"/>
                <w:b/>
                <w:i/>
                <w:color w:val="1E1E1E" w:themeColor="background2"/>
                <w:sz w:val="21"/>
              </w:rPr>
              <w:t>Differentiated ART service delivery and HIV care</w:t>
            </w:r>
            <w:r w:rsidR="003F5814" w:rsidRPr="00AF43A2">
              <w:rPr>
                <w:rFonts w:cstheme="minorHAnsi"/>
                <w:b/>
                <w:i/>
                <w:color w:val="1E1E1E" w:themeColor="background2"/>
                <w:sz w:val="21"/>
              </w:rPr>
              <w:t xml:space="preserve"> – </w:t>
            </w:r>
            <w:r w:rsidRPr="00AF43A2">
              <w:rPr>
                <w:rFonts w:cstheme="minorHAnsi"/>
                <w:b/>
                <w:i/>
                <w:color w:val="1E1E1E" w:themeColor="background2"/>
                <w:sz w:val="21"/>
              </w:rPr>
              <w:t>Strengthening the Test-Treat Cascade</w:t>
            </w:r>
            <w:r w:rsidRPr="00AF43A2">
              <w:rPr>
                <w:rFonts w:cstheme="minorHAnsi"/>
                <w:color w:val="1E1E1E" w:themeColor="background2"/>
                <w:sz w:val="21"/>
              </w:rPr>
              <w:t xml:space="preserve"> with special focus on </w:t>
            </w:r>
            <w:r w:rsidR="00D41C3E" w:rsidRPr="00AF43A2">
              <w:rPr>
                <w:rFonts w:cstheme="minorHAnsi"/>
                <w:color w:val="1E1E1E" w:themeColor="background2"/>
                <w:sz w:val="21"/>
              </w:rPr>
              <w:t xml:space="preserve">strengthening retention in care and adherence to ART with </w:t>
            </w:r>
            <w:r w:rsidRPr="00AF43A2">
              <w:rPr>
                <w:rFonts w:cstheme="minorHAnsi"/>
                <w:color w:val="1E1E1E" w:themeColor="background2"/>
                <w:sz w:val="21"/>
              </w:rPr>
              <w:t xml:space="preserve">support </w:t>
            </w:r>
            <w:r w:rsidR="00D41C3E" w:rsidRPr="00AF43A2">
              <w:rPr>
                <w:rFonts w:cstheme="minorHAnsi"/>
                <w:color w:val="1E1E1E" w:themeColor="background2"/>
                <w:sz w:val="21"/>
              </w:rPr>
              <w:t>from</w:t>
            </w:r>
            <w:r w:rsidRPr="00AF43A2">
              <w:rPr>
                <w:rFonts w:cstheme="minorHAnsi"/>
                <w:color w:val="1E1E1E" w:themeColor="background2"/>
                <w:sz w:val="21"/>
              </w:rPr>
              <w:t xml:space="preserve"> NGOs</w:t>
            </w:r>
            <w:r w:rsidR="00D41C3E" w:rsidRPr="00AF43A2">
              <w:rPr>
                <w:rFonts w:cstheme="minorHAnsi"/>
                <w:color w:val="1E1E1E" w:themeColor="background2"/>
                <w:sz w:val="21"/>
                <w:szCs w:val="21"/>
              </w:rPr>
              <w:t>;</w:t>
            </w:r>
            <w:r w:rsidR="00150DC6" w:rsidRPr="00AF43A2">
              <w:rPr>
                <w:rFonts w:cstheme="minorHAnsi"/>
                <w:color w:val="1E1E1E" w:themeColor="background2"/>
                <w:sz w:val="21"/>
                <w:szCs w:val="21"/>
              </w:rPr>
              <w:t xml:space="preserve"> </w:t>
            </w:r>
            <w:r w:rsidR="00B12D84" w:rsidRPr="00AF43A2">
              <w:rPr>
                <w:color w:val="1E1E1E" w:themeColor="background2"/>
                <w:sz w:val="21"/>
                <w:szCs w:val="21"/>
              </w:rPr>
              <w:t xml:space="preserve">NGOs peer </w:t>
            </w:r>
            <w:r w:rsidR="00A45EC2">
              <w:rPr>
                <w:color w:val="1E1E1E" w:themeColor="background2"/>
                <w:sz w:val="21"/>
                <w:szCs w:val="21"/>
              </w:rPr>
              <w:t>counsellors</w:t>
            </w:r>
            <w:r w:rsidR="00B12D84" w:rsidRPr="00AF43A2">
              <w:rPr>
                <w:color w:val="1E1E1E" w:themeColor="background2"/>
                <w:sz w:val="21"/>
                <w:szCs w:val="21"/>
              </w:rPr>
              <w:t xml:space="preserve"> will motivate clients for self-testing with </w:t>
            </w:r>
            <w:r w:rsidR="00150DC6" w:rsidRPr="00AF43A2">
              <w:rPr>
                <w:color w:val="1E1E1E" w:themeColor="background2"/>
                <w:sz w:val="21"/>
                <w:szCs w:val="21"/>
              </w:rPr>
              <w:t>rapid oral</w:t>
            </w:r>
            <w:r w:rsidR="00B12D84" w:rsidRPr="00AF43A2">
              <w:rPr>
                <w:color w:val="1E1E1E" w:themeColor="background2"/>
                <w:sz w:val="21"/>
                <w:szCs w:val="21"/>
              </w:rPr>
              <w:t xml:space="preserve"> tests. In case of positive </w:t>
            </w:r>
            <w:r w:rsidR="005937E4" w:rsidRPr="00AF43A2">
              <w:rPr>
                <w:color w:val="1E1E1E" w:themeColor="background2"/>
                <w:sz w:val="21"/>
                <w:szCs w:val="21"/>
              </w:rPr>
              <w:t>results,</w:t>
            </w:r>
            <w:r w:rsidR="00B12D84" w:rsidRPr="00AF43A2">
              <w:rPr>
                <w:color w:val="1E1E1E" w:themeColor="background2"/>
                <w:sz w:val="21"/>
                <w:szCs w:val="21"/>
              </w:rPr>
              <w:t xml:space="preserve"> the partners would be referred to NGOs working with PLHIV for services of treatment, care and support</w:t>
            </w:r>
            <w:r w:rsidR="005937E4" w:rsidRPr="00AF43A2">
              <w:rPr>
                <w:color w:val="1E1E1E" w:themeColor="background2"/>
                <w:sz w:val="21"/>
                <w:szCs w:val="21"/>
              </w:rPr>
              <w:t>,</w:t>
            </w:r>
            <w:r w:rsidR="00B12D84" w:rsidRPr="00AF43A2">
              <w:rPr>
                <w:color w:val="1E1E1E" w:themeColor="background2"/>
                <w:sz w:val="21"/>
                <w:szCs w:val="21"/>
              </w:rPr>
              <w:t xml:space="preserve"> </w:t>
            </w:r>
            <w:r w:rsidR="00D41C3E" w:rsidRPr="00AF43A2">
              <w:rPr>
                <w:rFonts w:cstheme="minorHAnsi"/>
                <w:color w:val="1E1E1E" w:themeColor="background2"/>
                <w:sz w:val="21"/>
              </w:rPr>
              <w:t>specifically</w:t>
            </w:r>
            <w:r w:rsidR="003F5814" w:rsidRPr="00AF43A2">
              <w:rPr>
                <w:rFonts w:cstheme="minorHAnsi"/>
                <w:color w:val="1E1E1E" w:themeColor="background2"/>
                <w:sz w:val="21"/>
              </w:rPr>
              <w:t xml:space="preserve"> among </w:t>
            </w:r>
            <w:r w:rsidR="00150DC6" w:rsidRPr="00AF43A2">
              <w:rPr>
                <w:rFonts w:cstheme="minorHAnsi"/>
                <w:color w:val="1E1E1E" w:themeColor="background2"/>
                <w:sz w:val="21"/>
              </w:rPr>
              <w:t>PLHIV</w:t>
            </w:r>
            <w:r w:rsidR="003F5814" w:rsidRPr="00AF43A2">
              <w:rPr>
                <w:rFonts w:cstheme="minorHAnsi"/>
                <w:color w:val="1E1E1E" w:themeColor="background2"/>
                <w:sz w:val="21"/>
              </w:rPr>
              <w:t xml:space="preserve"> in 3 regions (Karaganda, Nur-Sultan and Almaty </w:t>
            </w:r>
            <w:r w:rsidR="005A0F9E" w:rsidRPr="00AF43A2">
              <w:rPr>
                <w:rFonts w:cstheme="minorHAnsi"/>
                <w:color w:val="1E1E1E" w:themeColor="background2"/>
                <w:sz w:val="21"/>
              </w:rPr>
              <w:t>R</w:t>
            </w:r>
            <w:r w:rsidR="003F5814" w:rsidRPr="00AF43A2">
              <w:rPr>
                <w:rFonts w:cstheme="minorHAnsi"/>
                <w:color w:val="1E1E1E" w:themeColor="background2"/>
                <w:sz w:val="21"/>
              </w:rPr>
              <w:t>egion).</w:t>
            </w:r>
          </w:p>
          <w:p w14:paraId="06AB2AF3" w14:textId="77777777" w:rsidR="00FB43C4" w:rsidRPr="00AF43A2" w:rsidRDefault="003F5814" w:rsidP="000A0528">
            <w:pPr>
              <w:pStyle w:val="affff3"/>
              <w:numPr>
                <w:ilvl w:val="1"/>
                <w:numId w:val="27"/>
              </w:numPr>
              <w:spacing w:after="0" w:line="240" w:lineRule="auto"/>
              <w:ind w:left="412" w:hanging="412"/>
              <w:jc w:val="both"/>
              <w:rPr>
                <w:rFonts w:cstheme="minorHAnsi"/>
                <w:color w:val="1E1E1E" w:themeColor="background2"/>
                <w:sz w:val="21"/>
              </w:rPr>
            </w:pPr>
            <w:r w:rsidRPr="00AF43A2">
              <w:rPr>
                <w:rFonts w:cstheme="minorHAnsi"/>
                <w:b/>
                <w:i/>
                <w:color w:val="1E1E1E" w:themeColor="background2"/>
                <w:sz w:val="21"/>
              </w:rPr>
              <w:t xml:space="preserve">Differentiated ART service delivery and HIV care – </w:t>
            </w:r>
            <w:r w:rsidR="001C2843" w:rsidRPr="00AF43A2">
              <w:rPr>
                <w:rFonts w:cstheme="minorHAnsi"/>
                <w:b/>
                <w:i/>
                <w:color w:val="1E1E1E" w:themeColor="background2"/>
                <w:sz w:val="21"/>
              </w:rPr>
              <w:t xml:space="preserve">Continuity of ART for </w:t>
            </w:r>
            <w:r w:rsidR="00150DC6" w:rsidRPr="00AF43A2">
              <w:rPr>
                <w:rFonts w:cstheme="minorHAnsi"/>
                <w:b/>
                <w:i/>
                <w:color w:val="1E1E1E" w:themeColor="background2"/>
                <w:sz w:val="21"/>
              </w:rPr>
              <w:t xml:space="preserve">171 </w:t>
            </w:r>
            <w:r w:rsidR="001C2843" w:rsidRPr="00AF43A2">
              <w:rPr>
                <w:rFonts w:cstheme="minorHAnsi"/>
                <w:b/>
                <w:i/>
                <w:color w:val="1E1E1E" w:themeColor="background2"/>
                <w:sz w:val="21"/>
              </w:rPr>
              <w:t>undocumented foreign migrants</w:t>
            </w:r>
            <w:r w:rsidR="00150DC6" w:rsidRPr="00AF43A2">
              <w:rPr>
                <w:rFonts w:cstheme="minorHAnsi"/>
                <w:b/>
                <w:i/>
                <w:color w:val="1E1E1E" w:themeColor="background2"/>
                <w:sz w:val="21"/>
              </w:rPr>
              <w:t xml:space="preserve">, </w:t>
            </w:r>
            <w:r w:rsidR="00150DC6" w:rsidRPr="00AF43A2">
              <w:rPr>
                <w:rFonts w:cstheme="minorHAnsi"/>
                <w:color w:val="1E1E1E" w:themeColor="background2"/>
                <w:sz w:val="21"/>
              </w:rPr>
              <w:t>with gradual absorption of these patients by Government (121 in 2023)</w:t>
            </w:r>
          </w:p>
          <w:p w14:paraId="59CB7431" w14:textId="3FA60817" w:rsidR="00FB43C4" w:rsidRPr="00AF43A2" w:rsidRDefault="001E7E83" w:rsidP="000A0528">
            <w:pPr>
              <w:pStyle w:val="affff3"/>
              <w:numPr>
                <w:ilvl w:val="1"/>
                <w:numId w:val="27"/>
              </w:numPr>
              <w:spacing w:after="0" w:line="240" w:lineRule="auto"/>
              <w:ind w:left="412" w:hanging="412"/>
              <w:jc w:val="both"/>
              <w:rPr>
                <w:rFonts w:cstheme="minorHAnsi"/>
                <w:b/>
                <w:i/>
                <w:color w:val="1E1E1E" w:themeColor="background2"/>
                <w:sz w:val="21"/>
              </w:rPr>
            </w:pPr>
            <w:r w:rsidRPr="00AF43A2">
              <w:rPr>
                <w:rFonts w:cstheme="minorHAnsi"/>
                <w:b/>
                <w:i/>
                <w:color w:val="1E1E1E" w:themeColor="background2"/>
                <w:sz w:val="21"/>
              </w:rPr>
              <w:t xml:space="preserve">Strengthening effective patient monitoring and VL testing </w:t>
            </w:r>
            <w:r w:rsidR="00FB43C4" w:rsidRPr="00AF43A2">
              <w:rPr>
                <w:rFonts w:cstheme="minorHAnsi"/>
                <w:b/>
                <w:i/>
                <w:color w:val="1E1E1E" w:themeColor="background2"/>
                <w:sz w:val="21"/>
              </w:rPr>
              <w:t>–</w:t>
            </w:r>
            <w:r w:rsidRPr="00AF43A2">
              <w:rPr>
                <w:rFonts w:cstheme="minorHAnsi"/>
                <w:b/>
                <w:i/>
                <w:color w:val="1E1E1E" w:themeColor="background2"/>
                <w:sz w:val="21"/>
              </w:rPr>
              <w:t xml:space="preserve"> </w:t>
            </w:r>
            <w:r w:rsidRPr="00AF43A2">
              <w:rPr>
                <w:rFonts w:cstheme="minorHAnsi"/>
                <w:color w:val="1E1E1E" w:themeColor="background2"/>
                <w:sz w:val="21"/>
              </w:rPr>
              <w:t>Viral load suppression (third 90) is key in determining the effectiveness of ART. In this context the grant will support the procurement of standardised WHO-prequalified automated PCR machines</w:t>
            </w:r>
            <w:r w:rsidR="005C6854" w:rsidRPr="00AF43A2">
              <w:rPr>
                <w:rFonts w:cstheme="minorHAnsi"/>
                <w:color w:val="1E1E1E" w:themeColor="background2"/>
                <w:sz w:val="21"/>
              </w:rPr>
              <w:t>.</w:t>
            </w:r>
          </w:p>
          <w:p w14:paraId="0649A4D4" w14:textId="77777777" w:rsidR="00150DC6" w:rsidRPr="00AF43A2" w:rsidRDefault="00150DC6" w:rsidP="000A0528">
            <w:pPr>
              <w:spacing w:after="0" w:line="240" w:lineRule="auto"/>
              <w:jc w:val="both"/>
              <w:rPr>
                <w:rFonts w:cstheme="minorHAnsi"/>
                <w:color w:val="1E1E1E" w:themeColor="background2"/>
                <w:sz w:val="8"/>
                <w:szCs w:val="8"/>
              </w:rPr>
            </w:pPr>
          </w:p>
          <w:p w14:paraId="42801EEA" w14:textId="1476F6B7" w:rsidR="00F21FF6" w:rsidRPr="00AF43A2" w:rsidRDefault="00F21FF6" w:rsidP="000A0528">
            <w:pPr>
              <w:spacing w:after="0" w:line="240" w:lineRule="auto"/>
              <w:jc w:val="both"/>
              <w:rPr>
                <w:rFonts w:cstheme="minorHAnsi"/>
                <w:b/>
                <w:color w:val="1E1E1E" w:themeColor="background2"/>
                <w:sz w:val="21"/>
                <w:u w:val="single"/>
              </w:rPr>
            </w:pPr>
            <w:r w:rsidRPr="00AF43A2">
              <w:rPr>
                <w:rFonts w:cstheme="minorHAnsi"/>
                <w:b/>
                <w:color w:val="1E1E1E" w:themeColor="background2"/>
                <w:sz w:val="21"/>
                <w:u w:val="single"/>
              </w:rPr>
              <w:t>Module 4: REDUCING HUMAN RIGHTS-RELATED BARRIERS TO HIV/TB SERVICES</w:t>
            </w:r>
          </w:p>
          <w:p w14:paraId="532F2440" w14:textId="2B6D1DED" w:rsidR="00F21FF6" w:rsidRPr="00AF43A2" w:rsidRDefault="00F21FF6" w:rsidP="000A0528">
            <w:pPr>
              <w:pStyle w:val="affff3"/>
              <w:numPr>
                <w:ilvl w:val="1"/>
                <w:numId w:val="28"/>
              </w:numPr>
              <w:spacing w:after="0" w:line="240" w:lineRule="auto"/>
              <w:ind w:left="417" w:hanging="417"/>
              <w:jc w:val="both"/>
              <w:rPr>
                <w:rFonts w:cstheme="minorHAnsi"/>
                <w:color w:val="1E1E1E" w:themeColor="background2"/>
                <w:sz w:val="21"/>
              </w:rPr>
            </w:pPr>
            <w:r w:rsidRPr="00AF43A2">
              <w:rPr>
                <w:rFonts w:cstheme="minorHAnsi"/>
                <w:b/>
                <w:i/>
                <w:color w:val="1E1E1E" w:themeColor="background2"/>
                <w:sz w:val="21"/>
              </w:rPr>
              <w:lastRenderedPageBreak/>
              <w:t>Stigma and discrimination reduction</w:t>
            </w:r>
            <w:r w:rsidRPr="00AF43A2">
              <w:rPr>
                <w:rFonts w:cstheme="minorHAnsi"/>
                <w:color w:val="1E1E1E" w:themeColor="background2"/>
                <w:sz w:val="21"/>
              </w:rPr>
              <w:t xml:space="preserve"> – </w:t>
            </w:r>
            <w:r w:rsidR="0020776D" w:rsidRPr="00AF43A2">
              <w:rPr>
                <w:rFonts w:cstheme="minorHAnsi"/>
                <w:color w:val="1E1E1E" w:themeColor="background2"/>
                <w:sz w:val="21"/>
              </w:rPr>
              <w:t>Development of a National Strategic Plan to advocate for the protection of the rights of PLHIV and combat HIV-related stigma &amp; discrimination.</w:t>
            </w:r>
          </w:p>
          <w:p w14:paraId="3652ED40" w14:textId="5D887816" w:rsidR="00F21FF6" w:rsidRPr="00AF43A2" w:rsidRDefault="000C1B68" w:rsidP="000A0528">
            <w:pPr>
              <w:pStyle w:val="affff3"/>
              <w:numPr>
                <w:ilvl w:val="1"/>
                <w:numId w:val="28"/>
              </w:numPr>
              <w:spacing w:after="0" w:line="240" w:lineRule="auto"/>
              <w:ind w:left="417" w:hanging="417"/>
              <w:jc w:val="both"/>
              <w:rPr>
                <w:rFonts w:cstheme="minorHAnsi"/>
                <w:color w:val="1E1E1E" w:themeColor="background2"/>
                <w:sz w:val="21"/>
              </w:rPr>
            </w:pPr>
            <w:r w:rsidRPr="00AF43A2">
              <w:rPr>
                <w:rFonts w:cstheme="minorHAnsi"/>
                <w:b/>
                <w:i/>
                <w:color w:val="1E1E1E" w:themeColor="background2"/>
                <w:sz w:val="21"/>
              </w:rPr>
              <w:t>HIV and HIV/TB- related legal services</w:t>
            </w:r>
            <w:r w:rsidRPr="00AF43A2">
              <w:rPr>
                <w:rFonts w:cstheme="minorHAnsi"/>
                <w:color w:val="1E1E1E" w:themeColor="background2"/>
                <w:sz w:val="21"/>
              </w:rPr>
              <w:t xml:space="preserve"> – This includes: 1) Create and train "Street Lawyers" from among staff and outreach workers</w:t>
            </w:r>
            <w:r w:rsidR="004B3FDC" w:rsidRPr="00AF43A2">
              <w:rPr>
                <w:rFonts w:cstheme="minorHAnsi"/>
                <w:color w:val="1E1E1E" w:themeColor="background2"/>
                <w:sz w:val="21"/>
              </w:rPr>
              <w:t xml:space="preserve"> of NGOs and AIDS Centres</w:t>
            </w:r>
            <w:r w:rsidRPr="00AF43A2">
              <w:rPr>
                <w:rFonts w:cstheme="minorHAnsi"/>
                <w:color w:val="1E1E1E" w:themeColor="background2"/>
                <w:sz w:val="21"/>
              </w:rPr>
              <w:t xml:space="preserve"> in </w:t>
            </w:r>
            <w:r w:rsidR="004B3FDC" w:rsidRPr="00AF43A2">
              <w:rPr>
                <w:rFonts w:cstheme="minorHAnsi"/>
                <w:color w:val="1E1E1E" w:themeColor="background2"/>
                <w:sz w:val="21"/>
              </w:rPr>
              <w:t>all 17</w:t>
            </w:r>
            <w:r w:rsidRPr="00AF43A2">
              <w:rPr>
                <w:rFonts w:cstheme="minorHAnsi"/>
                <w:color w:val="1E1E1E" w:themeColor="background2"/>
                <w:sz w:val="21"/>
              </w:rPr>
              <w:t xml:space="preserve"> Regions</w:t>
            </w:r>
            <w:r w:rsidR="004B3FDC" w:rsidRPr="00AF43A2">
              <w:rPr>
                <w:rFonts w:cstheme="minorHAnsi"/>
                <w:color w:val="1E1E1E" w:themeColor="background2"/>
                <w:sz w:val="21"/>
              </w:rPr>
              <w:t xml:space="preserve"> </w:t>
            </w:r>
            <w:r w:rsidRPr="00AF43A2">
              <w:rPr>
                <w:rFonts w:cstheme="minorHAnsi"/>
                <w:color w:val="1E1E1E" w:themeColor="background2"/>
                <w:sz w:val="21"/>
              </w:rPr>
              <w:t xml:space="preserve">to support PLHIV and KPs to remove legal barriers, stigma, discrimination and criminalisation in order to ensure access to HIV prevention and treatment services; 2) Provision of Legal assistance to PLHIV and KPs in </w:t>
            </w:r>
            <w:r w:rsidR="0007006A" w:rsidRPr="00AF43A2">
              <w:rPr>
                <w:rFonts w:cstheme="minorHAnsi"/>
                <w:color w:val="1E1E1E" w:themeColor="background2"/>
                <w:sz w:val="21"/>
              </w:rPr>
              <w:t>all 17</w:t>
            </w:r>
            <w:r w:rsidRPr="00AF43A2">
              <w:rPr>
                <w:rFonts w:cstheme="minorHAnsi"/>
                <w:color w:val="1E1E1E" w:themeColor="background2"/>
                <w:sz w:val="21"/>
              </w:rPr>
              <w:t xml:space="preserve"> Regions to address legal barriers to health-care access, cases of stigma &amp; discrimination, and other human rights violations</w:t>
            </w:r>
            <w:r w:rsidR="0007006A" w:rsidRPr="00AF43A2">
              <w:rPr>
                <w:rFonts w:cstheme="minorHAnsi"/>
                <w:color w:val="1E1E1E" w:themeColor="background2"/>
                <w:sz w:val="21"/>
              </w:rPr>
              <w:t>.</w:t>
            </w:r>
            <w:r w:rsidR="0020776D" w:rsidRPr="00AF43A2">
              <w:rPr>
                <w:rFonts w:cstheme="minorHAnsi"/>
                <w:color w:val="1E1E1E" w:themeColor="background2"/>
                <w:sz w:val="21"/>
              </w:rPr>
              <w:t xml:space="preserve"> 3) Provision of legal support by professional lawyers to PLHIV and/or KPs in need. These lawyers will also provide supervision, quality assurance and mentorship to street lawyers.</w:t>
            </w:r>
          </w:p>
          <w:p w14:paraId="3BA0C15B" w14:textId="77777777" w:rsidR="00150DC6" w:rsidRPr="00AF43A2" w:rsidRDefault="00150DC6" w:rsidP="000A0528">
            <w:pPr>
              <w:spacing w:after="0" w:line="240" w:lineRule="auto"/>
              <w:jc w:val="both"/>
              <w:rPr>
                <w:rFonts w:cstheme="minorHAnsi"/>
                <w:b/>
                <w:color w:val="1E1E1E" w:themeColor="background2"/>
                <w:sz w:val="8"/>
                <w:szCs w:val="8"/>
                <w:u w:val="single"/>
              </w:rPr>
            </w:pPr>
          </w:p>
          <w:p w14:paraId="187C309A" w14:textId="6DE9C112" w:rsidR="0000563C" w:rsidRPr="00AF43A2" w:rsidRDefault="0000563C" w:rsidP="000A0528">
            <w:pPr>
              <w:spacing w:after="0" w:line="240" w:lineRule="auto"/>
              <w:jc w:val="both"/>
              <w:rPr>
                <w:rFonts w:cstheme="minorHAnsi"/>
                <w:color w:val="1E1E1E" w:themeColor="background2"/>
                <w:sz w:val="21"/>
                <w:u w:val="single"/>
              </w:rPr>
            </w:pPr>
            <w:r w:rsidRPr="00AF43A2">
              <w:rPr>
                <w:rFonts w:cstheme="minorHAnsi"/>
                <w:b/>
                <w:color w:val="1E1E1E" w:themeColor="background2"/>
                <w:sz w:val="21"/>
                <w:u w:val="single"/>
              </w:rPr>
              <w:t xml:space="preserve">Module </w:t>
            </w:r>
            <w:r w:rsidR="000C1B68" w:rsidRPr="00AF43A2">
              <w:rPr>
                <w:rFonts w:cstheme="minorHAnsi"/>
                <w:b/>
                <w:color w:val="1E1E1E" w:themeColor="background2"/>
                <w:sz w:val="21"/>
                <w:u w:val="single"/>
              </w:rPr>
              <w:t>5</w:t>
            </w:r>
            <w:r w:rsidRPr="00AF43A2">
              <w:rPr>
                <w:rFonts w:cstheme="minorHAnsi"/>
                <w:b/>
                <w:color w:val="1E1E1E" w:themeColor="background2"/>
                <w:sz w:val="21"/>
                <w:u w:val="single"/>
              </w:rPr>
              <w:t>: HEALTH SECTOR MANAGEMENT AND PLANNING</w:t>
            </w:r>
          </w:p>
          <w:p w14:paraId="044A5BA1" w14:textId="0C746F48" w:rsidR="000C1B68" w:rsidRPr="00AF43A2" w:rsidRDefault="00A8175A" w:rsidP="000A0528">
            <w:pPr>
              <w:pStyle w:val="affff3"/>
              <w:numPr>
                <w:ilvl w:val="1"/>
                <w:numId w:val="29"/>
              </w:numPr>
              <w:spacing w:after="0" w:line="240" w:lineRule="auto"/>
              <w:ind w:left="417" w:hanging="417"/>
              <w:jc w:val="both"/>
              <w:rPr>
                <w:rFonts w:cstheme="minorHAnsi"/>
                <w:color w:val="1E1E1E" w:themeColor="background2"/>
                <w:sz w:val="21"/>
              </w:rPr>
            </w:pPr>
            <w:r w:rsidRPr="00AF43A2">
              <w:rPr>
                <w:rFonts w:cstheme="minorHAnsi"/>
                <w:b/>
                <w:i/>
                <w:sz w:val="21"/>
              </w:rPr>
              <w:t>National health sector strategies and financing: Strengthening Sustainable financing for HIV prevention services for KPs by NGOs</w:t>
            </w:r>
            <w:r w:rsidR="00BA5AD1" w:rsidRPr="00AF43A2">
              <w:rPr>
                <w:rFonts w:cstheme="minorHAnsi"/>
                <w:sz w:val="21"/>
              </w:rPr>
              <w:t xml:space="preserve"> –</w:t>
            </w:r>
            <w:r w:rsidR="000C1B68" w:rsidRPr="00AF43A2">
              <w:rPr>
                <w:rFonts w:cstheme="minorHAnsi"/>
                <w:sz w:val="21"/>
              </w:rPr>
              <w:t xml:space="preserve"> This involves technical support to further strengthening and roll-out of Social Contracting mechanisms -- such as State Grants and State Social Contracts, as well </w:t>
            </w:r>
            <w:r w:rsidR="003766D8" w:rsidRPr="00AF43A2">
              <w:rPr>
                <w:rFonts w:cstheme="minorHAnsi"/>
                <w:sz w:val="21"/>
              </w:rPr>
              <w:t xml:space="preserve">the </w:t>
            </w:r>
            <w:r w:rsidR="000C1B68" w:rsidRPr="00AF43A2">
              <w:rPr>
                <w:rFonts w:cstheme="minorHAnsi"/>
                <w:sz w:val="21"/>
              </w:rPr>
              <w:t xml:space="preserve">inclusion of HIV prevention, care and support services in </w:t>
            </w:r>
            <w:r w:rsidR="003766D8" w:rsidRPr="00AF43A2">
              <w:rPr>
                <w:rFonts w:eastAsia="Calibri" w:cstheme="minorHAnsi"/>
                <w:color w:val="000000"/>
                <w:sz w:val="21"/>
                <w:szCs w:val="21"/>
                <w:lang w:val="en-GB"/>
              </w:rPr>
              <w:t xml:space="preserve">Compulsory Social Health Insurance (CSHI). </w:t>
            </w:r>
            <w:r w:rsidR="000C1B68" w:rsidRPr="00AF43A2">
              <w:rPr>
                <w:rFonts w:cstheme="minorHAnsi"/>
                <w:sz w:val="21"/>
              </w:rPr>
              <w:t>This includes: 1) Definition of HIV services that can be funded through SGs SSOs; 2) Tariffication of service packages; and 3) Budget advocacy.</w:t>
            </w:r>
          </w:p>
          <w:p w14:paraId="2749D83A" w14:textId="1C83B659" w:rsidR="001C2843" w:rsidRPr="00AF43A2" w:rsidRDefault="00A8175A" w:rsidP="000A0528">
            <w:pPr>
              <w:pStyle w:val="affff3"/>
              <w:numPr>
                <w:ilvl w:val="1"/>
                <w:numId w:val="29"/>
              </w:numPr>
              <w:spacing w:after="0" w:line="240" w:lineRule="auto"/>
              <w:ind w:left="417" w:hanging="417"/>
              <w:jc w:val="both"/>
              <w:rPr>
                <w:rFonts w:cstheme="minorHAnsi"/>
                <w:color w:val="1E1E1E" w:themeColor="background2"/>
                <w:sz w:val="21"/>
              </w:rPr>
            </w:pPr>
            <w:r w:rsidRPr="00AF43A2">
              <w:rPr>
                <w:rFonts w:cstheme="minorHAnsi"/>
                <w:b/>
                <w:i/>
                <w:color w:val="1E1E1E" w:themeColor="background2"/>
                <w:sz w:val="21"/>
              </w:rPr>
              <w:t>National health sector strategies and financing:</w:t>
            </w:r>
            <w:r w:rsidR="001C2843" w:rsidRPr="00AF43A2">
              <w:rPr>
                <w:rFonts w:cstheme="minorHAnsi"/>
                <w:color w:val="1E1E1E" w:themeColor="background2"/>
                <w:sz w:val="21"/>
              </w:rPr>
              <w:t xml:space="preserve"> </w:t>
            </w:r>
            <w:r w:rsidRPr="00AF43A2">
              <w:rPr>
                <w:rFonts w:cstheme="minorHAnsi"/>
                <w:b/>
                <w:i/>
                <w:color w:val="1E1E1E" w:themeColor="background2"/>
                <w:sz w:val="21"/>
              </w:rPr>
              <w:t xml:space="preserve">Inclusion of key HIV prevention, care and support services in </w:t>
            </w:r>
            <w:r w:rsidR="003766D8" w:rsidRPr="00AF43A2">
              <w:rPr>
                <w:rFonts w:cstheme="minorHAnsi"/>
                <w:b/>
                <w:i/>
                <w:color w:val="1E1E1E" w:themeColor="background2"/>
                <w:sz w:val="21"/>
              </w:rPr>
              <w:t>CSHI</w:t>
            </w:r>
            <w:r w:rsidRPr="00AF43A2">
              <w:rPr>
                <w:rFonts w:cstheme="minorHAnsi"/>
                <w:b/>
                <w:i/>
                <w:color w:val="1E1E1E" w:themeColor="background2"/>
                <w:sz w:val="21"/>
              </w:rPr>
              <w:t xml:space="preserve"> coverage</w:t>
            </w:r>
            <w:r w:rsidR="00BA5AD1" w:rsidRPr="00AF43A2">
              <w:rPr>
                <w:rFonts w:cstheme="minorHAnsi"/>
                <w:b/>
                <w:i/>
                <w:color w:val="1E1E1E" w:themeColor="background2"/>
                <w:sz w:val="21"/>
              </w:rPr>
              <w:t xml:space="preserve"> </w:t>
            </w:r>
            <w:r w:rsidR="00BA5AD1" w:rsidRPr="00AF43A2">
              <w:rPr>
                <w:rFonts w:cstheme="minorHAnsi"/>
                <w:color w:val="1E1E1E" w:themeColor="background2"/>
                <w:sz w:val="21"/>
              </w:rPr>
              <w:t>–</w:t>
            </w:r>
            <w:r w:rsidR="004920C9" w:rsidRPr="00AF43A2">
              <w:rPr>
                <w:rFonts w:cstheme="minorHAnsi"/>
                <w:color w:val="1E1E1E" w:themeColor="background2"/>
                <w:sz w:val="21"/>
              </w:rPr>
              <w:t xml:space="preserve"> </w:t>
            </w:r>
            <w:r w:rsidR="004920C9" w:rsidRPr="00AF43A2">
              <w:rPr>
                <w:color w:val="1E1E1E" w:themeColor="background2"/>
                <w:sz w:val="21"/>
              </w:rPr>
              <w:t>Technical support for the development of tariffication of HIV services.</w:t>
            </w:r>
          </w:p>
          <w:p w14:paraId="606C63EA" w14:textId="77777777" w:rsidR="00150DC6" w:rsidRPr="00AF43A2" w:rsidRDefault="00150DC6" w:rsidP="000A0528">
            <w:pPr>
              <w:spacing w:after="0" w:line="240" w:lineRule="auto"/>
              <w:jc w:val="both"/>
              <w:rPr>
                <w:rFonts w:cstheme="minorHAnsi"/>
                <w:b/>
                <w:color w:val="1E1E1E" w:themeColor="background2"/>
                <w:sz w:val="8"/>
                <w:szCs w:val="8"/>
                <w:u w:val="single"/>
              </w:rPr>
            </w:pPr>
          </w:p>
          <w:p w14:paraId="262408C7" w14:textId="2126969A" w:rsidR="0000563C" w:rsidRPr="00AF43A2" w:rsidRDefault="0000563C" w:rsidP="000A0528">
            <w:pPr>
              <w:spacing w:after="0" w:line="240" w:lineRule="auto"/>
              <w:jc w:val="both"/>
              <w:rPr>
                <w:rFonts w:cstheme="minorHAnsi"/>
                <w:b/>
                <w:color w:val="1E1E1E" w:themeColor="background2"/>
                <w:sz w:val="21"/>
                <w:u w:val="single"/>
              </w:rPr>
            </w:pPr>
            <w:r w:rsidRPr="00AF43A2">
              <w:rPr>
                <w:rFonts w:cstheme="minorHAnsi"/>
                <w:b/>
                <w:color w:val="1E1E1E" w:themeColor="background2"/>
                <w:sz w:val="21"/>
                <w:u w:val="single"/>
              </w:rPr>
              <w:t xml:space="preserve">Module </w:t>
            </w:r>
            <w:r w:rsidR="000C1B68" w:rsidRPr="00AF43A2">
              <w:rPr>
                <w:rFonts w:cstheme="minorHAnsi"/>
                <w:b/>
                <w:color w:val="1E1E1E" w:themeColor="background2"/>
                <w:sz w:val="21"/>
                <w:u w:val="single"/>
              </w:rPr>
              <w:t>6</w:t>
            </w:r>
            <w:r w:rsidRPr="00AF43A2">
              <w:rPr>
                <w:rFonts w:cstheme="minorHAnsi"/>
                <w:b/>
                <w:color w:val="1E1E1E" w:themeColor="background2"/>
                <w:sz w:val="21"/>
                <w:u w:val="single"/>
              </w:rPr>
              <w:t xml:space="preserve">: </w:t>
            </w:r>
            <w:r w:rsidR="00A8175A" w:rsidRPr="00AF43A2">
              <w:rPr>
                <w:rFonts w:cstheme="minorHAnsi"/>
                <w:b/>
                <w:color w:val="1E1E1E" w:themeColor="background2"/>
                <w:sz w:val="21"/>
                <w:u w:val="single"/>
              </w:rPr>
              <w:t>RSSH: COMMUNITY SYSTEMS STRENGTHENING</w:t>
            </w:r>
          </w:p>
          <w:p w14:paraId="3A5BA387" w14:textId="77777777" w:rsidR="000C1B68" w:rsidRPr="00AF43A2" w:rsidRDefault="00A8175A" w:rsidP="000A0528">
            <w:pPr>
              <w:pStyle w:val="affff3"/>
              <w:numPr>
                <w:ilvl w:val="1"/>
                <w:numId w:val="30"/>
              </w:numPr>
              <w:spacing w:after="0" w:line="240" w:lineRule="auto"/>
              <w:ind w:left="417" w:hanging="417"/>
              <w:jc w:val="both"/>
              <w:rPr>
                <w:rFonts w:cstheme="minorHAnsi"/>
                <w:color w:val="1E1E1E" w:themeColor="background2"/>
                <w:sz w:val="21"/>
              </w:rPr>
            </w:pPr>
            <w:r w:rsidRPr="00AF43A2">
              <w:rPr>
                <w:rFonts w:cstheme="minorHAnsi"/>
                <w:b/>
                <w:i/>
                <w:color w:val="1E1E1E" w:themeColor="background2"/>
                <w:sz w:val="21"/>
              </w:rPr>
              <w:t>Institutional capacity building, planning and leadership development</w:t>
            </w:r>
            <w:r w:rsidR="00BA5AD1" w:rsidRPr="00AF43A2">
              <w:rPr>
                <w:rFonts w:cstheme="minorHAnsi"/>
                <w:color w:val="1E1E1E" w:themeColor="background2"/>
                <w:sz w:val="21"/>
              </w:rPr>
              <w:t xml:space="preserve"> – </w:t>
            </w:r>
            <w:r w:rsidR="00197244" w:rsidRPr="00AF43A2">
              <w:rPr>
                <w:rFonts w:cstheme="minorHAnsi"/>
                <w:color w:val="1E1E1E" w:themeColor="background2"/>
                <w:sz w:val="21"/>
              </w:rPr>
              <w:t>This includes strengthening of institutional capacity of NGOs that provide services to key population in selected priority regions, through webinars, training workshops and on-site mentoring, tailored to NGOs’ specific needs.</w:t>
            </w:r>
          </w:p>
          <w:p w14:paraId="29E71FE2" w14:textId="698D09A3" w:rsidR="00CF3827" w:rsidRPr="00AF43A2" w:rsidRDefault="00A8175A" w:rsidP="000A0528">
            <w:pPr>
              <w:pStyle w:val="affff3"/>
              <w:numPr>
                <w:ilvl w:val="1"/>
                <w:numId w:val="30"/>
              </w:numPr>
              <w:spacing w:after="0" w:line="240" w:lineRule="auto"/>
              <w:ind w:left="417" w:hanging="417"/>
              <w:jc w:val="both"/>
              <w:rPr>
                <w:rFonts w:cstheme="minorHAnsi"/>
                <w:color w:val="1E1E1E" w:themeColor="background2"/>
                <w:sz w:val="21"/>
              </w:rPr>
            </w:pPr>
            <w:r w:rsidRPr="00AF43A2">
              <w:rPr>
                <w:rFonts w:cstheme="minorHAnsi"/>
                <w:b/>
                <w:i/>
                <w:color w:val="1E1E1E" w:themeColor="background2"/>
                <w:sz w:val="21"/>
              </w:rPr>
              <w:t>Social mobilisation, building community linkages and coordination</w:t>
            </w:r>
            <w:r w:rsidR="00BA5AD1" w:rsidRPr="00AF43A2">
              <w:rPr>
                <w:rFonts w:cstheme="minorHAnsi"/>
                <w:b/>
                <w:i/>
                <w:color w:val="1E1E1E" w:themeColor="background2"/>
                <w:sz w:val="21"/>
              </w:rPr>
              <w:t xml:space="preserve"> </w:t>
            </w:r>
            <w:r w:rsidR="00BA5AD1" w:rsidRPr="00AF43A2">
              <w:rPr>
                <w:rFonts w:cstheme="minorHAnsi"/>
                <w:color w:val="1E1E1E" w:themeColor="background2"/>
                <w:sz w:val="21"/>
              </w:rPr>
              <w:t>–</w:t>
            </w:r>
            <w:r w:rsidR="00197244" w:rsidRPr="00AF43A2">
              <w:rPr>
                <w:rFonts w:cstheme="minorHAnsi"/>
                <w:color w:val="1E1E1E" w:themeColor="background2"/>
                <w:sz w:val="21"/>
              </w:rPr>
              <w:t xml:space="preserve"> </w:t>
            </w:r>
            <w:r w:rsidR="00CF3827" w:rsidRPr="00AF43A2">
              <w:rPr>
                <w:rFonts w:cstheme="minorHAnsi"/>
                <w:color w:val="1E1E1E" w:themeColor="background2"/>
                <w:sz w:val="21"/>
              </w:rPr>
              <w:t>this includes efforts to strengthen partnerships and linkages between civil society and Government institutions for better coordination and collaboration in service delivery to PLHIV and KPs, including post-release continuity of ART and TB treatment.</w:t>
            </w:r>
          </w:p>
          <w:p w14:paraId="339E242C" w14:textId="77777777" w:rsidR="00150DC6" w:rsidRPr="00AF43A2" w:rsidRDefault="00150DC6" w:rsidP="000A0528">
            <w:pPr>
              <w:spacing w:after="0" w:line="240" w:lineRule="auto"/>
              <w:jc w:val="both"/>
              <w:rPr>
                <w:rFonts w:cstheme="minorHAnsi"/>
                <w:b/>
                <w:color w:val="1E1E1E" w:themeColor="background2"/>
                <w:sz w:val="8"/>
                <w:szCs w:val="8"/>
                <w:u w:val="single"/>
              </w:rPr>
            </w:pPr>
          </w:p>
          <w:p w14:paraId="697001E7" w14:textId="3941FD45" w:rsidR="0000563C" w:rsidRPr="00AF43A2" w:rsidRDefault="0000563C" w:rsidP="000A0528">
            <w:pPr>
              <w:spacing w:after="0" w:line="240" w:lineRule="auto"/>
              <w:jc w:val="both"/>
              <w:rPr>
                <w:rFonts w:cstheme="minorHAnsi"/>
                <w:color w:val="1E1E1E" w:themeColor="background2"/>
                <w:sz w:val="21"/>
                <w:u w:val="single"/>
              </w:rPr>
            </w:pPr>
            <w:r w:rsidRPr="00AF43A2">
              <w:rPr>
                <w:rFonts w:cstheme="minorHAnsi"/>
                <w:b/>
                <w:color w:val="1E1E1E" w:themeColor="background2"/>
                <w:sz w:val="21"/>
                <w:u w:val="single"/>
              </w:rPr>
              <w:t xml:space="preserve">Module </w:t>
            </w:r>
            <w:r w:rsidR="000C1B68" w:rsidRPr="00AF43A2">
              <w:rPr>
                <w:rFonts w:cstheme="minorHAnsi"/>
                <w:b/>
                <w:color w:val="1E1E1E" w:themeColor="background2"/>
                <w:sz w:val="21"/>
                <w:u w:val="single"/>
              </w:rPr>
              <w:t>7</w:t>
            </w:r>
            <w:r w:rsidRPr="00AF43A2">
              <w:rPr>
                <w:rFonts w:cstheme="minorHAnsi"/>
                <w:b/>
                <w:color w:val="1E1E1E" w:themeColor="background2"/>
                <w:sz w:val="21"/>
                <w:u w:val="single"/>
              </w:rPr>
              <w:t>:</w:t>
            </w:r>
            <w:r w:rsidR="00A8175A" w:rsidRPr="00AF43A2">
              <w:rPr>
                <w:rFonts w:cstheme="minorHAnsi"/>
                <w:b/>
                <w:color w:val="1E1E1E" w:themeColor="background2"/>
                <w:sz w:val="21"/>
                <w:u w:val="single"/>
              </w:rPr>
              <w:t xml:space="preserve"> RSSH: HEALTH MANAGEMENT INFORMATION SYSTEMS AND M&amp;E</w:t>
            </w:r>
          </w:p>
          <w:p w14:paraId="7C97DD58" w14:textId="1682FF4B" w:rsidR="00CF3827" w:rsidRPr="00AF43A2" w:rsidRDefault="000C1B68" w:rsidP="000A0528">
            <w:pPr>
              <w:pStyle w:val="affff3"/>
              <w:numPr>
                <w:ilvl w:val="1"/>
                <w:numId w:val="31"/>
              </w:numPr>
              <w:spacing w:after="0" w:line="240" w:lineRule="auto"/>
              <w:ind w:left="417" w:hanging="417"/>
              <w:jc w:val="both"/>
              <w:rPr>
                <w:rFonts w:cstheme="minorHAnsi"/>
                <w:color w:val="1E1E1E" w:themeColor="background2"/>
                <w:sz w:val="21"/>
              </w:rPr>
            </w:pPr>
            <w:r w:rsidRPr="00AF43A2">
              <w:rPr>
                <w:rFonts w:cstheme="minorHAnsi"/>
                <w:b/>
                <w:i/>
                <w:color w:val="1E1E1E" w:themeColor="background2"/>
                <w:sz w:val="21"/>
              </w:rPr>
              <w:t>P</w:t>
            </w:r>
            <w:r w:rsidR="005F0694" w:rsidRPr="00AF43A2">
              <w:rPr>
                <w:rFonts w:cstheme="minorHAnsi"/>
                <w:b/>
                <w:i/>
                <w:color w:val="1E1E1E" w:themeColor="background2"/>
                <w:sz w:val="21"/>
              </w:rPr>
              <w:t>rogramme and data quality</w:t>
            </w:r>
            <w:r w:rsidR="00BA5AD1" w:rsidRPr="00AF43A2">
              <w:rPr>
                <w:rFonts w:cstheme="minorHAnsi"/>
                <w:color w:val="1E1E1E" w:themeColor="background2"/>
                <w:sz w:val="21"/>
              </w:rPr>
              <w:t xml:space="preserve"> –</w:t>
            </w:r>
            <w:r w:rsidR="00CF3827" w:rsidRPr="00AF43A2">
              <w:rPr>
                <w:rFonts w:cstheme="minorHAnsi"/>
                <w:color w:val="1E1E1E" w:themeColor="background2"/>
                <w:sz w:val="21"/>
              </w:rPr>
              <w:t xml:space="preserve"> This includes the improvement and roll-out of the </w:t>
            </w:r>
            <w:r w:rsidR="005A1602" w:rsidRPr="00AF43A2">
              <w:rPr>
                <w:rFonts w:cstheme="minorHAnsi"/>
                <w:color w:val="1E1E1E" w:themeColor="background2"/>
                <w:sz w:val="21"/>
              </w:rPr>
              <w:t>Database of Individual Client Records (</w:t>
            </w:r>
            <w:r w:rsidR="00CF3827" w:rsidRPr="00AF43A2">
              <w:rPr>
                <w:rFonts w:cstheme="minorHAnsi"/>
                <w:color w:val="1E1E1E" w:themeColor="background2"/>
                <w:sz w:val="21"/>
              </w:rPr>
              <w:t>DICR</w:t>
            </w:r>
            <w:r w:rsidR="005A1602" w:rsidRPr="00AF43A2">
              <w:rPr>
                <w:rFonts w:cstheme="minorHAnsi"/>
                <w:color w:val="1E1E1E" w:themeColor="background2"/>
                <w:sz w:val="21"/>
              </w:rPr>
              <w:t>)</w:t>
            </w:r>
            <w:r w:rsidR="00CF3827" w:rsidRPr="00AF43A2">
              <w:rPr>
                <w:rFonts w:cstheme="minorHAnsi"/>
                <w:color w:val="1E1E1E" w:themeColor="background2"/>
                <w:sz w:val="21"/>
              </w:rPr>
              <w:t xml:space="preserve"> system, by introducing a system for identifying customers by QR code to all </w:t>
            </w:r>
            <w:r w:rsidR="005A1602" w:rsidRPr="00AF43A2">
              <w:rPr>
                <w:rFonts w:cstheme="minorHAnsi"/>
                <w:color w:val="1E1E1E" w:themeColor="background2"/>
                <w:sz w:val="21"/>
              </w:rPr>
              <w:t>service providers (including CSOs). In addition, the grant will support procurement of equipment to support the DICR system, as well as capacity building.</w:t>
            </w:r>
          </w:p>
          <w:p w14:paraId="5DE70EBB" w14:textId="77777777" w:rsidR="00150DC6" w:rsidRPr="00AF43A2" w:rsidRDefault="00150DC6" w:rsidP="000A0528">
            <w:pPr>
              <w:spacing w:after="0" w:line="240" w:lineRule="auto"/>
              <w:jc w:val="both"/>
              <w:rPr>
                <w:rFonts w:cstheme="minorHAnsi"/>
                <w:b/>
                <w:i/>
                <w:color w:val="1E1E1E" w:themeColor="background2"/>
                <w:sz w:val="8"/>
                <w:szCs w:val="8"/>
                <w:u w:val="single"/>
              </w:rPr>
            </w:pPr>
          </w:p>
          <w:p w14:paraId="07E7A617" w14:textId="5F306E4D" w:rsidR="0000563C" w:rsidRPr="00AF43A2" w:rsidRDefault="0000563C" w:rsidP="000A0528">
            <w:pPr>
              <w:spacing w:after="0" w:line="240" w:lineRule="auto"/>
              <w:jc w:val="both"/>
              <w:rPr>
                <w:rFonts w:cstheme="minorHAnsi"/>
                <w:b/>
                <w:color w:val="1E1E1E" w:themeColor="background2"/>
                <w:sz w:val="21"/>
                <w:u w:val="single"/>
              </w:rPr>
            </w:pPr>
            <w:r w:rsidRPr="00AF43A2">
              <w:rPr>
                <w:rFonts w:cstheme="minorHAnsi"/>
                <w:b/>
                <w:color w:val="1E1E1E" w:themeColor="background2"/>
                <w:sz w:val="21"/>
                <w:u w:val="single"/>
              </w:rPr>
              <w:t xml:space="preserve">Module </w:t>
            </w:r>
            <w:r w:rsidR="00FB43C4" w:rsidRPr="00AF43A2">
              <w:rPr>
                <w:rFonts w:cstheme="minorHAnsi"/>
                <w:b/>
                <w:color w:val="1E1E1E" w:themeColor="background2"/>
                <w:sz w:val="21"/>
                <w:u w:val="single"/>
              </w:rPr>
              <w:t>8</w:t>
            </w:r>
            <w:r w:rsidR="000C1B68" w:rsidRPr="00AF43A2">
              <w:rPr>
                <w:rFonts w:cstheme="minorHAnsi"/>
                <w:b/>
                <w:color w:val="1E1E1E" w:themeColor="background2"/>
                <w:sz w:val="21"/>
                <w:u w:val="single"/>
              </w:rPr>
              <w:t>:</w:t>
            </w:r>
            <w:r w:rsidR="005F0694" w:rsidRPr="00AF43A2">
              <w:rPr>
                <w:rFonts w:cstheme="minorHAnsi"/>
                <w:b/>
                <w:color w:val="1E1E1E" w:themeColor="background2"/>
                <w:sz w:val="21"/>
                <w:u w:val="single"/>
              </w:rPr>
              <w:t xml:space="preserve"> PROGRAMME MANAGEMENT</w:t>
            </w:r>
          </w:p>
          <w:p w14:paraId="18289F62" w14:textId="77777777" w:rsidR="00B2078C" w:rsidRPr="00AF43A2" w:rsidRDefault="005F0694" w:rsidP="000A0528">
            <w:pPr>
              <w:pStyle w:val="affff3"/>
              <w:numPr>
                <w:ilvl w:val="1"/>
                <w:numId w:val="47"/>
              </w:numPr>
              <w:spacing w:after="0" w:line="240" w:lineRule="auto"/>
              <w:jc w:val="both"/>
              <w:rPr>
                <w:rFonts w:cstheme="minorHAnsi"/>
                <w:b/>
                <w:i/>
                <w:color w:val="1E1E1E" w:themeColor="background2"/>
                <w:sz w:val="21"/>
              </w:rPr>
            </w:pPr>
            <w:r w:rsidRPr="00AF43A2">
              <w:rPr>
                <w:rFonts w:cstheme="minorHAnsi"/>
                <w:b/>
                <w:i/>
                <w:color w:val="1E1E1E" w:themeColor="background2"/>
                <w:sz w:val="21"/>
              </w:rPr>
              <w:t>Grant management</w:t>
            </w:r>
            <w:r w:rsidR="005A1602" w:rsidRPr="00AF43A2">
              <w:rPr>
                <w:rFonts w:cstheme="minorHAnsi"/>
                <w:b/>
                <w:i/>
                <w:color w:val="1E1E1E" w:themeColor="background2"/>
                <w:sz w:val="21"/>
              </w:rPr>
              <w:t xml:space="preserve"> – </w:t>
            </w:r>
            <w:r w:rsidR="005A1602" w:rsidRPr="00AF43A2">
              <w:rPr>
                <w:rFonts w:cstheme="minorHAnsi"/>
                <w:color w:val="1E1E1E" w:themeColor="background2"/>
                <w:sz w:val="21"/>
              </w:rPr>
              <w:t>This includes all the activities related to grant management by the PR.</w:t>
            </w:r>
          </w:p>
          <w:p w14:paraId="488E8A1E" w14:textId="7D6B4AFC" w:rsidR="005A1602" w:rsidRPr="00AF43A2" w:rsidRDefault="005A1602" w:rsidP="000A0528">
            <w:pPr>
              <w:spacing w:after="0" w:line="240" w:lineRule="auto"/>
              <w:jc w:val="both"/>
              <w:rPr>
                <w:rFonts w:cstheme="minorHAnsi"/>
                <w:b/>
                <w:i/>
                <w:sz w:val="8"/>
                <w:szCs w:val="8"/>
              </w:rPr>
            </w:pPr>
          </w:p>
        </w:tc>
      </w:tr>
      <w:tr w:rsidR="00C75ACA" w:rsidRPr="00AF43A2" w14:paraId="3AB61975" w14:textId="77777777" w:rsidTr="000E5723">
        <w:trPr>
          <w:trHeight w:val="440"/>
        </w:trPr>
        <w:tc>
          <w:tcPr>
            <w:tcW w:w="1276" w:type="dxa"/>
            <w:shd w:val="clear" w:color="auto" w:fill="F2F2F2"/>
            <w:vAlign w:val="center"/>
          </w:tcPr>
          <w:p w14:paraId="2B8F2AA3" w14:textId="7B559E56" w:rsidR="00C75ACA" w:rsidRPr="00AF43A2" w:rsidRDefault="003C4B9E" w:rsidP="000A0528">
            <w:pPr>
              <w:spacing w:after="0" w:line="240" w:lineRule="auto"/>
              <w:ind w:right="-112"/>
              <w:rPr>
                <w:rFonts w:cstheme="minorHAnsi"/>
              </w:rPr>
            </w:pPr>
            <w:r w:rsidRPr="00AF43A2">
              <w:rPr>
                <w:rFonts w:cstheme="minorHAnsi"/>
              </w:rPr>
              <w:lastRenderedPageBreak/>
              <w:t xml:space="preserve">Priority </w:t>
            </w:r>
            <w:r w:rsidRPr="00AF43A2">
              <w:rPr>
                <w:rFonts w:cstheme="minorHAnsi"/>
                <w:sz w:val="21"/>
              </w:rPr>
              <w:t>populations</w:t>
            </w:r>
          </w:p>
        </w:tc>
        <w:tc>
          <w:tcPr>
            <w:tcW w:w="9074" w:type="dxa"/>
            <w:vAlign w:val="center"/>
          </w:tcPr>
          <w:p w14:paraId="2E638370" w14:textId="7ECF5609" w:rsidR="00C75ACA" w:rsidRPr="00AF43A2" w:rsidRDefault="005F0694" w:rsidP="000A0528">
            <w:pPr>
              <w:spacing w:after="0" w:line="240" w:lineRule="auto"/>
              <w:rPr>
                <w:rFonts w:cstheme="minorHAnsi"/>
              </w:rPr>
            </w:pPr>
            <w:r w:rsidRPr="00AF43A2">
              <w:rPr>
                <w:rFonts w:cstheme="minorHAnsi"/>
                <w:b/>
                <w:i/>
              </w:rPr>
              <w:t>MSM, Transgender people and PWID</w:t>
            </w:r>
            <w:r w:rsidR="000E5723" w:rsidRPr="00AF43A2">
              <w:rPr>
                <w:rFonts w:cstheme="minorHAnsi"/>
              </w:rPr>
              <w:t>: see more details below (“barriers” and “rationale” sections)</w:t>
            </w:r>
          </w:p>
        </w:tc>
      </w:tr>
      <w:tr w:rsidR="00F835B9" w:rsidRPr="00AF43A2" w14:paraId="6EA2E10A" w14:textId="77777777" w:rsidTr="00BC55CC">
        <w:trPr>
          <w:trHeight w:val="798"/>
        </w:trPr>
        <w:tc>
          <w:tcPr>
            <w:tcW w:w="1276" w:type="dxa"/>
            <w:shd w:val="clear" w:color="auto" w:fill="F2F2F2"/>
          </w:tcPr>
          <w:p w14:paraId="238A5AF1" w14:textId="3786107B" w:rsidR="00F835B9" w:rsidRPr="00AF43A2" w:rsidRDefault="00B33A61" w:rsidP="000A0528">
            <w:pPr>
              <w:spacing w:after="0" w:line="240" w:lineRule="auto"/>
              <w:rPr>
                <w:rFonts w:cstheme="minorHAnsi"/>
              </w:rPr>
            </w:pPr>
            <w:r w:rsidRPr="00AF43A2">
              <w:rPr>
                <w:rFonts w:cstheme="minorHAnsi"/>
              </w:rPr>
              <w:t>Barriers and i</w:t>
            </w:r>
            <w:r w:rsidR="00F835B9" w:rsidRPr="00AF43A2">
              <w:rPr>
                <w:rFonts w:cstheme="minorHAnsi"/>
              </w:rPr>
              <w:t>nequities</w:t>
            </w:r>
          </w:p>
        </w:tc>
        <w:tc>
          <w:tcPr>
            <w:tcW w:w="9074" w:type="dxa"/>
            <w:vAlign w:val="center"/>
          </w:tcPr>
          <w:p w14:paraId="51FA133D" w14:textId="7736F628" w:rsidR="00E80AE0" w:rsidRPr="00AF43A2" w:rsidRDefault="000E5723" w:rsidP="000A0528">
            <w:pPr>
              <w:pStyle w:val="affff3"/>
              <w:numPr>
                <w:ilvl w:val="0"/>
                <w:numId w:val="34"/>
              </w:numPr>
              <w:spacing w:after="0" w:line="240" w:lineRule="auto"/>
              <w:ind w:left="267" w:hanging="267"/>
              <w:jc w:val="both"/>
              <w:rPr>
                <w:rFonts w:cstheme="minorHAnsi"/>
                <w:color w:val="1E1E1E" w:themeColor="background2"/>
                <w:sz w:val="21"/>
              </w:rPr>
            </w:pPr>
            <w:r w:rsidRPr="00AF43A2">
              <w:rPr>
                <w:rFonts w:cstheme="minorHAnsi"/>
                <w:b/>
                <w:i/>
                <w:color w:val="1E1E1E" w:themeColor="background2"/>
                <w:sz w:val="21"/>
              </w:rPr>
              <w:t>Stigma &amp; discrimination by health-care workers</w:t>
            </w:r>
            <w:r w:rsidRPr="00AF43A2">
              <w:rPr>
                <w:rFonts w:cstheme="minorHAnsi"/>
                <w:color w:val="1E1E1E" w:themeColor="background2"/>
                <w:sz w:val="21"/>
              </w:rPr>
              <w:t xml:space="preserve"> hamper access to health care in general and to </w:t>
            </w:r>
            <w:r w:rsidR="00402870" w:rsidRPr="00AF43A2">
              <w:rPr>
                <w:rFonts w:cstheme="minorHAnsi"/>
                <w:color w:val="1E1E1E" w:themeColor="background2"/>
                <w:sz w:val="21"/>
              </w:rPr>
              <w:t xml:space="preserve">HIV services and </w:t>
            </w:r>
            <w:r w:rsidRPr="00AF43A2">
              <w:rPr>
                <w:rFonts w:cstheme="minorHAnsi"/>
                <w:color w:val="1E1E1E" w:themeColor="background2"/>
                <w:sz w:val="21"/>
              </w:rPr>
              <w:t>ART in particular</w:t>
            </w:r>
            <w:r w:rsidR="00402870" w:rsidRPr="00AF43A2">
              <w:rPr>
                <w:rFonts w:cstheme="minorHAnsi"/>
                <w:color w:val="1E1E1E" w:themeColor="background2"/>
                <w:sz w:val="21"/>
              </w:rPr>
              <w:t>,</w:t>
            </w:r>
            <w:r w:rsidRPr="00AF43A2">
              <w:rPr>
                <w:rFonts w:cstheme="minorHAnsi"/>
                <w:color w:val="1E1E1E" w:themeColor="background2"/>
                <w:sz w:val="21"/>
              </w:rPr>
              <w:t xml:space="preserve"> for all KPs as well as PLHIV: most often PLHIV in Kazakhstan face some discrimination from health workers: </w:t>
            </w:r>
            <w:r w:rsidR="00402870" w:rsidRPr="00AF43A2">
              <w:rPr>
                <w:rFonts w:cstheme="minorHAnsi"/>
                <w:color w:val="1E1E1E" w:themeColor="background2"/>
                <w:sz w:val="21"/>
              </w:rPr>
              <w:t xml:space="preserve">A Stigma Index study revealed that </w:t>
            </w:r>
            <w:r w:rsidRPr="00AF43A2">
              <w:rPr>
                <w:rFonts w:cstheme="minorHAnsi"/>
                <w:color w:val="1E1E1E" w:themeColor="background2"/>
                <w:sz w:val="21"/>
              </w:rPr>
              <w:t xml:space="preserve">25% of PLHIV faced disclosure of information about their HIV status; one-third of PLHIV did not receive counselling on reproductive capabilities; and 25% of PLHIV were </w:t>
            </w:r>
            <w:r w:rsidR="00402870" w:rsidRPr="00AF43A2">
              <w:rPr>
                <w:rFonts w:cstheme="minorHAnsi"/>
                <w:color w:val="1E1E1E" w:themeColor="background2"/>
                <w:sz w:val="21"/>
              </w:rPr>
              <w:t>told</w:t>
            </w:r>
            <w:r w:rsidRPr="00AF43A2">
              <w:rPr>
                <w:rFonts w:cstheme="minorHAnsi"/>
                <w:color w:val="1E1E1E" w:themeColor="background2"/>
                <w:sz w:val="21"/>
              </w:rPr>
              <w:t xml:space="preserve"> by health-care workers not </w:t>
            </w:r>
            <w:r w:rsidR="00402870" w:rsidRPr="00AF43A2">
              <w:rPr>
                <w:rFonts w:cstheme="minorHAnsi"/>
                <w:color w:val="1E1E1E" w:themeColor="background2"/>
                <w:sz w:val="21"/>
              </w:rPr>
              <w:t xml:space="preserve">to </w:t>
            </w:r>
            <w:r w:rsidRPr="00AF43A2">
              <w:rPr>
                <w:rFonts w:cstheme="minorHAnsi"/>
                <w:color w:val="1E1E1E" w:themeColor="background2"/>
                <w:sz w:val="21"/>
              </w:rPr>
              <w:t>have children. Injecting drug use and having been to prison further increased this stigma and discrimination.</w:t>
            </w:r>
            <w:r w:rsidR="005A1602" w:rsidRPr="00AF43A2">
              <w:rPr>
                <w:rFonts w:cstheme="minorHAnsi"/>
                <w:color w:val="1E1E1E" w:themeColor="background2"/>
                <w:sz w:val="21"/>
              </w:rPr>
              <w:t xml:space="preserve"> </w:t>
            </w:r>
            <w:r w:rsidR="00E80AE0" w:rsidRPr="00AF43A2">
              <w:rPr>
                <w:rFonts w:eastAsia="Calibri" w:cstheme="minorHAnsi"/>
                <w:color w:val="1E1E1E" w:themeColor="background2"/>
                <w:sz w:val="21"/>
                <w:szCs w:val="21"/>
                <w:lang w:val="en-GB"/>
              </w:rPr>
              <w:t xml:space="preserve">Discrimination and social isolation also contribute to increased vulnerability among marginalised groups such as </w:t>
            </w:r>
            <w:r w:rsidR="00E80AE0" w:rsidRPr="00AF43A2">
              <w:rPr>
                <w:rFonts w:eastAsia="Calibri" w:cstheme="minorHAnsi"/>
                <w:i/>
                <w:color w:val="1E1E1E" w:themeColor="background2"/>
                <w:sz w:val="21"/>
                <w:szCs w:val="21"/>
                <w:lang w:val="en-GB"/>
              </w:rPr>
              <w:t>people living with disabilities</w:t>
            </w:r>
            <w:r w:rsidR="00E80AE0" w:rsidRPr="00AF43A2">
              <w:rPr>
                <w:rFonts w:eastAsia="Calibri" w:cstheme="minorHAnsi"/>
                <w:color w:val="1E1E1E" w:themeColor="background2"/>
                <w:sz w:val="21"/>
                <w:szCs w:val="21"/>
                <w:lang w:val="en-GB"/>
              </w:rPr>
              <w:t>.</w:t>
            </w:r>
          </w:p>
          <w:p w14:paraId="7CA879C5" w14:textId="38C81357" w:rsidR="00335EBE" w:rsidRPr="00AF43A2" w:rsidRDefault="00335EBE" w:rsidP="000A0528">
            <w:pPr>
              <w:pStyle w:val="affff3"/>
              <w:numPr>
                <w:ilvl w:val="0"/>
                <w:numId w:val="34"/>
              </w:numPr>
              <w:spacing w:after="0" w:line="240" w:lineRule="auto"/>
              <w:ind w:left="267" w:hanging="267"/>
              <w:jc w:val="both"/>
              <w:rPr>
                <w:rFonts w:cstheme="minorHAnsi"/>
                <w:color w:val="1E1E1E" w:themeColor="background2"/>
                <w:sz w:val="21"/>
              </w:rPr>
            </w:pPr>
            <w:r w:rsidRPr="00AF43A2">
              <w:rPr>
                <w:rFonts w:eastAsia="Calibri" w:cstheme="minorHAnsi"/>
                <w:b/>
                <w:i/>
                <w:color w:val="1E1E1E" w:themeColor="background2"/>
                <w:sz w:val="21"/>
                <w:szCs w:val="21"/>
                <w:lang w:val="en-GB"/>
              </w:rPr>
              <w:t xml:space="preserve">Societal stigma and </w:t>
            </w:r>
            <w:r w:rsidRPr="00042951">
              <w:rPr>
                <w:rFonts w:eastAsia="Calibri" w:cstheme="minorHAnsi"/>
                <w:b/>
                <w:i/>
                <w:color w:val="1E1E1E" w:themeColor="background2"/>
                <w:sz w:val="21"/>
                <w:szCs w:val="21"/>
                <w:lang w:val="en-GB"/>
              </w:rPr>
              <w:t>discrimination of MSM and Transgender people</w:t>
            </w:r>
            <w:r w:rsidRPr="00042951">
              <w:rPr>
                <w:rFonts w:eastAsia="Calibri" w:cstheme="minorHAnsi"/>
                <w:color w:val="1E1E1E" w:themeColor="background2"/>
                <w:sz w:val="21"/>
                <w:szCs w:val="21"/>
                <w:lang w:val="en-GB"/>
              </w:rPr>
              <w:t xml:space="preserve"> –</w:t>
            </w:r>
            <w:r w:rsidRPr="00042951">
              <w:rPr>
                <w:rFonts w:cstheme="minorHAnsi"/>
                <w:color w:val="1E1E1E" w:themeColor="background2"/>
                <w:sz w:val="21"/>
              </w:rPr>
              <w:t xml:space="preserve"> While Kazakhstan decriminalised consensual same-sex conduct in 1998, a climate of intense homophobia remains</w:t>
            </w:r>
            <w:r w:rsidRPr="00042951">
              <w:rPr>
                <w:rFonts w:cstheme="minorHAnsi"/>
                <w:i/>
                <w:color w:val="1E1E1E" w:themeColor="background2"/>
                <w:sz w:val="21"/>
              </w:rPr>
              <w:t xml:space="preserve"> (</w:t>
            </w:r>
            <w:r w:rsidR="0027020E" w:rsidRPr="00042951">
              <w:rPr>
                <w:rFonts w:cstheme="minorHAnsi"/>
                <w:i/>
                <w:color w:val="1E1E1E" w:themeColor="background2"/>
                <w:sz w:val="21"/>
              </w:rPr>
              <w:t>see Annex 3, p</w:t>
            </w:r>
            <w:r w:rsidR="00CF062C" w:rsidRPr="00042951">
              <w:rPr>
                <w:rFonts w:cstheme="minorHAnsi"/>
                <w:i/>
                <w:color w:val="1E1E1E" w:themeColor="background2"/>
                <w:sz w:val="21"/>
              </w:rPr>
              <w:t>p</w:t>
            </w:r>
            <w:r w:rsidR="0027020E" w:rsidRPr="00042951">
              <w:rPr>
                <w:rFonts w:cstheme="minorHAnsi"/>
                <w:i/>
                <w:color w:val="1E1E1E" w:themeColor="background2"/>
                <w:sz w:val="21"/>
              </w:rPr>
              <w:t xml:space="preserve">. </w:t>
            </w:r>
            <w:r w:rsidR="00CF062C" w:rsidRPr="00042951">
              <w:rPr>
                <w:rFonts w:cstheme="minorHAnsi"/>
                <w:i/>
                <w:color w:val="1E1E1E" w:themeColor="background2"/>
                <w:sz w:val="21"/>
              </w:rPr>
              <w:t>11-13</w:t>
            </w:r>
            <w:r w:rsidRPr="00042951">
              <w:rPr>
                <w:rFonts w:cstheme="minorHAnsi"/>
                <w:i/>
                <w:color w:val="1E1E1E" w:themeColor="background2"/>
                <w:sz w:val="21"/>
              </w:rPr>
              <w:t>)</w:t>
            </w:r>
            <w:r w:rsidRPr="00042951">
              <w:rPr>
                <w:rFonts w:cstheme="minorHAnsi"/>
                <w:color w:val="1E1E1E" w:themeColor="background2"/>
                <w:sz w:val="21"/>
              </w:rPr>
              <w:t xml:space="preserve">. Legal recognition of TG people is still very limited. The report </w:t>
            </w:r>
            <w:r w:rsidRPr="00042951">
              <w:rPr>
                <w:rFonts w:cstheme="minorHAnsi"/>
                <w:i/>
                <w:color w:val="1E1E1E" w:themeColor="background2"/>
                <w:sz w:val="21"/>
              </w:rPr>
              <w:t>“That’s When I Realized</w:t>
            </w:r>
            <w:r w:rsidRPr="00AF43A2">
              <w:rPr>
                <w:rFonts w:cstheme="minorHAnsi"/>
                <w:i/>
                <w:color w:val="1E1E1E" w:themeColor="background2"/>
                <w:sz w:val="21"/>
              </w:rPr>
              <w:t xml:space="preserve"> I Was Nobody’: A Climate of Fear for LGBT People in Kazakhstan” </w:t>
            </w:r>
            <w:r w:rsidRPr="00AF43A2">
              <w:rPr>
                <w:rFonts w:cstheme="minorHAnsi"/>
                <w:color w:val="1E1E1E" w:themeColor="background2"/>
                <w:sz w:val="21"/>
              </w:rPr>
              <w:t>(2015) documents pervasive homophobic attitudes, hateful treatment and failure of police and other government agencies to protect LGBT</w:t>
            </w:r>
            <w:r w:rsidR="00784BC6" w:rsidRPr="00AF43A2">
              <w:rPr>
                <w:rFonts w:cstheme="minorHAnsi"/>
                <w:color w:val="1E1E1E" w:themeColor="background2"/>
                <w:sz w:val="21"/>
              </w:rPr>
              <w:t>I</w:t>
            </w:r>
            <w:r w:rsidRPr="00AF43A2">
              <w:rPr>
                <w:rFonts w:cstheme="minorHAnsi"/>
                <w:color w:val="1E1E1E" w:themeColor="background2"/>
                <w:sz w:val="21"/>
              </w:rPr>
              <w:t xml:space="preserve"> in Kazakhstan. </w:t>
            </w:r>
          </w:p>
          <w:p w14:paraId="5868D8B1" w14:textId="77777777" w:rsidR="000E5723" w:rsidRPr="00AF43A2" w:rsidRDefault="000E5723" w:rsidP="000A0528">
            <w:pPr>
              <w:pStyle w:val="affff3"/>
              <w:numPr>
                <w:ilvl w:val="0"/>
                <w:numId w:val="34"/>
              </w:numPr>
              <w:spacing w:after="0" w:line="240" w:lineRule="auto"/>
              <w:ind w:left="267" w:hanging="267"/>
              <w:jc w:val="both"/>
              <w:rPr>
                <w:rFonts w:cstheme="minorHAnsi"/>
                <w:color w:val="1E1E1E" w:themeColor="background2"/>
                <w:sz w:val="21"/>
              </w:rPr>
            </w:pPr>
            <w:r w:rsidRPr="00AF43A2">
              <w:rPr>
                <w:rFonts w:cstheme="minorHAnsi"/>
                <w:b/>
                <w:i/>
                <w:color w:val="1E1E1E" w:themeColor="background2"/>
                <w:sz w:val="21"/>
              </w:rPr>
              <w:t>Police harassment</w:t>
            </w:r>
            <w:r w:rsidRPr="00AF43A2">
              <w:rPr>
                <w:rFonts w:cstheme="minorHAnsi"/>
                <w:color w:val="1E1E1E" w:themeColor="background2"/>
                <w:sz w:val="21"/>
              </w:rPr>
              <w:t xml:space="preserve"> hampers access for PWID and SWs to HIV prevention services.</w:t>
            </w:r>
          </w:p>
          <w:p w14:paraId="494DE8D9" w14:textId="17C4B732" w:rsidR="000E5723" w:rsidRPr="00AF43A2" w:rsidRDefault="000E5723" w:rsidP="000A0528">
            <w:pPr>
              <w:pStyle w:val="affff3"/>
              <w:numPr>
                <w:ilvl w:val="0"/>
                <w:numId w:val="34"/>
              </w:numPr>
              <w:spacing w:after="0" w:line="240" w:lineRule="auto"/>
              <w:ind w:left="267" w:hanging="267"/>
              <w:jc w:val="both"/>
              <w:rPr>
                <w:rFonts w:cstheme="minorHAnsi"/>
                <w:color w:val="1E1E1E" w:themeColor="background2"/>
                <w:sz w:val="21"/>
              </w:rPr>
            </w:pPr>
            <w:r w:rsidRPr="00AF43A2">
              <w:rPr>
                <w:rFonts w:cstheme="minorHAnsi"/>
                <w:b/>
                <w:i/>
                <w:color w:val="1E1E1E" w:themeColor="background2"/>
                <w:sz w:val="21"/>
              </w:rPr>
              <w:t xml:space="preserve">Limited access to HIV prevention services </w:t>
            </w:r>
            <w:r w:rsidRPr="00AF43A2">
              <w:rPr>
                <w:rFonts w:cstheme="minorHAnsi"/>
                <w:b/>
                <w:i/>
                <w:color w:val="404040" w:themeColor="text1"/>
                <w:sz w:val="21"/>
              </w:rPr>
              <w:t>for KPs</w:t>
            </w:r>
            <w:r w:rsidRPr="00AF43A2">
              <w:rPr>
                <w:rFonts w:cstheme="minorHAnsi"/>
                <w:color w:val="404040" w:themeColor="text1"/>
                <w:sz w:val="21"/>
              </w:rPr>
              <w:t>, due to limited prioritisation of KP services in most regions.</w:t>
            </w:r>
            <w:r w:rsidRPr="00AF43A2">
              <w:rPr>
                <w:rFonts w:cstheme="minorHAnsi"/>
                <w:color w:val="404040" w:themeColor="text1"/>
              </w:rPr>
              <w:t xml:space="preserve"> </w:t>
            </w:r>
            <w:r w:rsidRPr="00AF43A2">
              <w:rPr>
                <w:rFonts w:cstheme="minorHAnsi"/>
                <w:color w:val="404040" w:themeColor="text1"/>
                <w:sz w:val="21"/>
              </w:rPr>
              <w:t xml:space="preserve">In principle, the State </w:t>
            </w:r>
            <w:r w:rsidRPr="00AF43A2">
              <w:rPr>
                <w:rFonts w:cstheme="minorHAnsi"/>
                <w:color w:val="1E1E1E" w:themeColor="background2"/>
                <w:sz w:val="21"/>
              </w:rPr>
              <w:t xml:space="preserve">budget covers all condoms and lubricants for </w:t>
            </w:r>
            <w:r w:rsidRPr="00AF43A2">
              <w:rPr>
                <w:rFonts w:cstheme="minorHAnsi"/>
                <w:color w:val="1E1E1E" w:themeColor="background2"/>
                <w:sz w:val="21"/>
              </w:rPr>
              <w:lastRenderedPageBreak/>
              <w:t xml:space="preserve">KPs in all 17 regions, but budget allocations by Regional authorities for condoms and lubricants have been insufficient, resulting in a structural lack of </w:t>
            </w:r>
            <w:r w:rsidR="00402870" w:rsidRPr="00AF43A2">
              <w:rPr>
                <w:rFonts w:cstheme="minorHAnsi"/>
                <w:color w:val="1E1E1E" w:themeColor="background2"/>
                <w:sz w:val="21"/>
              </w:rPr>
              <w:t>these commodities</w:t>
            </w:r>
            <w:r w:rsidRPr="00AF43A2">
              <w:rPr>
                <w:rFonts w:cstheme="minorHAnsi"/>
                <w:color w:val="1E1E1E" w:themeColor="background2"/>
                <w:sz w:val="21"/>
              </w:rPr>
              <w:t>, especially for MSM</w:t>
            </w:r>
            <w:r w:rsidR="005F6AEC" w:rsidRPr="00AF43A2">
              <w:rPr>
                <w:rFonts w:cstheme="minorHAnsi"/>
                <w:b/>
                <w:color w:val="1E1E1E" w:themeColor="background2"/>
                <w:sz w:val="21"/>
              </w:rPr>
              <w:t xml:space="preserve">; </w:t>
            </w:r>
            <w:r w:rsidR="005F6AEC" w:rsidRPr="00AF43A2">
              <w:rPr>
                <w:rFonts w:cstheme="minorHAnsi"/>
                <w:color w:val="1E1E1E" w:themeColor="background2"/>
                <w:sz w:val="21"/>
              </w:rPr>
              <w:t>this is partly due to the fact that MSM were not prioritised as much as PWID in the past, but a sharp increase in HIV prevalence among MSM has increased the need for prevention commodities. I</w:t>
            </w:r>
            <w:r w:rsidRPr="00AF43A2">
              <w:rPr>
                <w:rFonts w:cstheme="minorHAnsi"/>
                <w:color w:val="1E1E1E" w:themeColor="background2"/>
                <w:sz w:val="21"/>
              </w:rPr>
              <w:t>n 2019, the available condoms for MSM met only 57% of the need</w:t>
            </w:r>
            <w:r w:rsidR="00F94B4C" w:rsidRPr="00AF43A2">
              <w:rPr>
                <w:rFonts w:cstheme="minorHAnsi"/>
                <w:color w:val="1E1E1E" w:themeColor="background2"/>
                <w:sz w:val="21"/>
              </w:rPr>
              <w:t xml:space="preserve"> of those MSM reached with services</w:t>
            </w:r>
            <w:r w:rsidRPr="00AF43A2">
              <w:rPr>
                <w:rFonts w:cstheme="minorHAnsi"/>
                <w:color w:val="1E1E1E" w:themeColor="background2"/>
                <w:sz w:val="21"/>
              </w:rPr>
              <w:t xml:space="preserve">; for lubricants this was merely 27%. For PWID, only 77% of the need for condoms </w:t>
            </w:r>
            <w:r w:rsidR="00F94B4C" w:rsidRPr="00AF43A2">
              <w:rPr>
                <w:rFonts w:cstheme="minorHAnsi"/>
                <w:color w:val="1E1E1E" w:themeColor="background2"/>
                <w:sz w:val="21"/>
              </w:rPr>
              <w:t xml:space="preserve">among those reached with services </w:t>
            </w:r>
            <w:r w:rsidRPr="00AF43A2">
              <w:rPr>
                <w:rFonts w:cstheme="minorHAnsi"/>
                <w:color w:val="1E1E1E" w:themeColor="background2"/>
                <w:sz w:val="21"/>
              </w:rPr>
              <w:t>was met.</w:t>
            </w:r>
          </w:p>
          <w:p w14:paraId="4CEAB1E9" w14:textId="5A762D9B" w:rsidR="000E5723" w:rsidRPr="00AF43A2" w:rsidRDefault="001E4A1C" w:rsidP="000A0528">
            <w:pPr>
              <w:pStyle w:val="affff3"/>
              <w:numPr>
                <w:ilvl w:val="0"/>
                <w:numId w:val="34"/>
              </w:numPr>
              <w:spacing w:after="0" w:line="240" w:lineRule="auto"/>
              <w:ind w:left="284" w:hanging="284"/>
              <w:jc w:val="both"/>
              <w:rPr>
                <w:rFonts w:cstheme="minorHAnsi"/>
                <w:color w:val="1E1E1E" w:themeColor="background2"/>
                <w:sz w:val="21"/>
              </w:rPr>
            </w:pPr>
            <w:r w:rsidRPr="00AF43A2">
              <w:rPr>
                <w:rFonts w:cstheme="minorHAnsi"/>
                <w:b/>
                <w:i/>
                <w:color w:val="1E1E1E" w:themeColor="background2"/>
                <w:sz w:val="21"/>
              </w:rPr>
              <w:t>Lack of data and absence of</w:t>
            </w:r>
            <w:r w:rsidR="000E5723" w:rsidRPr="00AF43A2">
              <w:rPr>
                <w:rFonts w:cstheme="minorHAnsi"/>
                <w:b/>
                <w:i/>
                <w:color w:val="1E1E1E" w:themeColor="background2"/>
                <w:sz w:val="21"/>
              </w:rPr>
              <w:t xml:space="preserve"> HIV services tailored to the </w:t>
            </w:r>
            <w:r w:rsidR="00402870" w:rsidRPr="00AF43A2">
              <w:rPr>
                <w:rFonts w:cstheme="minorHAnsi"/>
                <w:b/>
                <w:i/>
                <w:color w:val="1E1E1E" w:themeColor="background2"/>
                <w:sz w:val="21"/>
              </w:rPr>
              <w:t xml:space="preserve">specific </w:t>
            </w:r>
            <w:r w:rsidR="000E5723" w:rsidRPr="00AF43A2">
              <w:rPr>
                <w:rFonts w:cstheme="minorHAnsi"/>
                <w:b/>
                <w:i/>
                <w:color w:val="1E1E1E" w:themeColor="background2"/>
                <w:sz w:val="21"/>
              </w:rPr>
              <w:t xml:space="preserve">needs </w:t>
            </w:r>
            <w:r w:rsidR="000E5723" w:rsidRPr="00AF43A2">
              <w:rPr>
                <w:rFonts w:cstheme="minorHAnsi"/>
                <w:b/>
                <w:i/>
                <w:color w:val="404040" w:themeColor="text1"/>
                <w:sz w:val="21"/>
              </w:rPr>
              <w:t xml:space="preserve">of transgender people: </w:t>
            </w:r>
            <w:r w:rsidR="000E5723" w:rsidRPr="00AF43A2">
              <w:rPr>
                <w:rFonts w:cstheme="minorHAnsi"/>
                <w:color w:val="404040" w:themeColor="text1"/>
                <w:sz w:val="21"/>
              </w:rPr>
              <w:t>despite the distinct risk behaviours and vulnerabilities of TG people, they are not specifically targeted.</w:t>
            </w:r>
          </w:p>
          <w:p w14:paraId="62B812C1" w14:textId="498D0398" w:rsidR="000E5723" w:rsidRPr="00042951" w:rsidRDefault="000E5723" w:rsidP="000A0528">
            <w:pPr>
              <w:pStyle w:val="affff3"/>
              <w:numPr>
                <w:ilvl w:val="0"/>
                <w:numId w:val="34"/>
              </w:numPr>
              <w:spacing w:after="0" w:line="240" w:lineRule="auto"/>
              <w:ind w:left="284" w:hanging="284"/>
              <w:jc w:val="both"/>
              <w:rPr>
                <w:rFonts w:cstheme="minorHAnsi"/>
                <w:color w:val="404040" w:themeColor="text1"/>
                <w:sz w:val="21"/>
                <w:szCs w:val="21"/>
              </w:rPr>
            </w:pPr>
            <w:r w:rsidRPr="00AF43A2">
              <w:rPr>
                <w:rFonts w:cstheme="minorHAnsi"/>
                <w:b/>
                <w:i/>
                <w:color w:val="1E1E1E" w:themeColor="background2"/>
                <w:sz w:val="21"/>
                <w:szCs w:val="21"/>
              </w:rPr>
              <w:t>Access to testing, ART and proper follow-up still face challenges</w:t>
            </w:r>
            <w:r w:rsidRPr="00AF43A2">
              <w:rPr>
                <w:rFonts w:cstheme="minorHAnsi"/>
                <w:color w:val="1E1E1E" w:themeColor="background2"/>
                <w:sz w:val="21"/>
                <w:szCs w:val="21"/>
              </w:rPr>
              <w:t>: the current status of the 90-90-90 test-treatment cascade targets is 8</w:t>
            </w:r>
            <w:r w:rsidR="00B96D7B">
              <w:rPr>
                <w:rFonts w:cstheme="minorHAnsi"/>
                <w:color w:val="1E1E1E" w:themeColor="background2"/>
                <w:sz w:val="21"/>
                <w:szCs w:val="21"/>
              </w:rPr>
              <w:t>2</w:t>
            </w:r>
            <w:r w:rsidRPr="00AF43A2">
              <w:rPr>
                <w:rFonts w:cstheme="minorHAnsi"/>
                <w:color w:val="1E1E1E" w:themeColor="background2"/>
                <w:sz w:val="21"/>
                <w:szCs w:val="21"/>
              </w:rPr>
              <w:t>-6</w:t>
            </w:r>
            <w:r w:rsidR="00B96D7B">
              <w:rPr>
                <w:rFonts w:cstheme="minorHAnsi"/>
                <w:color w:val="1E1E1E" w:themeColor="background2"/>
                <w:sz w:val="21"/>
                <w:szCs w:val="21"/>
              </w:rPr>
              <w:t>8</w:t>
            </w:r>
            <w:r w:rsidRPr="00AF43A2">
              <w:rPr>
                <w:rFonts w:cstheme="minorHAnsi"/>
                <w:color w:val="1E1E1E" w:themeColor="background2"/>
                <w:sz w:val="21"/>
                <w:szCs w:val="21"/>
              </w:rPr>
              <w:t>-</w:t>
            </w:r>
            <w:r w:rsidR="00B96D7B">
              <w:rPr>
                <w:rFonts w:cstheme="minorHAnsi"/>
                <w:color w:val="1E1E1E" w:themeColor="background2"/>
                <w:sz w:val="21"/>
                <w:szCs w:val="21"/>
              </w:rPr>
              <w:t>78</w:t>
            </w:r>
            <w:r w:rsidRPr="00AF43A2">
              <w:rPr>
                <w:rFonts w:cstheme="minorHAnsi"/>
                <w:color w:val="1E1E1E" w:themeColor="background2"/>
                <w:sz w:val="21"/>
                <w:szCs w:val="21"/>
              </w:rPr>
              <w:t>. Overall awareness of HIV status among PLHIV is 8</w:t>
            </w:r>
            <w:r w:rsidR="00B96D7B">
              <w:rPr>
                <w:rFonts w:cstheme="minorHAnsi"/>
                <w:color w:val="1E1E1E" w:themeColor="background2"/>
                <w:sz w:val="21"/>
                <w:szCs w:val="21"/>
              </w:rPr>
              <w:t>2</w:t>
            </w:r>
            <w:r w:rsidRPr="00AF43A2">
              <w:rPr>
                <w:rFonts w:cstheme="minorHAnsi"/>
                <w:color w:val="1E1E1E" w:themeColor="background2"/>
                <w:sz w:val="21"/>
                <w:szCs w:val="21"/>
              </w:rPr>
              <w:t xml:space="preserve">%, but varies across regions: e.g. only 68% of PLHIV in Turkestan know their status. Access to testing is lower among KPs: active HIV testing </w:t>
            </w:r>
            <w:r w:rsidR="001E4A1C" w:rsidRPr="00AF43A2">
              <w:rPr>
                <w:rFonts w:cstheme="minorHAnsi"/>
                <w:color w:val="1E1E1E" w:themeColor="background2"/>
                <w:sz w:val="21"/>
                <w:szCs w:val="21"/>
              </w:rPr>
              <w:t xml:space="preserve">through community outreach </w:t>
            </w:r>
            <w:r w:rsidRPr="00AF43A2">
              <w:rPr>
                <w:rFonts w:cstheme="minorHAnsi"/>
                <w:color w:val="1E1E1E" w:themeColor="background2"/>
                <w:sz w:val="21"/>
                <w:szCs w:val="21"/>
              </w:rPr>
              <w:t>represents only one-fifth (20,4%) of all testing. HIV testing coverage for KPs is highest among SWs (69.8%) but considerably lower for PWID (39.5%); and very low for MSM (7.8%). This is the result of limited access to services for MSM, as they have not been adequately prioritised.</w:t>
            </w:r>
            <w:r w:rsidR="00F145ED" w:rsidRPr="00AF43A2">
              <w:rPr>
                <w:rFonts w:cstheme="minorHAnsi"/>
                <w:color w:val="1E1E1E" w:themeColor="background2"/>
                <w:sz w:val="21"/>
                <w:szCs w:val="21"/>
              </w:rPr>
              <w:t xml:space="preserve"> A recent evaluation revealed that KPs considered the lack of broader access to community-based testing, either at NGO premises or as self-testing, as a major issue, due to their widespread concerns about confidentiality and stigma</w:t>
            </w:r>
            <w:r w:rsidR="00C2573B" w:rsidRPr="00AF43A2">
              <w:rPr>
                <w:rFonts w:cstheme="minorHAnsi"/>
                <w:color w:val="1E1E1E" w:themeColor="background2"/>
                <w:sz w:val="21"/>
                <w:szCs w:val="21"/>
              </w:rPr>
              <w:t xml:space="preserve"> by health-care workers</w:t>
            </w:r>
            <w:r w:rsidR="00F145ED" w:rsidRPr="00AF43A2">
              <w:rPr>
                <w:rFonts w:cstheme="minorHAnsi"/>
                <w:color w:val="1E1E1E" w:themeColor="background2"/>
                <w:sz w:val="21"/>
                <w:szCs w:val="21"/>
              </w:rPr>
              <w:t>. Trust points at Polyclinics were seen as particularly high risk for being seen by others.</w:t>
            </w:r>
            <w:r w:rsidRPr="00AF43A2">
              <w:rPr>
                <w:rFonts w:cstheme="minorHAnsi"/>
                <w:color w:val="1E1E1E" w:themeColor="background2"/>
                <w:sz w:val="21"/>
                <w:szCs w:val="21"/>
              </w:rPr>
              <w:t xml:space="preserve"> </w:t>
            </w:r>
            <w:r w:rsidR="00F145ED" w:rsidRPr="00AF43A2">
              <w:rPr>
                <w:rFonts w:cstheme="minorHAnsi"/>
                <w:color w:val="1E1E1E" w:themeColor="background2"/>
                <w:sz w:val="21"/>
                <w:szCs w:val="21"/>
              </w:rPr>
              <w:t xml:space="preserve">In addition, </w:t>
            </w:r>
            <w:r w:rsidR="001E4A1C" w:rsidRPr="00AF43A2">
              <w:rPr>
                <w:rFonts w:cstheme="minorHAnsi"/>
                <w:color w:val="1E1E1E" w:themeColor="background2"/>
                <w:sz w:val="21"/>
                <w:szCs w:val="21"/>
              </w:rPr>
              <w:t>the new regulations regarding</w:t>
            </w:r>
            <w:r w:rsidR="00F145ED" w:rsidRPr="00AF43A2">
              <w:rPr>
                <w:rFonts w:cstheme="minorHAnsi"/>
                <w:color w:val="1E1E1E" w:themeColor="background2"/>
                <w:sz w:val="21"/>
                <w:szCs w:val="21"/>
              </w:rPr>
              <w:t xml:space="preserve"> anonymous testing, due to recent changes of the HIV-testing </w:t>
            </w:r>
            <w:r w:rsidR="00F145ED" w:rsidRPr="00042951">
              <w:rPr>
                <w:rFonts w:cstheme="minorHAnsi"/>
                <w:color w:val="1E1E1E" w:themeColor="background2"/>
                <w:sz w:val="21"/>
                <w:szCs w:val="21"/>
              </w:rPr>
              <w:t>regulations, which now require ID cards for all ELISA testing, create an additional barrier to testing</w:t>
            </w:r>
            <w:r w:rsidR="00F145ED" w:rsidRPr="00042951">
              <w:rPr>
                <w:rFonts w:cstheme="minorHAnsi"/>
                <w:i/>
                <w:color w:val="1E1E1E" w:themeColor="background2"/>
                <w:sz w:val="21"/>
                <w:szCs w:val="21"/>
              </w:rPr>
              <w:t xml:space="preserve"> (</w:t>
            </w:r>
            <w:r w:rsidR="00CF062C" w:rsidRPr="00042951">
              <w:rPr>
                <w:rFonts w:cstheme="minorHAnsi"/>
                <w:i/>
                <w:color w:val="1E1E1E" w:themeColor="background2"/>
                <w:sz w:val="21"/>
                <w:szCs w:val="21"/>
              </w:rPr>
              <w:t>see Annex 10; p. 15</w:t>
            </w:r>
            <w:r w:rsidR="00F145ED" w:rsidRPr="00042951">
              <w:rPr>
                <w:rFonts w:cstheme="minorHAnsi"/>
                <w:i/>
                <w:color w:val="1E1E1E" w:themeColor="background2"/>
                <w:sz w:val="21"/>
                <w:szCs w:val="21"/>
              </w:rPr>
              <w:t>).</w:t>
            </w:r>
            <w:r w:rsidR="00A0143F" w:rsidRPr="00042951">
              <w:rPr>
                <w:rFonts w:cstheme="minorHAnsi"/>
                <w:i/>
                <w:color w:val="1E1E1E" w:themeColor="background2"/>
                <w:sz w:val="21"/>
                <w:szCs w:val="21"/>
              </w:rPr>
              <w:t xml:space="preserve"> </w:t>
            </w:r>
            <w:r w:rsidRPr="00042951">
              <w:rPr>
                <w:rFonts w:cstheme="minorHAnsi"/>
                <w:color w:val="1E1E1E" w:themeColor="background2"/>
                <w:sz w:val="21"/>
                <w:szCs w:val="21"/>
              </w:rPr>
              <w:t xml:space="preserve">To date, </w:t>
            </w:r>
            <w:r w:rsidR="00F145ED" w:rsidRPr="00042951">
              <w:rPr>
                <w:rFonts w:cstheme="minorHAnsi"/>
                <w:color w:val="1E1E1E" w:themeColor="background2"/>
                <w:sz w:val="21"/>
                <w:szCs w:val="21"/>
              </w:rPr>
              <w:t xml:space="preserve">however, </w:t>
            </w:r>
            <w:r w:rsidRPr="00042951">
              <w:rPr>
                <w:rFonts w:cstheme="minorHAnsi"/>
                <w:color w:val="1E1E1E" w:themeColor="background2"/>
                <w:sz w:val="21"/>
                <w:szCs w:val="21"/>
              </w:rPr>
              <w:t xml:space="preserve">community-based testing with rapid oral tests has been very limited; and most </w:t>
            </w:r>
            <w:r w:rsidRPr="00042951">
              <w:rPr>
                <w:rFonts w:cstheme="minorHAnsi"/>
                <w:color w:val="404040" w:themeColor="text1"/>
                <w:sz w:val="21"/>
                <w:szCs w:val="21"/>
              </w:rPr>
              <w:t>testing is blood-based, hence dependent on medical staff at AIDS Centres; which limits access for KPs.</w:t>
            </w:r>
          </w:p>
          <w:p w14:paraId="4AB47185" w14:textId="77777777" w:rsidR="000E5723" w:rsidRPr="00042951" w:rsidRDefault="000E5723" w:rsidP="000A0528">
            <w:pPr>
              <w:pStyle w:val="affff3"/>
              <w:numPr>
                <w:ilvl w:val="0"/>
                <w:numId w:val="34"/>
              </w:numPr>
              <w:spacing w:after="0" w:line="240" w:lineRule="auto"/>
              <w:ind w:left="284" w:hanging="284"/>
              <w:jc w:val="both"/>
              <w:rPr>
                <w:rFonts w:cstheme="minorHAnsi"/>
                <w:color w:val="404040" w:themeColor="text1"/>
                <w:sz w:val="21"/>
                <w:szCs w:val="21"/>
              </w:rPr>
            </w:pPr>
            <w:r w:rsidRPr="00042951">
              <w:rPr>
                <w:rFonts w:cstheme="minorHAnsi"/>
                <w:b/>
                <w:i/>
                <w:color w:val="404040" w:themeColor="text1"/>
                <w:sz w:val="21"/>
                <w:szCs w:val="21"/>
              </w:rPr>
              <w:t xml:space="preserve">PrEP is not available in Kazakhstan: </w:t>
            </w:r>
            <w:r w:rsidRPr="00042951">
              <w:rPr>
                <w:rFonts w:cstheme="minorHAnsi"/>
                <w:color w:val="404040" w:themeColor="text1"/>
                <w:sz w:val="21"/>
                <w:szCs w:val="21"/>
              </w:rPr>
              <w:t>this is particularly important for KPs who engage in high-risk behaviours, and have limited access to HIV-prevention services, such as MSM and TG people.</w:t>
            </w:r>
          </w:p>
          <w:p w14:paraId="0773DB61" w14:textId="6BEEB782" w:rsidR="000E5723" w:rsidRPr="00AF43A2" w:rsidRDefault="000E5723" w:rsidP="000A0528">
            <w:pPr>
              <w:pStyle w:val="affff3"/>
              <w:numPr>
                <w:ilvl w:val="0"/>
                <w:numId w:val="34"/>
              </w:numPr>
              <w:spacing w:after="0" w:line="240" w:lineRule="auto"/>
              <w:ind w:left="284" w:hanging="284"/>
              <w:jc w:val="both"/>
              <w:rPr>
                <w:rFonts w:cstheme="minorHAnsi"/>
                <w:color w:val="1E1E1E" w:themeColor="background2"/>
                <w:sz w:val="21"/>
                <w:szCs w:val="21"/>
              </w:rPr>
            </w:pPr>
            <w:r w:rsidRPr="00042951">
              <w:rPr>
                <w:rFonts w:cstheme="minorHAnsi"/>
                <w:b/>
                <w:i/>
                <w:color w:val="404040" w:themeColor="text1"/>
                <w:sz w:val="21"/>
                <w:szCs w:val="21"/>
              </w:rPr>
              <w:t>Enrolment in ART is relatively low</w:t>
            </w:r>
            <w:r w:rsidRPr="00042951">
              <w:rPr>
                <w:rFonts w:cstheme="minorHAnsi"/>
                <w:color w:val="404040" w:themeColor="text1"/>
                <w:sz w:val="21"/>
                <w:szCs w:val="21"/>
              </w:rPr>
              <w:t>: at the end of 2019, only 68% of PLHIV who know their HIV status (n=17,535) were on ART; and of these PLHIV on ART, only 78% (n=13,605) had viral suppression</w:t>
            </w:r>
            <w:r w:rsidRPr="00042951">
              <w:rPr>
                <w:rFonts w:cstheme="minorHAnsi"/>
                <w:color w:val="1E1E1E" w:themeColor="background2"/>
                <w:sz w:val="21"/>
                <w:szCs w:val="21"/>
              </w:rPr>
              <w:t xml:space="preserve">. Thus only 43% of all PLHIV had viral suppression. </w:t>
            </w:r>
            <w:r w:rsidR="00342807" w:rsidRPr="00042951">
              <w:rPr>
                <w:rFonts w:cstheme="minorHAnsi"/>
                <w:color w:val="1E1E1E" w:themeColor="background2"/>
                <w:sz w:val="21"/>
                <w:szCs w:val="21"/>
              </w:rPr>
              <w:t xml:space="preserve">This is partly due to delays in getting PLHIV enrolled in ART: the duration from first HIV test till confirmation is about two weeks to one month; and from first HIV test to initiation of ART about one to one and a half month </w:t>
            </w:r>
            <w:r w:rsidR="00CF062C" w:rsidRPr="00042951">
              <w:rPr>
                <w:rFonts w:cstheme="minorHAnsi"/>
                <w:i/>
                <w:color w:val="1E1E1E" w:themeColor="background2"/>
                <w:sz w:val="21"/>
                <w:szCs w:val="21"/>
              </w:rPr>
              <w:t xml:space="preserve">(see Annex 10; p. 15). </w:t>
            </w:r>
            <w:r w:rsidR="00342807" w:rsidRPr="00042951">
              <w:rPr>
                <w:rFonts w:cstheme="minorHAnsi"/>
                <w:color w:val="1E1E1E" w:themeColor="background2"/>
                <w:sz w:val="21"/>
                <w:szCs w:val="21"/>
              </w:rPr>
              <w:t>In</w:t>
            </w:r>
            <w:r w:rsidRPr="00042951">
              <w:rPr>
                <w:rFonts w:cstheme="minorHAnsi"/>
                <w:color w:val="FF0000"/>
                <w:sz w:val="21"/>
                <w:szCs w:val="21"/>
              </w:rPr>
              <w:t xml:space="preserve"> </w:t>
            </w:r>
            <w:r w:rsidRPr="00042951">
              <w:rPr>
                <w:rFonts w:cstheme="minorHAnsi"/>
                <w:color w:val="404040" w:themeColor="text1"/>
                <w:sz w:val="21"/>
                <w:szCs w:val="21"/>
              </w:rPr>
              <w:t>the past 3 years, there have been problems with the timely delivery of ARV drugs, which led</w:t>
            </w:r>
            <w:r w:rsidRPr="00AF43A2">
              <w:rPr>
                <w:rFonts w:cstheme="minorHAnsi"/>
                <w:color w:val="404040" w:themeColor="text1"/>
                <w:sz w:val="21"/>
                <w:szCs w:val="21"/>
              </w:rPr>
              <w:t xml:space="preserve"> to replacement of treatment regimens in patients, abandonment of ART and late initiation of ART. In 2019, 543 ART patients were lost to follow up.</w:t>
            </w:r>
          </w:p>
          <w:p w14:paraId="02B3C679" w14:textId="6C98DD1F" w:rsidR="000E5723" w:rsidRPr="00AF43A2" w:rsidRDefault="000E5723" w:rsidP="000A0528">
            <w:pPr>
              <w:pStyle w:val="affff3"/>
              <w:numPr>
                <w:ilvl w:val="0"/>
                <w:numId w:val="34"/>
              </w:numPr>
              <w:spacing w:after="0" w:line="240" w:lineRule="auto"/>
              <w:ind w:left="284" w:hanging="284"/>
              <w:jc w:val="both"/>
              <w:rPr>
                <w:rFonts w:cstheme="minorHAnsi"/>
                <w:color w:val="1E1E1E" w:themeColor="background2"/>
                <w:sz w:val="21"/>
                <w:szCs w:val="21"/>
              </w:rPr>
            </w:pPr>
            <w:r w:rsidRPr="00AF43A2">
              <w:rPr>
                <w:rFonts w:cstheme="minorHAnsi"/>
                <w:color w:val="1E1E1E" w:themeColor="background2"/>
                <w:sz w:val="21"/>
                <w:szCs w:val="21"/>
              </w:rPr>
              <w:t xml:space="preserve">In addition, </w:t>
            </w:r>
            <w:r w:rsidRPr="00AF43A2">
              <w:rPr>
                <w:rFonts w:cstheme="minorHAnsi"/>
                <w:b/>
                <w:i/>
                <w:color w:val="1E1E1E" w:themeColor="background2"/>
                <w:sz w:val="21"/>
                <w:szCs w:val="21"/>
              </w:rPr>
              <w:t>undocumented migrants with HIV</w:t>
            </w:r>
            <w:r w:rsidR="00402870" w:rsidRPr="00AF43A2">
              <w:rPr>
                <w:rFonts w:cstheme="minorHAnsi"/>
                <w:b/>
                <w:i/>
                <w:color w:val="1E1E1E" w:themeColor="background2"/>
                <w:sz w:val="21"/>
                <w:szCs w:val="21"/>
              </w:rPr>
              <w:t xml:space="preserve"> do not have access to free-of-charge ART</w:t>
            </w:r>
            <w:r w:rsidRPr="00AF43A2">
              <w:rPr>
                <w:rFonts w:cstheme="minorHAnsi"/>
                <w:b/>
                <w:i/>
                <w:color w:val="1E1E1E" w:themeColor="background2"/>
                <w:sz w:val="21"/>
                <w:szCs w:val="21"/>
              </w:rPr>
              <w:t>:</w:t>
            </w:r>
            <w:r w:rsidRPr="00AF43A2">
              <w:rPr>
                <w:rFonts w:cstheme="minorHAnsi"/>
                <w:color w:val="1E1E1E" w:themeColor="background2"/>
                <w:sz w:val="21"/>
                <w:szCs w:val="21"/>
              </w:rPr>
              <w:t xml:space="preserve"> due to their legal status, the State cannot provide them with free ART.</w:t>
            </w:r>
          </w:p>
          <w:p w14:paraId="45D1C635" w14:textId="42754E7D" w:rsidR="000E5723" w:rsidRPr="00AF43A2" w:rsidRDefault="000E5723" w:rsidP="000A0528">
            <w:pPr>
              <w:pStyle w:val="affff3"/>
              <w:numPr>
                <w:ilvl w:val="0"/>
                <w:numId w:val="34"/>
              </w:numPr>
              <w:spacing w:after="0" w:line="240" w:lineRule="auto"/>
              <w:ind w:left="284" w:hanging="284"/>
              <w:jc w:val="both"/>
              <w:rPr>
                <w:rFonts w:cstheme="minorHAnsi"/>
                <w:color w:val="1E1E1E" w:themeColor="background2"/>
                <w:sz w:val="21"/>
              </w:rPr>
            </w:pPr>
            <w:r w:rsidRPr="00AF43A2">
              <w:rPr>
                <w:rFonts w:cstheme="minorHAnsi"/>
                <w:b/>
                <w:i/>
                <w:color w:val="1E1E1E" w:themeColor="background2"/>
                <w:sz w:val="21"/>
              </w:rPr>
              <w:t>OST availability is very limited and coverage very low</w:t>
            </w:r>
            <w:r w:rsidRPr="00AF43A2">
              <w:rPr>
                <w:rFonts w:cstheme="minorHAnsi"/>
                <w:color w:val="1E1E1E" w:themeColor="background2"/>
                <w:sz w:val="21"/>
              </w:rPr>
              <w:t xml:space="preserve">, due to systematic opposition to OST by certain sectors of Government as well as some </w:t>
            </w:r>
            <w:r w:rsidR="00402870" w:rsidRPr="00AF43A2">
              <w:rPr>
                <w:rFonts w:cstheme="minorHAnsi"/>
                <w:color w:val="1E1E1E" w:themeColor="background2"/>
                <w:sz w:val="21"/>
              </w:rPr>
              <w:t>sectors of society</w:t>
            </w:r>
            <w:r w:rsidRPr="00AF43A2">
              <w:rPr>
                <w:rFonts w:cstheme="minorHAnsi"/>
                <w:color w:val="1E1E1E" w:themeColor="background2"/>
                <w:sz w:val="21"/>
              </w:rPr>
              <w:t xml:space="preserve"> that </w:t>
            </w:r>
            <w:r w:rsidR="00402870" w:rsidRPr="00AF43A2">
              <w:rPr>
                <w:rFonts w:cstheme="minorHAnsi"/>
                <w:color w:val="1E1E1E" w:themeColor="background2"/>
                <w:sz w:val="21"/>
              </w:rPr>
              <w:t xml:space="preserve">have </w:t>
            </w:r>
            <w:r w:rsidRPr="00AF43A2">
              <w:rPr>
                <w:rFonts w:cstheme="minorHAnsi"/>
                <w:color w:val="1E1E1E" w:themeColor="background2"/>
                <w:sz w:val="21"/>
              </w:rPr>
              <w:t>run active anti-OST campaigns. Although OST was already introduced in 2008, coverage is still extremely low: in May 2020, a mere 284 clients received OST, just 3.3% of all registered people with opioid addiction.</w:t>
            </w:r>
            <w:r w:rsidR="00C2573B" w:rsidRPr="00AF43A2">
              <w:rPr>
                <w:rFonts w:cstheme="minorHAnsi"/>
                <w:color w:val="1E1E1E" w:themeColor="background2"/>
                <w:sz w:val="21"/>
              </w:rPr>
              <w:t xml:space="preserve"> This is even lower when compared to the total estimated number of PWID.</w:t>
            </w:r>
          </w:p>
          <w:p w14:paraId="1BADA637" w14:textId="6474A57D" w:rsidR="000E5723" w:rsidRPr="00AF43A2" w:rsidRDefault="000E5723" w:rsidP="000A0528">
            <w:pPr>
              <w:pStyle w:val="affff3"/>
              <w:numPr>
                <w:ilvl w:val="0"/>
                <w:numId w:val="34"/>
              </w:numPr>
              <w:spacing w:after="0" w:line="240" w:lineRule="auto"/>
              <w:ind w:left="284" w:hanging="284"/>
              <w:jc w:val="both"/>
              <w:rPr>
                <w:rFonts w:cstheme="minorHAnsi"/>
                <w:color w:val="1E1E1E" w:themeColor="background2"/>
                <w:sz w:val="21"/>
              </w:rPr>
            </w:pPr>
            <w:r w:rsidRPr="00AF43A2">
              <w:rPr>
                <w:rFonts w:cstheme="minorHAnsi"/>
                <w:b/>
                <w:i/>
                <w:color w:val="1E1E1E" w:themeColor="background2"/>
                <w:sz w:val="21"/>
              </w:rPr>
              <w:t xml:space="preserve">Very limited access to overdose </w:t>
            </w:r>
            <w:r w:rsidR="0015163B" w:rsidRPr="00AF43A2">
              <w:rPr>
                <w:rFonts w:cstheme="minorHAnsi"/>
                <w:b/>
                <w:i/>
                <w:color w:val="1E1E1E" w:themeColor="background2"/>
                <w:sz w:val="21"/>
              </w:rPr>
              <w:t xml:space="preserve">(OD) </w:t>
            </w:r>
            <w:r w:rsidRPr="00AF43A2">
              <w:rPr>
                <w:rFonts w:cstheme="minorHAnsi"/>
                <w:b/>
                <w:i/>
                <w:color w:val="1E1E1E" w:themeColor="background2"/>
                <w:sz w:val="21"/>
              </w:rPr>
              <w:t xml:space="preserve">treatment for PWID: </w:t>
            </w:r>
            <w:r w:rsidRPr="00AF43A2">
              <w:rPr>
                <w:rFonts w:cstheme="minorHAnsi"/>
                <w:color w:val="1E1E1E" w:themeColor="background2"/>
                <w:sz w:val="21"/>
              </w:rPr>
              <w:t xml:space="preserve">despite an 18% increase of overdoses from 2018 to 2019, access to Naloxone at the community level is extremely limited, resulting in many </w:t>
            </w:r>
            <w:r w:rsidR="00C2573B" w:rsidRPr="00AF43A2">
              <w:rPr>
                <w:rFonts w:cstheme="minorHAnsi"/>
                <w:color w:val="1E1E1E" w:themeColor="background2"/>
                <w:sz w:val="21"/>
              </w:rPr>
              <w:t>preventable</w:t>
            </w:r>
            <w:r w:rsidRPr="00AF43A2">
              <w:rPr>
                <w:rFonts w:cstheme="minorHAnsi"/>
                <w:color w:val="1E1E1E" w:themeColor="background2"/>
                <w:sz w:val="21"/>
              </w:rPr>
              <w:t xml:space="preserve"> deaths.</w:t>
            </w:r>
          </w:p>
          <w:p w14:paraId="6FCE56FB" w14:textId="49CE14E6" w:rsidR="000E5723" w:rsidRPr="00AF43A2" w:rsidRDefault="000E5723" w:rsidP="000A0528">
            <w:pPr>
              <w:pStyle w:val="affff3"/>
              <w:numPr>
                <w:ilvl w:val="0"/>
                <w:numId w:val="34"/>
              </w:numPr>
              <w:spacing w:after="0" w:line="240" w:lineRule="auto"/>
              <w:ind w:left="284" w:hanging="284"/>
              <w:jc w:val="both"/>
              <w:rPr>
                <w:rFonts w:cstheme="minorHAnsi"/>
                <w:color w:val="1E1E1E" w:themeColor="background2"/>
                <w:sz w:val="21"/>
              </w:rPr>
            </w:pPr>
            <w:r w:rsidRPr="00AF43A2">
              <w:rPr>
                <w:rFonts w:cstheme="minorHAnsi"/>
                <w:b/>
                <w:i/>
                <w:color w:val="1E1E1E" w:themeColor="background2"/>
                <w:sz w:val="21"/>
              </w:rPr>
              <w:t>There is no access to harm reduction services for PWID in prisons</w:t>
            </w:r>
            <w:r w:rsidRPr="00AF43A2">
              <w:rPr>
                <w:rFonts w:cstheme="minorHAnsi"/>
                <w:color w:val="1E1E1E" w:themeColor="background2"/>
                <w:sz w:val="21"/>
              </w:rPr>
              <w:t>: this results in interruption of OST, and problems with overdoses after release from prison.</w:t>
            </w:r>
            <w:r w:rsidR="00A34937" w:rsidRPr="00AF43A2">
              <w:rPr>
                <w:rFonts w:cstheme="minorHAnsi"/>
                <w:color w:val="1E1E1E" w:themeColor="background2"/>
                <w:sz w:val="21"/>
              </w:rPr>
              <w:t xml:space="preserve"> The funding request does not address this issue, as it is an element of ongoing policy discussions.</w:t>
            </w:r>
          </w:p>
          <w:p w14:paraId="59EBD491" w14:textId="35CCBC02" w:rsidR="000E5723" w:rsidRPr="00AF43A2" w:rsidRDefault="000E5723" w:rsidP="000A0528">
            <w:pPr>
              <w:pStyle w:val="affff3"/>
              <w:numPr>
                <w:ilvl w:val="0"/>
                <w:numId w:val="34"/>
              </w:numPr>
              <w:spacing w:after="0" w:line="240" w:lineRule="auto"/>
              <w:ind w:left="284" w:hanging="284"/>
              <w:jc w:val="both"/>
              <w:rPr>
                <w:rFonts w:cstheme="minorHAnsi"/>
                <w:color w:val="1E1E1E" w:themeColor="background2"/>
                <w:sz w:val="21"/>
                <w:szCs w:val="21"/>
              </w:rPr>
            </w:pPr>
            <w:r w:rsidRPr="00AF43A2">
              <w:rPr>
                <w:rFonts w:cstheme="minorHAnsi"/>
                <w:b/>
                <w:i/>
                <w:color w:val="1E1E1E" w:themeColor="background2"/>
                <w:sz w:val="21"/>
                <w:szCs w:val="21"/>
              </w:rPr>
              <w:t>Lack of access to HIV prevention services for users of newly psychoactive substances (NPS).</w:t>
            </w:r>
            <w:r w:rsidRPr="00AF43A2">
              <w:rPr>
                <w:rFonts w:cstheme="minorHAnsi"/>
                <w:color w:val="1E1E1E" w:themeColor="background2"/>
                <w:sz w:val="21"/>
                <w:szCs w:val="21"/>
              </w:rPr>
              <w:t xml:space="preserve"> NPS use has doubled </w:t>
            </w:r>
            <w:r w:rsidRPr="00AF43A2">
              <w:rPr>
                <w:rFonts w:cstheme="minorHAnsi"/>
                <w:color w:val="404040" w:themeColor="text1"/>
                <w:sz w:val="21"/>
                <w:szCs w:val="21"/>
              </w:rPr>
              <w:t xml:space="preserve">in recent years and is used as pills, inhaled, as well as injected. However, there is </w:t>
            </w:r>
            <w:r w:rsidRPr="00AF43A2">
              <w:rPr>
                <w:rFonts w:cstheme="minorHAnsi"/>
                <w:color w:val="1E1E1E" w:themeColor="background2"/>
                <w:sz w:val="21"/>
                <w:szCs w:val="21"/>
              </w:rPr>
              <w:t>insufficient knowledge about NPS and effective services are not available for mostly young NPS users, leaving them vulnerable to HIV infection through needle sharing and unprotected sex</w:t>
            </w:r>
            <w:r w:rsidR="004A4D49" w:rsidRPr="00AF43A2">
              <w:rPr>
                <w:rFonts w:cstheme="minorHAnsi"/>
                <w:color w:val="1E1E1E" w:themeColor="background2"/>
                <w:sz w:val="21"/>
                <w:szCs w:val="21"/>
              </w:rPr>
              <w:t>.</w:t>
            </w:r>
          </w:p>
          <w:p w14:paraId="5EF6E612" w14:textId="77777777" w:rsidR="005C6854" w:rsidRPr="00AF43A2" w:rsidRDefault="005C6854" w:rsidP="000A0528">
            <w:pPr>
              <w:spacing w:after="0" w:line="240" w:lineRule="auto"/>
              <w:jc w:val="both"/>
              <w:rPr>
                <w:rFonts w:cstheme="minorHAnsi"/>
                <w:b/>
                <w:i/>
                <w:color w:val="1E1E1E" w:themeColor="background2"/>
                <w:sz w:val="8"/>
                <w:szCs w:val="8"/>
              </w:rPr>
            </w:pPr>
          </w:p>
          <w:p w14:paraId="1263C88F" w14:textId="4E2893BC" w:rsidR="00F835B9" w:rsidRPr="00AF43A2" w:rsidRDefault="000E5723" w:rsidP="000A0528">
            <w:pPr>
              <w:spacing w:after="0" w:line="240" w:lineRule="auto"/>
              <w:jc w:val="both"/>
              <w:rPr>
                <w:rFonts w:cstheme="minorHAnsi"/>
                <w:b/>
                <w:i/>
                <w:color w:val="1E1E1E" w:themeColor="background2"/>
                <w:sz w:val="21"/>
              </w:rPr>
            </w:pPr>
            <w:r w:rsidRPr="00AF43A2">
              <w:rPr>
                <w:rFonts w:cstheme="minorHAnsi"/>
                <w:b/>
                <w:i/>
                <w:color w:val="1E1E1E" w:themeColor="background2"/>
                <w:sz w:val="21"/>
              </w:rPr>
              <w:t>The grant will systematically address these barriers and inequities by</w:t>
            </w:r>
            <w:r w:rsidRPr="00AF43A2">
              <w:rPr>
                <w:rFonts w:cstheme="minorHAnsi"/>
                <w:color w:val="1E1E1E" w:themeColor="background2"/>
                <w:sz w:val="21"/>
              </w:rPr>
              <w:t xml:space="preserve">: 1) strengthening availability of </w:t>
            </w:r>
            <w:r w:rsidR="00402870" w:rsidRPr="00AF43A2">
              <w:rPr>
                <w:rFonts w:cstheme="minorHAnsi"/>
                <w:color w:val="1E1E1E" w:themeColor="background2"/>
                <w:sz w:val="21"/>
              </w:rPr>
              <w:t xml:space="preserve">high-quality </w:t>
            </w:r>
            <w:r w:rsidRPr="00AF43A2">
              <w:rPr>
                <w:rFonts w:cstheme="minorHAnsi"/>
                <w:color w:val="1E1E1E" w:themeColor="background2"/>
                <w:sz w:val="21"/>
              </w:rPr>
              <w:t>condoms and lubricants for MSM, TG, PWID and NPS users</w:t>
            </w:r>
            <w:r w:rsidR="00402870" w:rsidRPr="00AF43A2">
              <w:rPr>
                <w:rFonts w:cstheme="minorHAnsi"/>
                <w:color w:val="1E1E1E" w:themeColor="background2"/>
                <w:sz w:val="21"/>
              </w:rPr>
              <w:t>,</w:t>
            </w:r>
            <w:r w:rsidRPr="00AF43A2">
              <w:rPr>
                <w:rFonts w:cstheme="minorHAnsi"/>
                <w:color w:val="1E1E1E" w:themeColor="background2"/>
                <w:sz w:val="21"/>
              </w:rPr>
              <w:t xml:space="preserve"> with </w:t>
            </w:r>
            <w:r w:rsidRPr="00AF43A2">
              <w:rPr>
                <w:rFonts w:cstheme="minorHAnsi"/>
                <w:color w:val="1E1E1E" w:themeColor="background2"/>
                <w:sz w:val="21"/>
              </w:rPr>
              <w:lastRenderedPageBreak/>
              <w:t>special attention for young drug users;</w:t>
            </w:r>
            <w:r w:rsidR="00810253" w:rsidRPr="00AF43A2">
              <w:rPr>
                <w:rFonts w:cstheme="minorHAnsi"/>
                <w:color w:val="1E1E1E" w:themeColor="background2"/>
                <w:sz w:val="21"/>
              </w:rPr>
              <w:t xml:space="preserve"> as well as </w:t>
            </w:r>
            <w:r w:rsidR="00A34937" w:rsidRPr="00AF43A2">
              <w:rPr>
                <w:rFonts w:cstheme="minorHAnsi"/>
                <w:color w:val="1E1E1E" w:themeColor="background2"/>
                <w:sz w:val="21"/>
              </w:rPr>
              <w:t xml:space="preserve">support for NGOs to </w:t>
            </w:r>
            <w:r w:rsidR="00810253" w:rsidRPr="00AF43A2">
              <w:rPr>
                <w:rFonts w:cstheme="minorHAnsi"/>
                <w:color w:val="1E1E1E" w:themeColor="background2"/>
                <w:sz w:val="21"/>
              </w:rPr>
              <w:t xml:space="preserve">provide </w:t>
            </w:r>
            <w:r w:rsidR="00A34937" w:rsidRPr="00AF43A2">
              <w:rPr>
                <w:rFonts w:cstheme="minorHAnsi"/>
                <w:color w:val="1E1E1E" w:themeColor="background2"/>
                <w:sz w:val="21"/>
              </w:rPr>
              <w:t>comprehensive programming</w:t>
            </w:r>
            <w:r w:rsidR="00810253" w:rsidRPr="00AF43A2">
              <w:rPr>
                <w:rFonts w:cstheme="minorHAnsi"/>
                <w:color w:val="1E1E1E" w:themeColor="background2"/>
                <w:sz w:val="21"/>
              </w:rPr>
              <w:t>;</w:t>
            </w:r>
            <w:r w:rsidRPr="00AF43A2">
              <w:rPr>
                <w:rFonts w:cstheme="minorHAnsi"/>
                <w:color w:val="1E1E1E" w:themeColor="background2"/>
                <w:sz w:val="21"/>
              </w:rPr>
              <w:t xml:space="preserve"> 2) developing special services for TG people; 3) strengthening access to community-based testing </w:t>
            </w:r>
            <w:r w:rsidR="0015163B" w:rsidRPr="00AF43A2">
              <w:rPr>
                <w:rFonts w:cstheme="minorHAnsi"/>
                <w:color w:val="1E1E1E" w:themeColor="background2"/>
                <w:sz w:val="21"/>
              </w:rPr>
              <w:t xml:space="preserve">for KPs </w:t>
            </w:r>
            <w:r w:rsidRPr="00AF43A2">
              <w:rPr>
                <w:rFonts w:cstheme="minorHAnsi"/>
                <w:color w:val="1E1E1E" w:themeColor="background2"/>
                <w:sz w:val="21"/>
              </w:rPr>
              <w:t>and HIV self-testing</w:t>
            </w:r>
            <w:r w:rsidR="0015163B" w:rsidRPr="00AF43A2">
              <w:rPr>
                <w:rFonts w:cstheme="minorHAnsi"/>
                <w:color w:val="1E1E1E" w:themeColor="background2"/>
                <w:sz w:val="21"/>
              </w:rPr>
              <w:t xml:space="preserve"> for partners of PLHIV</w:t>
            </w:r>
            <w:r w:rsidRPr="00AF43A2">
              <w:rPr>
                <w:rFonts w:cstheme="minorHAnsi"/>
                <w:color w:val="1E1E1E" w:themeColor="background2"/>
                <w:sz w:val="21"/>
              </w:rPr>
              <w:t>; 4) introducing PrEP for MSM and TG; 5) strengthening access to OST and OD treatment services through systematic and large-scale advocacy and capacity building; 6) Developing service models for NPS users; 7) strengthening ART adherence support</w:t>
            </w:r>
            <w:r w:rsidR="0015163B" w:rsidRPr="00AF43A2">
              <w:rPr>
                <w:rFonts w:cstheme="minorHAnsi"/>
                <w:color w:val="1E1E1E" w:themeColor="background2"/>
                <w:sz w:val="21"/>
              </w:rPr>
              <w:t xml:space="preserve"> by “peer </w:t>
            </w:r>
            <w:r w:rsidR="009F791F" w:rsidRPr="00AF43A2">
              <w:rPr>
                <w:rFonts w:eastAsia="Calibri" w:cs="Arial"/>
                <w:color w:val="1E1E1E" w:themeColor="background2"/>
                <w:sz w:val="21"/>
                <w:szCs w:val="21"/>
                <w:lang w:val="en-GB"/>
              </w:rPr>
              <w:t>counsellors</w:t>
            </w:r>
            <w:r w:rsidR="0015163B" w:rsidRPr="00AF43A2">
              <w:rPr>
                <w:rFonts w:cstheme="minorHAnsi"/>
                <w:color w:val="1E1E1E" w:themeColor="background2"/>
                <w:sz w:val="21"/>
              </w:rPr>
              <w:t>”</w:t>
            </w:r>
            <w:r w:rsidRPr="00AF43A2">
              <w:rPr>
                <w:rFonts w:cstheme="minorHAnsi"/>
                <w:color w:val="1E1E1E" w:themeColor="background2"/>
                <w:sz w:val="21"/>
              </w:rPr>
              <w:t xml:space="preserve">, especially for PWID with HIV; </w:t>
            </w:r>
            <w:r w:rsidR="005C6854" w:rsidRPr="00AF43A2">
              <w:rPr>
                <w:rFonts w:cstheme="minorHAnsi"/>
                <w:color w:val="1E1E1E" w:themeColor="background2"/>
                <w:sz w:val="21"/>
              </w:rPr>
              <w:t xml:space="preserve">in addition, the grant will strengthen viral load testing through the procurement of standardised PCR equipment in 15 regions; </w:t>
            </w:r>
            <w:r w:rsidRPr="00AF43A2">
              <w:rPr>
                <w:rFonts w:cstheme="minorHAnsi"/>
                <w:color w:val="1E1E1E" w:themeColor="background2"/>
                <w:sz w:val="21"/>
              </w:rPr>
              <w:t xml:space="preserve">8) ensuring continuity of ART and legal support for undocumented migrants; 9) developing a national strategic plan on stigma and discrimination; and 10) providing legal support </w:t>
            </w:r>
            <w:r w:rsidR="00C2573B" w:rsidRPr="00AF43A2">
              <w:rPr>
                <w:rFonts w:cstheme="minorHAnsi"/>
                <w:color w:val="1E1E1E" w:themeColor="background2"/>
                <w:sz w:val="21"/>
              </w:rPr>
              <w:t>and enhancing legal literacy for KPs by street and professional lawyers</w:t>
            </w:r>
            <w:r w:rsidRPr="00AF43A2">
              <w:rPr>
                <w:rFonts w:cstheme="minorHAnsi"/>
                <w:color w:val="1E1E1E" w:themeColor="background2"/>
                <w:sz w:val="21"/>
              </w:rPr>
              <w:t xml:space="preserve">. </w:t>
            </w:r>
            <w:r w:rsidRPr="00AF43A2">
              <w:rPr>
                <w:rFonts w:cstheme="minorHAnsi"/>
                <w:b/>
                <w:i/>
                <w:color w:val="1E1E1E" w:themeColor="background2"/>
                <w:sz w:val="21"/>
              </w:rPr>
              <w:t>Details are in the next section (“Rationale”).</w:t>
            </w:r>
          </w:p>
          <w:p w14:paraId="7098646F" w14:textId="77777777" w:rsidR="00A34937" w:rsidRPr="00AF43A2" w:rsidRDefault="00A34937" w:rsidP="000A0528">
            <w:pPr>
              <w:spacing w:after="0" w:line="240" w:lineRule="auto"/>
              <w:ind w:firstLine="175"/>
              <w:jc w:val="both"/>
              <w:rPr>
                <w:rFonts w:cstheme="minorHAnsi"/>
                <w:color w:val="1E1E1E" w:themeColor="background2"/>
                <w:sz w:val="21"/>
              </w:rPr>
            </w:pPr>
            <w:r w:rsidRPr="00AF43A2">
              <w:rPr>
                <w:rFonts w:cstheme="minorHAnsi"/>
                <w:color w:val="1E1E1E" w:themeColor="background2"/>
                <w:sz w:val="21"/>
              </w:rPr>
              <w:t>Despite the barriers and inequities mentioned, much progress has been, and continues to be made in the above areas.</w:t>
            </w:r>
          </w:p>
          <w:p w14:paraId="0DCF8EB8" w14:textId="196FC9AB" w:rsidR="005A1602" w:rsidRPr="00AF43A2" w:rsidRDefault="005A1602" w:rsidP="000A0528">
            <w:pPr>
              <w:spacing w:after="0" w:line="240" w:lineRule="auto"/>
              <w:ind w:firstLine="175"/>
              <w:jc w:val="both"/>
              <w:rPr>
                <w:rFonts w:cstheme="minorHAnsi"/>
                <w:color w:val="FF0000"/>
                <w:sz w:val="8"/>
                <w:szCs w:val="8"/>
              </w:rPr>
            </w:pPr>
          </w:p>
        </w:tc>
      </w:tr>
      <w:tr w:rsidR="00C75ACA" w:rsidRPr="00AF43A2" w14:paraId="135CBC88" w14:textId="77777777" w:rsidTr="00BC55CC">
        <w:trPr>
          <w:trHeight w:val="440"/>
        </w:trPr>
        <w:tc>
          <w:tcPr>
            <w:tcW w:w="1276" w:type="dxa"/>
            <w:shd w:val="clear" w:color="auto" w:fill="F2F2F2"/>
          </w:tcPr>
          <w:p w14:paraId="76FB7910" w14:textId="77777777" w:rsidR="00C75ACA" w:rsidRPr="00AF43A2" w:rsidRDefault="00C75ACA" w:rsidP="000A0528">
            <w:pPr>
              <w:spacing w:after="0" w:line="240" w:lineRule="auto"/>
              <w:rPr>
                <w:rFonts w:cstheme="minorHAnsi"/>
                <w:sz w:val="21"/>
              </w:rPr>
            </w:pPr>
            <w:r w:rsidRPr="00AF43A2">
              <w:rPr>
                <w:rFonts w:cstheme="minorHAnsi"/>
                <w:sz w:val="21"/>
              </w:rPr>
              <w:lastRenderedPageBreak/>
              <w:t>Rationale</w:t>
            </w:r>
          </w:p>
        </w:tc>
        <w:tc>
          <w:tcPr>
            <w:tcW w:w="9074" w:type="dxa"/>
            <w:vAlign w:val="center"/>
          </w:tcPr>
          <w:p w14:paraId="421645D9" w14:textId="2483D5A8" w:rsidR="00084391" w:rsidRPr="00AF43A2" w:rsidRDefault="00084391" w:rsidP="000A0528">
            <w:pPr>
              <w:spacing w:after="0" w:line="240" w:lineRule="auto"/>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The prioritisation of the selected modules and interventions listed above is based on two fundamental principles: </w:t>
            </w:r>
            <w:r w:rsidRPr="00AF43A2">
              <w:rPr>
                <w:rFonts w:eastAsia="Calibri" w:cstheme="minorHAnsi"/>
                <w:b/>
                <w:i/>
                <w:color w:val="1E1E1E" w:themeColor="background2"/>
                <w:sz w:val="21"/>
                <w:szCs w:val="21"/>
                <w:lang w:val="en-GB"/>
              </w:rPr>
              <w:t>1) Strengthening sustainability</w:t>
            </w:r>
            <w:r w:rsidRPr="00AF43A2">
              <w:rPr>
                <w:rFonts w:eastAsia="Calibri" w:cstheme="minorHAnsi"/>
                <w:color w:val="1E1E1E" w:themeColor="background2"/>
                <w:sz w:val="21"/>
                <w:szCs w:val="21"/>
                <w:lang w:val="en-GB"/>
              </w:rPr>
              <w:t xml:space="preserve">; and </w:t>
            </w:r>
            <w:r w:rsidRPr="00AF43A2">
              <w:rPr>
                <w:rFonts w:eastAsia="Calibri" w:cstheme="minorHAnsi"/>
                <w:b/>
                <w:i/>
                <w:color w:val="1E1E1E" w:themeColor="background2"/>
                <w:sz w:val="21"/>
                <w:szCs w:val="21"/>
                <w:lang w:val="en-GB"/>
              </w:rPr>
              <w:t>2) Ensuring continuity</w:t>
            </w:r>
            <w:r w:rsidR="00B96C13">
              <w:rPr>
                <w:rFonts w:eastAsia="Calibri" w:cstheme="minorHAnsi"/>
                <w:b/>
                <w:i/>
                <w:color w:val="1E1E1E" w:themeColor="background2"/>
                <w:sz w:val="21"/>
                <w:szCs w:val="21"/>
                <w:lang w:val="en-GB"/>
              </w:rPr>
              <w:t xml:space="preserve">, </w:t>
            </w:r>
            <w:r w:rsidRPr="00AF43A2">
              <w:rPr>
                <w:rFonts w:eastAsia="Calibri" w:cstheme="minorHAnsi"/>
                <w:b/>
                <w:i/>
                <w:color w:val="1E1E1E" w:themeColor="background2"/>
                <w:sz w:val="21"/>
                <w:szCs w:val="21"/>
                <w:lang w:val="en-GB"/>
              </w:rPr>
              <w:t>quality</w:t>
            </w:r>
            <w:r w:rsidR="00B96C13">
              <w:rPr>
                <w:rFonts w:eastAsia="Calibri" w:cstheme="minorHAnsi"/>
                <w:b/>
                <w:i/>
                <w:color w:val="1E1E1E" w:themeColor="background2"/>
                <w:sz w:val="21"/>
                <w:szCs w:val="21"/>
                <w:lang w:val="en-GB"/>
              </w:rPr>
              <w:t xml:space="preserve"> and </w:t>
            </w:r>
            <w:r w:rsidRPr="00AF43A2">
              <w:rPr>
                <w:rFonts w:eastAsia="Calibri" w:cstheme="minorHAnsi"/>
                <w:b/>
                <w:i/>
                <w:color w:val="1E1E1E" w:themeColor="background2"/>
                <w:sz w:val="21"/>
                <w:szCs w:val="21"/>
                <w:lang w:val="en-GB"/>
              </w:rPr>
              <w:t>coverage of services</w:t>
            </w:r>
            <w:r w:rsidRPr="00AF43A2">
              <w:rPr>
                <w:rFonts w:eastAsia="Calibri" w:cstheme="minorHAnsi"/>
                <w:b/>
                <w:color w:val="1E1E1E" w:themeColor="background2"/>
                <w:sz w:val="21"/>
                <w:szCs w:val="21"/>
                <w:lang w:val="en-GB"/>
              </w:rPr>
              <w:t>.</w:t>
            </w:r>
          </w:p>
          <w:p w14:paraId="6B8260C2" w14:textId="77777777" w:rsidR="00084391" w:rsidRPr="00F279ED" w:rsidRDefault="00084391" w:rsidP="000A0528">
            <w:pPr>
              <w:spacing w:after="0" w:line="240" w:lineRule="auto"/>
              <w:jc w:val="both"/>
              <w:rPr>
                <w:rFonts w:eastAsia="Calibri" w:cstheme="minorHAnsi"/>
                <w:color w:val="1E1E1E" w:themeColor="background2"/>
                <w:sz w:val="8"/>
                <w:szCs w:val="8"/>
                <w:lang w:val="en-GB"/>
              </w:rPr>
            </w:pPr>
          </w:p>
          <w:p w14:paraId="03C6E4E5" w14:textId="77777777" w:rsidR="00084391" w:rsidRPr="00F279ED" w:rsidRDefault="00084391" w:rsidP="000A0528">
            <w:pPr>
              <w:tabs>
                <w:tab w:val="left" w:pos="284"/>
              </w:tabs>
              <w:spacing w:after="0" w:line="240" w:lineRule="auto"/>
              <w:jc w:val="both"/>
              <w:rPr>
                <w:rFonts w:eastAsia="Calibri" w:cstheme="minorHAnsi"/>
                <w:b/>
                <w:color w:val="1E1E1E" w:themeColor="background2"/>
                <w:sz w:val="21"/>
                <w:szCs w:val="21"/>
                <w:lang w:val="en-GB"/>
              </w:rPr>
            </w:pPr>
            <w:r w:rsidRPr="00F279ED">
              <w:rPr>
                <w:rFonts w:eastAsia="Calibri" w:cstheme="minorHAnsi"/>
                <w:b/>
                <w:color w:val="1E1E1E" w:themeColor="background2"/>
                <w:sz w:val="21"/>
                <w:szCs w:val="21"/>
                <w:lang w:val="en-GB"/>
              </w:rPr>
              <w:t>1.</w:t>
            </w:r>
            <w:r w:rsidRPr="00F279ED">
              <w:rPr>
                <w:rFonts w:eastAsia="Calibri" w:cstheme="minorHAnsi"/>
                <w:b/>
                <w:color w:val="1E1E1E" w:themeColor="background2"/>
                <w:sz w:val="21"/>
                <w:szCs w:val="21"/>
                <w:lang w:val="en-GB"/>
              </w:rPr>
              <w:tab/>
              <w:t>STRENGTHENING SUSTAINABILITY</w:t>
            </w:r>
          </w:p>
          <w:p w14:paraId="0047E6C2" w14:textId="77777777" w:rsidR="00084391" w:rsidRPr="00F279ED" w:rsidRDefault="00084391" w:rsidP="000A0528">
            <w:pPr>
              <w:spacing w:after="0" w:line="240" w:lineRule="auto"/>
              <w:jc w:val="both"/>
              <w:rPr>
                <w:rFonts w:eastAsia="Calibri" w:cstheme="minorHAnsi"/>
                <w:color w:val="1E1E1E" w:themeColor="background2"/>
                <w:sz w:val="8"/>
                <w:szCs w:val="8"/>
                <w:lang w:val="en-GB"/>
              </w:rPr>
            </w:pPr>
          </w:p>
          <w:p w14:paraId="616C517A" w14:textId="5A998B42" w:rsidR="00084391" w:rsidRPr="00AF43A2" w:rsidRDefault="00084391" w:rsidP="000A0528">
            <w:pPr>
              <w:spacing w:after="0" w:line="240" w:lineRule="auto"/>
              <w:jc w:val="both"/>
              <w:rPr>
                <w:rFonts w:eastAsia="Calibri" w:cstheme="minorHAnsi"/>
                <w:color w:val="1E1E1E" w:themeColor="background2"/>
                <w:sz w:val="21"/>
                <w:szCs w:val="21"/>
                <w:lang w:val="en-GB"/>
              </w:rPr>
            </w:pPr>
            <w:r w:rsidRPr="00F279ED">
              <w:rPr>
                <w:rFonts w:eastAsia="Calibri" w:cstheme="minorHAnsi"/>
                <w:b/>
                <w:color w:val="1E1E1E" w:themeColor="background2"/>
                <w:sz w:val="21"/>
                <w:szCs w:val="21"/>
                <w:lang w:val="en-GB"/>
              </w:rPr>
              <w:t>Sustainability</w:t>
            </w:r>
            <w:r w:rsidRPr="00F279ED">
              <w:rPr>
                <w:rFonts w:eastAsia="Calibri" w:cstheme="minorHAnsi"/>
                <w:color w:val="1E1E1E" w:themeColor="background2"/>
                <w:sz w:val="21"/>
                <w:szCs w:val="21"/>
                <w:lang w:val="en-GB"/>
              </w:rPr>
              <w:t xml:space="preserve"> has been a key thrust of the national HIV response since many years: the Kazakh government already </w:t>
            </w:r>
            <w:r w:rsidRPr="00AF43A2">
              <w:rPr>
                <w:rFonts w:eastAsia="Calibri" w:cstheme="minorHAnsi"/>
                <w:color w:val="1E1E1E" w:themeColor="background2"/>
                <w:sz w:val="21"/>
                <w:szCs w:val="21"/>
                <w:lang w:val="en-GB"/>
              </w:rPr>
              <w:t xml:space="preserve">finances </w:t>
            </w:r>
            <w:r w:rsidR="00A34937" w:rsidRPr="00AF43A2">
              <w:rPr>
                <w:rFonts w:eastAsia="Calibri" w:cstheme="minorHAnsi"/>
                <w:color w:val="1E1E1E" w:themeColor="background2"/>
                <w:sz w:val="21"/>
                <w:szCs w:val="21"/>
                <w:lang w:val="en-GB"/>
              </w:rPr>
              <w:t>9</w:t>
            </w:r>
            <w:r w:rsidR="00F074E6">
              <w:rPr>
                <w:rFonts w:eastAsia="Calibri" w:cstheme="minorHAnsi"/>
                <w:color w:val="1E1E1E" w:themeColor="background2"/>
                <w:sz w:val="21"/>
                <w:szCs w:val="21"/>
                <w:lang w:val="en-GB"/>
              </w:rPr>
              <w:t>5</w:t>
            </w:r>
            <w:r w:rsidRPr="00AF43A2">
              <w:rPr>
                <w:rFonts w:eastAsia="Calibri" w:cstheme="minorHAnsi"/>
                <w:color w:val="1E1E1E" w:themeColor="background2"/>
                <w:sz w:val="21"/>
                <w:szCs w:val="21"/>
                <w:lang w:val="en-GB"/>
              </w:rPr>
              <w:t xml:space="preserve">% of the national response to HIV. Not only does this include government facilities and staff, and the bulk of commodities for prevention, testing and treatment; it also includes community outreach workers employed by Regional AIDS Centres; as well as State funding for NGOs providing HIV-related services to KPs and PLHIV. Currently, </w:t>
            </w:r>
            <w:r w:rsidR="00A64EE6" w:rsidRPr="00AF43A2">
              <w:rPr>
                <w:rFonts w:eastAsia="Calibri" w:cstheme="minorHAnsi"/>
                <w:color w:val="1E1E1E" w:themeColor="background2"/>
                <w:sz w:val="21"/>
                <w:szCs w:val="21"/>
                <w:lang w:val="en-GB"/>
              </w:rPr>
              <w:t>the Government</w:t>
            </w:r>
            <w:r w:rsidRPr="00AF43A2">
              <w:rPr>
                <w:rFonts w:eastAsia="Calibri" w:cstheme="minorHAnsi"/>
                <w:color w:val="1E1E1E" w:themeColor="background2"/>
                <w:sz w:val="21"/>
                <w:szCs w:val="21"/>
                <w:lang w:val="en-GB"/>
              </w:rPr>
              <w:t xml:space="preserve"> finances 57% of all outreach workers.</w:t>
            </w:r>
          </w:p>
          <w:p w14:paraId="137EAD96" w14:textId="77777777"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However, </w:t>
            </w:r>
            <w:r w:rsidRPr="00AF43A2">
              <w:rPr>
                <w:rFonts w:eastAsia="Calibri" w:cstheme="minorHAnsi"/>
                <w:b/>
                <w:i/>
                <w:color w:val="1E1E1E" w:themeColor="background2"/>
                <w:sz w:val="21"/>
                <w:szCs w:val="21"/>
                <w:lang w:val="en-GB"/>
              </w:rPr>
              <w:t xml:space="preserve">sustainability </w:t>
            </w:r>
            <w:r w:rsidRPr="00AF43A2">
              <w:rPr>
                <w:rFonts w:eastAsia="Calibri" w:cstheme="minorHAnsi"/>
                <w:color w:val="1E1E1E" w:themeColor="background2"/>
                <w:sz w:val="21"/>
                <w:szCs w:val="21"/>
                <w:lang w:val="en-GB"/>
              </w:rPr>
              <w:t xml:space="preserve">goes beyond sustained </w:t>
            </w:r>
            <w:r w:rsidRPr="00AF43A2">
              <w:rPr>
                <w:rFonts w:eastAsia="Calibri" w:cstheme="minorHAnsi"/>
                <w:b/>
                <w:i/>
                <w:color w:val="1E1E1E" w:themeColor="background2"/>
                <w:sz w:val="21"/>
                <w:szCs w:val="21"/>
                <w:lang w:val="en-GB"/>
              </w:rPr>
              <w:t>financing</w:t>
            </w:r>
            <w:r w:rsidRPr="00AF43A2">
              <w:rPr>
                <w:rFonts w:eastAsia="Calibri" w:cstheme="minorHAnsi"/>
                <w:color w:val="1E1E1E" w:themeColor="background2"/>
                <w:sz w:val="21"/>
                <w:szCs w:val="21"/>
                <w:lang w:val="en-GB"/>
              </w:rPr>
              <w:t xml:space="preserve"> and</w:t>
            </w:r>
            <w:r w:rsidRPr="00AF43A2">
              <w:rPr>
                <w:rFonts w:eastAsia="Calibri" w:cstheme="minorHAnsi"/>
                <w:b/>
                <w:i/>
                <w:color w:val="1E1E1E" w:themeColor="background2"/>
                <w:sz w:val="21"/>
                <w:szCs w:val="21"/>
                <w:lang w:val="en-GB"/>
              </w:rPr>
              <w:t xml:space="preserve"> </w:t>
            </w:r>
            <w:r w:rsidRPr="00AF43A2">
              <w:rPr>
                <w:rFonts w:eastAsia="Calibri" w:cstheme="minorHAnsi"/>
                <w:color w:val="1E1E1E" w:themeColor="background2"/>
                <w:sz w:val="21"/>
                <w:szCs w:val="21"/>
                <w:lang w:val="en-GB"/>
              </w:rPr>
              <w:t xml:space="preserve">includes many dimensions, such as </w:t>
            </w:r>
            <w:r w:rsidRPr="00AF43A2">
              <w:rPr>
                <w:rFonts w:eastAsia="Calibri" w:cstheme="minorHAnsi"/>
                <w:b/>
                <w:i/>
                <w:color w:val="1E1E1E" w:themeColor="background2"/>
                <w:sz w:val="21"/>
                <w:szCs w:val="21"/>
                <w:lang w:val="en-GB"/>
              </w:rPr>
              <w:t>programmatic, health and community systems-related, governance, human rights and political</w:t>
            </w:r>
            <w:r w:rsidRPr="00AF43A2">
              <w:rPr>
                <w:rFonts w:eastAsia="Calibri" w:cstheme="minorHAnsi"/>
                <w:color w:val="1E1E1E" w:themeColor="background2"/>
                <w:sz w:val="21"/>
                <w:szCs w:val="21"/>
                <w:lang w:val="en-GB"/>
              </w:rPr>
              <w:t>. The key components of this Funding Request aim to systematically address all these dimensions:</w:t>
            </w:r>
          </w:p>
          <w:p w14:paraId="7DD60371" w14:textId="77777777" w:rsidR="00084391" w:rsidRPr="00AF43A2" w:rsidRDefault="00084391" w:rsidP="000A0528">
            <w:pPr>
              <w:spacing w:after="0" w:line="240" w:lineRule="auto"/>
              <w:jc w:val="both"/>
              <w:rPr>
                <w:rFonts w:eastAsia="Calibri" w:cstheme="minorHAnsi"/>
                <w:color w:val="1E1E1E" w:themeColor="background2"/>
                <w:sz w:val="21"/>
                <w:szCs w:val="21"/>
                <w:lang w:val="en-GB"/>
              </w:rPr>
            </w:pPr>
          </w:p>
          <w:p w14:paraId="164F0FD9" w14:textId="77777777" w:rsidR="00084391" w:rsidRPr="00AF43A2" w:rsidRDefault="00084391" w:rsidP="000A0528">
            <w:pPr>
              <w:spacing w:after="0" w:line="240" w:lineRule="auto"/>
              <w:jc w:val="both"/>
              <w:rPr>
                <w:rFonts w:eastAsia="Calibri" w:cstheme="minorHAnsi"/>
                <w:color w:val="1E1E1E" w:themeColor="background2"/>
                <w:sz w:val="21"/>
                <w:szCs w:val="21"/>
                <w:lang w:val="en-GB"/>
              </w:rPr>
            </w:pPr>
            <w:r w:rsidRPr="00AF43A2">
              <w:rPr>
                <w:rFonts w:eastAsia="Calibri" w:cstheme="minorHAnsi"/>
                <w:b/>
                <w:color w:val="1E1E1E" w:themeColor="background2"/>
                <w:sz w:val="21"/>
                <w:szCs w:val="21"/>
                <w:lang w:val="en-GB"/>
              </w:rPr>
              <w:t xml:space="preserve">1. </w:t>
            </w:r>
            <w:r w:rsidRPr="00AF43A2">
              <w:rPr>
                <w:rFonts w:eastAsia="Calibri" w:cstheme="minorHAnsi"/>
                <w:b/>
                <w:color w:val="1E1E1E" w:themeColor="background2"/>
                <w:sz w:val="21"/>
                <w:szCs w:val="21"/>
                <w:u w:val="single"/>
                <w:lang w:val="en-GB"/>
              </w:rPr>
              <w:t>Strengthening financial sustainability</w:t>
            </w:r>
            <w:r w:rsidRPr="00AF43A2">
              <w:rPr>
                <w:rFonts w:eastAsia="Calibri" w:cstheme="minorHAnsi"/>
                <w:color w:val="1E1E1E" w:themeColor="background2"/>
                <w:sz w:val="21"/>
                <w:szCs w:val="21"/>
                <w:lang w:val="en-GB"/>
              </w:rPr>
              <w:t xml:space="preserve"> – The current grant has been focusing on putting in place </w:t>
            </w:r>
            <w:r w:rsidRPr="00AF43A2">
              <w:rPr>
                <w:rFonts w:eastAsia="Calibri" w:cstheme="minorHAnsi"/>
                <w:b/>
                <w:i/>
                <w:color w:val="1E1E1E" w:themeColor="background2"/>
                <w:sz w:val="21"/>
                <w:szCs w:val="21"/>
                <w:lang w:val="en-GB"/>
              </w:rPr>
              <w:t>social contracting</w:t>
            </w:r>
            <w:r w:rsidRPr="00AF43A2">
              <w:rPr>
                <w:rFonts w:eastAsia="Calibri" w:cstheme="minorHAnsi"/>
                <w:color w:val="1E1E1E" w:themeColor="background2"/>
                <w:sz w:val="21"/>
                <w:szCs w:val="21"/>
                <w:lang w:val="en-GB"/>
              </w:rPr>
              <w:t xml:space="preserve"> legislation and mechanisms that will allow the government at different levels – national, regional and akimat – to finance HIV service delivery to PLHIV and key populations (KPs) by NGOs – thus further contributing to sustainability of the national response, including through NGOs. In 2019, however, these social contracts (State Social Orders and State Grants) still only represented a very small proportion of the total State budget for HIV (0.2%, USD 63,600). While the </w:t>
            </w:r>
            <w:r w:rsidRPr="00AF43A2">
              <w:rPr>
                <w:rFonts w:eastAsia="Calibri" w:cstheme="minorHAnsi"/>
                <w:b/>
                <w:i/>
                <w:color w:val="1E1E1E" w:themeColor="background2"/>
                <w:sz w:val="21"/>
                <w:szCs w:val="21"/>
                <w:lang w:val="en-GB"/>
              </w:rPr>
              <w:t xml:space="preserve">legal framework and regulations </w:t>
            </w:r>
            <w:r w:rsidRPr="00AF43A2">
              <w:rPr>
                <w:rFonts w:eastAsia="Calibri" w:cstheme="minorHAnsi"/>
                <w:color w:val="1E1E1E" w:themeColor="background2"/>
                <w:sz w:val="21"/>
                <w:szCs w:val="21"/>
                <w:lang w:val="en-GB"/>
              </w:rPr>
              <w:t>for social contracting (through State Grants and State Social Orders) are in place, the actual allocation of State funding through State Social Orders or Grants at the regional and local (akimat) level is still insufficient to cover all NGO services, due to a number of factors:</w:t>
            </w:r>
          </w:p>
          <w:p w14:paraId="721FACCE" w14:textId="77777777"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a) At the local level, </w:t>
            </w:r>
            <w:r w:rsidRPr="00AF43A2">
              <w:rPr>
                <w:rFonts w:eastAsia="Calibri" w:cstheme="minorHAnsi"/>
                <w:b/>
                <w:i/>
                <w:color w:val="1E1E1E" w:themeColor="background2"/>
                <w:sz w:val="21"/>
                <w:szCs w:val="21"/>
                <w:lang w:val="en-GB"/>
              </w:rPr>
              <w:t>social contracting remains predominantly geared towards social services for certain vulnerable groups</w:t>
            </w:r>
            <w:r w:rsidRPr="00AF43A2">
              <w:rPr>
                <w:rFonts w:eastAsia="Calibri" w:cstheme="minorHAnsi"/>
                <w:color w:val="1E1E1E" w:themeColor="background2"/>
                <w:sz w:val="21"/>
                <w:szCs w:val="21"/>
                <w:lang w:val="en-GB"/>
              </w:rPr>
              <w:t>, such as the elderly and the disabled – not to health and social services for key populations (KPs). HIV services have been included in the social contracting mechanism, but in practice, most social contracts are still awarded to traditional “social” services.</w:t>
            </w:r>
          </w:p>
          <w:p w14:paraId="443544C9" w14:textId="77777777"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b)</w:t>
            </w:r>
            <w:r w:rsidRPr="00AF43A2">
              <w:rPr>
                <w:rFonts w:eastAsia="Calibri" w:cstheme="minorHAnsi"/>
                <w:b/>
                <w:i/>
                <w:color w:val="1E1E1E" w:themeColor="background2"/>
                <w:sz w:val="21"/>
                <w:szCs w:val="21"/>
                <w:lang w:val="en-GB"/>
              </w:rPr>
              <w:t xml:space="preserve"> HIV prevention services for KPs remain under-prioritised by local authorities:</w:t>
            </w:r>
            <w:r w:rsidRPr="00AF43A2">
              <w:rPr>
                <w:rFonts w:eastAsia="Calibri" w:cstheme="minorHAnsi"/>
                <w:color w:val="1E1E1E" w:themeColor="background2"/>
                <w:sz w:val="21"/>
                <w:szCs w:val="21"/>
                <w:lang w:val="en-GB"/>
              </w:rPr>
              <w:t xml:space="preserve"> in 2019, the total allocation for HIV prevention represented only 4.8% of the total budget for HIV. This is reflected by insufficient State allocations for outreach workers and key commodities, such as syringes, but especially for condoms and lubricants. Thus, despite the available Government commitment and funding, HIV services – especially those provided to KPs by NGOs – are not yet fully financed by the State, and still depend on supplemental funding from the Global Fund for key commodities and outreach workers. </w:t>
            </w:r>
          </w:p>
          <w:p w14:paraId="4A9CA6DD" w14:textId="77777777"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In this context, this Funding Request seeks to </w:t>
            </w:r>
            <w:r w:rsidRPr="00AF43A2">
              <w:rPr>
                <w:rFonts w:eastAsia="Calibri" w:cstheme="minorHAnsi"/>
                <w:b/>
                <w:i/>
                <w:color w:val="1E1E1E" w:themeColor="background2"/>
                <w:sz w:val="21"/>
                <w:szCs w:val="21"/>
                <w:lang w:val="en-GB"/>
              </w:rPr>
              <w:t>further strengthen sustainable funding</w:t>
            </w:r>
            <w:r w:rsidRPr="00AF43A2">
              <w:rPr>
                <w:rFonts w:eastAsia="Calibri" w:cstheme="minorHAnsi"/>
                <w:color w:val="1E1E1E" w:themeColor="background2"/>
                <w:sz w:val="21"/>
                <w:szCs w:val="21"/>
                <w:lang w:val="en-GB"/>
              </w:rPr>
              <w:t xml:space="preserve"> for HIV prevention among KPs through the following Interventions:</w:t>
            </w:r>
          </w:p>
          <w:p w14:paraId="76BA4FF0" w14:textId="77777777" w:rsidR="00084391" w:rsidRPr="00AF43A2" w:rsidRDefault="00084391" w:rsidP="000A0528">
            <w:pPr>
              <w:spacing w:after="0" w:line="240" w:lineRule="auto"/>
              <w:jc w:val="both"/>
              <w:rPr>
                <w:rFonts w:eastAsia="Calibri" w:cstheme="minorHAnsi"/>
                <w:color w:val="1E1E1E" w:themeColor="background2"/>
                <w:sz w:val="8"/>
                <w:szCs w:val="8"/>
                <w:lang w:val="en-GB"/>
              </w:rPr>
            </w:pPr>
          </w:p>
          <w:p w14:paraId="64999A5A" w14:textId="64E11517" w:rsidR="00084391" w:rsidRPr="00AF43A2" w:rsidRDefault="00084391" w:rsidP="000A0528">
            <w:pPr>
              <w:tabs>
                <w:tab w:val="left" w:pos="284"/>
              </w:tabs>
              <w:spacing w:after="0" w:line="240" w:lineRule="auto"/>
              <w:ind w:firstLine="284"/>
              <w:jc w:val="both"/>
              <w:rPr>
                <w:rFonts w:eastAsia="Calibri" w:cstheme="minorHAnsi"/>
                <w:color w:val="1E1E1E" w:themeColor="background2"/>
                <w:sz w:val="8"/>
                <w:szCs w:val="8"/>
                <w:lang w:val="en-GB"/>
              </w:rPr>
            </w:pPr>
            <w:r w:rsidRPr="00AF43A2">
              <w:rPr>
                <w:rFonts w:eastAsia="Calibri" w:cstheme="minorHAnsi"/>
                <w:b/>
                <w:i/>
                <w:color w:val="1E1E1E" w:themeColor="background2"/>
                <w:sz w:val="21"/>
                <w:szCs w:val="21"/>
                <w:lang w:val="en-GB"/>
              </w:rPr>
              <w:t>Intervention 5.1: Strengthening and roll-out of Social Contracting mechanism</w:t>
            </w:r>
            <w:r w:rsidRPr="00AF43A2">
              <w:rPr>
                <w:rFonts w:eastAsia="Calibri" w:cstheme="minorHAnsi"/>
                <w:color w:val="1E1E1E" w:themeColor="background2"/>
                <w:sz w:val="21"/>
                <w:szCs w:val="21"/>
                <w:lang w:val="en-GB"/>
              </w:rPr>
              <w:t xml:space="preserve"> – As part of the current grant, HIV-related services have already been integrated in the overall legal framework and regulations for </w:t>
            </w:r>
            <w:r w:rsidRPr="00AF43A2">
              <w:rPr>
                <w:rFonts w:eastAsia="Calibri" w:cstheme="minorHAnsi"/>
                <w:b/>
                <w:color w:val="1E1E1E" w:themeColor="background2"/>
                <w:sz w:val="21"/>
                <w:szCs w:val="21"/>
                <w:lang w:val="en-GB"/>
              </w:rPr>
              <w:t>social contracting</w:t>
            </w:r>
            <w:r w:rsidRPr="00AF43A2">
              <w:rPr>
                <w:rFonts w:eastAsia="Calibri" w:cstheme="minorHAnsi"/>
                <w:color w:val="1E1E1E" w:themeColor="background2"/>
                <w:sz w:val="21"/>
                <w:szCs w:val="21"/>
                <w:lang w:val="en-GB"/>
              </w:rPr>
              <w:t xml:space="preserve">. However, further technical </w:t>
            </w:r>
            <w:r w:rsidR="00A64EE6" w:rsidRPr="00AF43A2">
              <w:rPr>
                <w:rFonts w:eastAsia="Calibri" w:cstheme="minorHAnsi"/>
                <w:color w:val="1E1E1E" w:themeColor="background2"/>
                <w:sz w:val="21"/>
                <w:szCs w:val="21"/>
                <w:lang w:val="en-GB"/>
              </w:rPr>
              <w:t>assistance (TA)</w:t>
            </w:r>
            <w:r w:rsidRPr="00AF43A2">
              <w:rPr>
                <w:rFonts w:eastAsia="Calibri" w:cstheme="minorHAnsi"/>
                <w:color w:val="1E1E1E" w:themeColor="background2"/>
                <w:sz w:val="21"/>
                <w:szCs w:val="21"/>
                <w:lang w:val="en-GB"/>
              </w:rPr>
              <w:t xml:space="preserve"> will be needed in the 2021-2023 period to develop a clear system of indicators for planning, budgeting and evaluating the effectiveness of services for KP</w:t>
            </w:r>
            <w:r w:rsidR="00A64EE6" w:rsidRPr="00AF43A2">
              <w:rPr>
                <w:rFonts w:eastAsia="Calibri" w:cstheme="minorHAnsi"/>
                <w:color w:val="1E1E1E" w:themeColor="background2"/>
                <w:sz w:val="21"/>
                <w:szCs w:val="21"/>
                <w:lang w:val="en-GB"/>
              </w:rPr>
              <w:t>s</w:t>
            </w:r>
            <w:r w:rsidRPr="00AF43A2">
              <w:rPr>
                <w:rFonts w:eastAsia="Calibri" w:cstheme="minorHAnsi"/>
                <w:color w:val="1E1E1E" w:themeColor="background2"/>
                <w:sz w:val="21"/>
                <w:szCs w:val="21"/>
                <w:lang w:val="en-GB"/>
              </w:rPr>
              <w:t xml:space="preserve"> and PLHIV provided by NGOs. In addition, the TA will support tariffication of HIV services, which is a key requirement for social </w:t>
            </w:r>
            <w:r w:rsidRPr="00AF43A2">
              <w:rPr>
                <w:rFonts w:eastAsia="Calibri" w:cstheme="minorHAnsi"/>
                <w:color w:val="1E1E1E" w:themeColor="background2"/>
                <w:sz w:val="21"/>
                <w:szCs w:val="21"/>
                <w:lang w:val="en-GB"/>
              </w:rPr>
              <w:lastRenderedPageBreak/>
              <w:t>contracting. In addition, budget advocacy will be supported in selected Regions with the highest HIV rates among KPs, to strengthening social contracting for NGO services to KPs.</w:t>
            </w:r>
          </w:p>
          <w:p w14:paraId="73C36BBF" w14:textId="77777777" w:rsidR="00084391" w:rsidRPr="00AF43A2" w:rsidRDefault="00084391" w:rsidP="000A0528">
            <w:pPr>
              <w:tabs>
                <w:tab w:val="left" w:pos="284"/>
              </w:tabs>
              <w:spacing w:after="0" w:line="240" w:lineRule="auto"/>
              <w:ind w:firstLine="284"/>
              <w:jc w:val="both"/>
              <w:rPr>
                <w:rFonts w:eastAsia="Calibri" w:cstheme="minorHAnsi"/>
                <w:color w:val="1E1E1E" w:themeColor="background2"/>
                <w:sz w:val="8"/>
                <w:szCs w:val="8"/>
                <w:lang w:val="en-GB"/>
              </w:rPr>
            </w:pPr>
          </w:p>
          <w:p w14:paraId="2B0984A9" w14:textId="5107F669"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 xml:space="preserve">Intervention 5.2: Incorporating HIV services under the </w:t>
            </w:r>
            <w:r w:rsidR="003766D8" w:rsidRPr="00AF43A2">
              <w:rPr>
                <w:rFonts w:eastAsia="Calibri" w:cstheme="minorHAnsi"/>
                <w:b/>
                <w:i/>
                <w:color w:val="1E1E1E" w:themeColor="background2"/>
                <w:sz w:val="21"/>
                <w:szCs w:val="21"/>
                <w:lang w:val="en-GB"/>
              </w:rPr>
              <w:t>Compulsory Social</w:t>
            </w:r>
            <w:r w:rsidRPr="00AF43A2">
              <w:rPr>
                <w:rFonts w:eastAsia="Calibri" w:cstheme="minorHAnsi"/>
                <w:b/>
                <w:i/>
                <w:color w:val="1E1E1E" w:themeColor="background2"/>
                <w:sz w:val="21"/>
                <w:szCs w:val="21"/>
                <w:lang w:val="en-GB"/>
              </w:rPr>
              <w:t xml:space="preserve"> Health Insurance (</w:t>
            </w:r>
            <w:r w:rsidR="003766D8" w:rsidRPr="00AF43A2">
              <w:rPr>
                <w:rFonts w:eastAsia="Calibri" w:cstheme="minorHAnsi"/>
                <w:b/>
                <w:i/>
                <w:color w:val="1E1E1E" w:themeColor="background2"/>
                <w:sz w:val="21"/>
                <w:szCs w:val="21"/>
                <w:lang w:val="en-GB"/>
              </w:rPr>
              <w:t>CSHI</w:t>
            </w:r>
            <w:r w:rsidRPr="00AF43A2">
              <w:rPr>
                <w:rFonts w:eastAsia="Calibri" w:cstheme="minorHAnsi"/>
                <w:b/>
                <w:i/>
                <w:color w:val="1E1E1E" w:themeColor="background2"/>
                <w:sz w:val="21"/>
                <w:szCs w:val="21"/>
                <w:lang w:val="en-GB"/>
              </w:rPr>
              <w:t>)</w:t>
            </w:r>
            <w:r w:rsidRPr="00AF43A2">
              <w:rPr>
                <w:rFonts w:eastAsia="Calibri" w:cstheme="minorHAnsi"/>
                <w:color w:val="1E1E1E" w:themeColor="background2"/>
                <w:sz w:val="21"/>
                <w:szCs w:val="21"/>
                <w:lang w:val="en-GB"/>
              </w:rPr>
              <w:t xml:space="preserve"> – The </w:t>
            </w:r>
            <w:r w:rsidR="003766D8" w:rsidRPr="00AF43A2">
              <w:rPr>
                <w:rFonts w:eastAsia="Calibri" w:cstheme="minorHAnsi"/>
                <w:color w:val="1E1E1E" w:themeColor="background2"/>
                <w:sz w:val="21"/>
                <w:szCs w:val="21"/>
                <w:lang w:val="en-GB"/>
              </w:rPr>
              <w:t>CSHI</w:t>
            </w:r>
            <w:r w:rsidRPr="00AF43A2">
              <w:rPr>
                <w:rFonts w:eastAsia="Calibri" w:cstheme="minorHAnsi"/>
                <w:color w:val="1E1E1E" w:themeColor="background2"/>
                <w:sz w:val="21"/>
                <w:szCs w:val="21"/>
                <w:lang w:val="en-GB"/>
              </w:rPr>
              <w:t xml:space="preserve"> is currently in the process of being established</w:t>
            </w:r>
            <w:r w:rsidR="00A701A3" w:rsidRPr="00AF43A2">
              <w:rPr>
                <w:rFonts w:eastAsia="Calibri" w:cstheme="minorHAnsi"/>
                <w:color w:val="1E1E1E" w:themeColor="background2"/>
                <w:sz w:val="21"/>
                <w:szCs w:val="21"/>
                <w:lang w:val="en-GB"/>
              </w:rPr>
              <w:t xml:space="preserve"> and rolled out</w:t>
            </w:r>
            <w:r w:rsidRPr="00AF43A2">
              <w:rPr>
                <w:rFonts w:eastAsia="Calibri" w:cstheme="minorHAnsi"/>
                <w:color w:val="1E1E1E" w:themeColor="background2"/>
                <w:sz w:val="21"/>
                <w:szCs w:val="21"/>
                <w:lang w:val="en-GB"/>
              </w:rPr>
              <w:t xml:space="preserve">. In this context, the grant will support </w:t>
            </w:r>
            <w:r w:rsidR="00CF0506">
              <w:rPr>
                <w:rFonts w:eastAsia="Calibri" w:cstheme="minorHAnsi"/>
                <w:color w:val="1E1E1E" w:themeColor="background2"/>
                <w:sz w:val="21"/>
                <w:szCs w:val="21"/>
                <w:lang w:val="en-GB"/>
              </w:rPr>
              <w:t>technical assistance</w:t>
            </w:r>
            <w:r w:rsidR="005A1602" w:rsidRPr="00AF43A2">
              <w:rPr>
                <w:rFonts w:eastAsia="Calibri" w:cstheme="minorHAnsi"/>
                <w:color w:val="1E1E1E" w:themeColor="background2"/>
                <w:sz w:val="21"/>
                <w:szCs w:val="21"/>
                <w:lang w:val="en-GB"/>
              </w:rPr>
              <w:t xml:space="preserve"> (240 </w:t>
            </w:r>
            <w:r w:rsidR="00CF0506">
              <w:rPr>
                <w:rFonts w:eastAsia="Calibri" w:cstheme="minorHAnsi"/>
                <w:color w:val="1E1E1E" w:themeColor="background2"/>
                <w:sz w:val="21"/>
                <w:szCs w:val="21"/>
                <w:lang w:val="en-GB"/>
              </w:rPr>
              <w:t xml:space="preserve">consultancy </w:t>
            </w:r>
            <w:r w:rsidR="005A1602" w:rsidRPr="00AF43A2">
              <w:rPr>
                <w:rFonts w:eastAsia="Calibri" w:cstheme="minorHAnsi"/>
                <w:color w:val="1E1E1E" w:themeColor="background2"/>
                <w:sz w:val="21"/>
                <w:szCs w:val="21"/>
                <w:lang w:val="en-GB"/>
              </w:rPr>
              <w:t>days per year)</w:t>
            </w:r>
            <w:r w:rsidRPr="00AF43A2">
              <w:rPr>
                <w:rFonts w:eastAsia="Calibri" w:cstheme="minorHAnsi"/>
                <w:color w:val="1E1E1E" w:themeColor="background2"/>
                <w:sz w:val="21"/>
                <w:szCs w:val="21"/>
                <w:lang w:val="en-GB"/>
              </w:rPr>
              <w:t xml:space="preserve"> at the </w:t>
            </w:r>
            <w:r w:rsidR="001D3332" w:rsidRPr="00AF43A2">
              <w:rPr>
                <w:rFonts w:eastAsia="Calibri" w:cstheme="minorHAnsi"/>
                <w:color w:val="1E1E1E" w:themeColor="background2"/>
                <w:sz w:val="21"/>
                <w:szCs w:val="21"/>
                <w:lang w:val="en-GB"/>
              </w:rPr>
              <w:t>KNCDID</w:t>
            </w:r>
            <w:r w:rsidRPr="00AF43A2">
              <w:rPr>
                <w:rFonts w:eastAsia="Calibri" w:cstheme="minorHAnsi"/>
                <w:color w:val="1E1E1E" w:themeColor="background2"/>
                <w:sz w:val="21"/>
                <w:szCs w:val="21"/>
                <w:lang w:val="en-GB"/>
              </w:rPr>
              <w:t xml:space="preserve"> in Almaty</w:t>
            </w:r>
            <w:r w:rsidR="00370741" w:rsidRPr="00AF43A2">
              <w:rPr>
                <w:rFonts w:eastAsia="Calibri" w:cstheme="minorHAnsi"/>
                <w:color w:val="1E1E1E" w:themeColor="background2"/>
                <w:sz w:val="21"/>
                <w:szCs w:val="21"/>
                <w:lang w:val="en-GB"/>
              </w:rPr>
              <w:t xml:space="preserve"> </w:t>
            </w:r>
            <w:r w:rsidRPr="00AF43A2">
              <w:rPr>
                <w:rFonts w:eastAsia="Calibri" w:cstheme="minorHAnsi"/>
                <w:color w:val="1E1E1E" w:themeColor="background2"/>
                <w:sz w:val="21"/>
                <w:szCs w:val="21"/>
                <w:lang w:val="en-GB"/>
              </w:rPr>
              <w:t xml:space="preserve">to provide legal and technical </w:t>
            </w:r>
            <w:r w:rsidR="00A701A3" w:rsidRPr="00AF43A2">
              <w:rPr>
                <w:rFonts w:eastAsia="Calibri" w:cstheme="minorHAnsi"/>
                <w:color w:val="1E1E1E" w:themeColor="background2"/>
                <w:sz w:val="21"/>
                <w:szCs w:val="21"/>
                <w:lang w:val="en-GB"/>
              </w:rPr>
              <w:t>assistance</w:t>
            </w:r>
            <w:r w:rsidRPr="00AF43A2">
              <w:rPr>
                <w:rFonts w:eastAsia="Calibri" w:cstheme="minorHAnsi"/>
                <w:color w:val="1E1E1E" w:themeColor="background2"/>
                <w:sz w:val="21"/>
                <w:szCs w:val="21"/>
                <w:lang w:val="en-GB"/>
              </w:rPr>
              <w:t xml:space="preserve"> to </w:t>
            </w:r>
            <w:r w:rsidR="00A701A3" w:rsidRPr="00AF43A2">
              <w:rPr>
                <w:rFonts w:eastAsia="Calibri" w:cstheme="minorHAnsi"/>
                <w:color w:val="1E1E1E" w:themeColor="background2"/>
                <w:sz w:val="21"/>
                <w:szCs w:val="21"/>
                <w:lang w:val="en-GB"/>
              </w:rPr>
              <w:t>support</w:t>
            </w:r>
            <w:r w:rsidRPr="00AF43A2">
              <w:rPr>
                <w:rFonts w:eastAsia="Calibri" w:cstheme="minorHAnsi"/>
                <w:color w:val="1E1E1E" w:themeColor="background2"/>
                <w:sz w:val="21"/>
                <w:szCs w:val="21"/>
                <w:lang w:val="en-GB"/>
              </w:rPr>
              <w:t xml:space="preserve"> </w:t>
            </w:r>
            <w:r w:rsidR="00A701A3" w:rsidRPr="00AF43A2">
              <w:rPr>
                <w:rFonts w:eastAsia="Calibri" w:cstheme="minorHAnsi"/>
                <w:color w:val="1E1E1E" w:themeColor="background2"/>
                <w:sz w:val="21"/>
                <w:szCs w:val="21"/>
                <w:lang w:val="en-GB"/>
              </w:rPr>
              <w:t>the incorporation of</w:t>
            </w:r>
            <w:r w:rsidRPr="00AF43A2">
              <w:rPr>
                <w:rFonts w:eastAsia="Calibri" w:cstheme="minorHAnsi"/>
                <w:color w:val="1E1E1E" w:themeColor="background2"/>
                <w:sz w:val="21"/>
                <w:szCs w:val="21"/>
                <w:lang w:val="en-GB"/>
              </w:rPr>
              <w:t xml:space="preserve"> HIV prevention and care services </w:t>
            </w:r>
            <w:r w:rsidR="00A701A3" w:rsidRPr="00AF43A2">
              <w:rPr>
                <w:rFonts w:eastAsia="Calibri" w:cstheme="minorHAnsi"/>
                <w:color w:val="1E1E1E" w:themeColor="background2"/>
                <w:sz w:val="21"/>
                <w:szCs w:val="21"/>
                <w:lang w:val="en-GB"/>
              </w:rPr>
              <w:t>in</w:t>
            </w:r>
            <w:r w:rsidRPr="00AF43A2">
              <w:rPr>
                <w:rFonts w:eastAsia="Calibri" w:cstheme="minorHAnsi"/>
                <w:color w:val="1E1E1E" w:themeColor="background2"/>
                <w:sz w:val="21"/>
                <w:szCs w:val="21"/>
                <w:lang w:val="en-GB"/>
              </w:rPr>
              <w:t xml:space="preserve"> the </w:t>
            </w:r>
            <w:r w:rsidR="003766D8" w:rsidRPr="00AF43A2">
              <w:rPr>
                <w:rFonts w:eastAsia="Calibri" w:cstheme="minorHAnsi"/>
                <w:color w:val="1E1E1E" w:themeColor="background2"/>
                <w:sz w:val="21"/>
                <w:szCs w:val="21"/>
                <w:lang w:val="en-GB"/>
              </w:rPr>
              <w:t>CSHI</w:t>
            </w:r>
            <w:r w:rsidR="00A701A3" w:rsidRPr="00AF43A2">
              <w:rPr>
                <w:rFonts w:eastAsia="Calibri" w:cstheme="minorHAnsi"/>
                <w:color w:val="1E1E1E" w:themeColor="background2"/>
                <w:sz w:val="21"/>
                <w:szCs w:val="21"/>
                <w:lang w:val="en-GB"/>
              </w:rPr>
              <w:t xml:space="preserve"> system</w:t>
            </w:r>
            <w:r w:rsidRPr="00AF43A2">
              <w:rPr>
                <w:rFonts w:eastAsia="Calibri" w:cstheme="minorHAnsi"/>
                <w:color w:val="1E1E1E" w:themeColor="background2"/>
                <w:sz w:val="21"/>
                <w:szCs w:val="21"/>
                <w:lang w:val="en-GB"/>
              </w:rPr>
              <w:t>. This requires developing official definitions, tariffication and mechanisms (SOPs) for subcontracting of HIV-related health, prevention, care and support services. Th</w:t>
            </w:r>
            <w:r w:rsidR="00A701A3" w:rsidRPr="00AF43A2">
              <w:rPr>
                <w:rFonts w:eastAsia="Calibri" w:cstheme="minorHAnsi"/>
                <w:color w:val="1E1E1E" w:themeColor="background2"/>
                <w:sz w:val="21"/>
                <w:szCs w:val="21"/>
                <w:lang w:val="en-GB"/>
              </w:rPr>
              <w:t xml:space="preserve">is </w:t>
            </w:r>
            <w:r w:rsidRPr="00AF43A2">
              <w:rPr>
                <w:rFonts w:eastAsia="Calibri" w:cstheme="minorHAnsi"/>
                <w:color w:val="1E1E1E" w:themeColor="background2"/>
                <w:sz w:val="21"/>
                <w:szCs w:val="21"/>
                <w:lang w:val="en-GB"/>
              </w:rPr>
              <w:t>staff</w:t>
            </w:r>
            <w:r w:rsidR="00A701A3" w:rsidRPr="00AF43A2">
              <w:rPr>
                <w:rFonts w:eastAsia="Calibri" w:cstheme="minorHAnsi"/>
                <w:color w:val="1E1E1E" w:themeColor="background2"/>
                <w:sz w:val="21"/>
                <w:szCs w:val="21"/>
                <w:lang w:val="en-GB"/>
              </w:rPr>
              <w:t xml:space="preserve"> position</w:t>
            </w:r>
            <w:r w:rsidRPr="00AF43A2">
              <w:rPr>
                <w:rFonts w:eastAsia="Calibri" w:cstheme="minorHAnsi"/>
                <w:color w:val="1E1E1E" w:themeColor="background2"/>
                <w:sz w:val="21"/>
                <w:szCs w:val="21"/>
                <w:lang w:val="en-GB"/>
              </w:rPr>
              <w:t xml:space="preserve"> will also support other tasks, such as issues related to the legalisation of HIV-infected undocumented migrants </w:t>
            </w:r>
            <w:r w:rsidRPr="00AF43A2">
              <w:rPr>
                <w:rFonts w:eastAsia="Calibri" w:cstheme="minorHAnsi"/>
                <w:i/>
                <w:color w:val="1E1E1E" w:themeColor="background2"/>
                <w:sz w:val="21"/>
                <w:szCs w:val="21"/>
                <w:lang w:val="en-GB"/>
              </w:rPr>
              <w:t xml:space="preserve">(see </w:t>
            </w:r>
            <w:r w:rsidR="005A1602" w:rsidRPr="00AF43A2">
              <w:rPr>
                <w:rFonts w:eastAsia="Calibri" w:cstheme="minorHAnsi"/>
                <w:i/>
                <w:color w:val="1E1E1E" w:themeColor="background2"/>
                <w:sz w:val="21"/>
                <w:szCs w:val="21"/>
                <w:lang w:val="en-GB"/>
              </w:rPr>
              <w:t>M</w:t>
            </w:r>
            <w:r w:rsidRPr="00AF43A2">
              <w:rPr>
                <w:rFonts w:eastAsia="Calibri" w:cstheme="minorHAnsi"/>
                <w:i/>
                <w:color w:val="1E1E1E" w:themeColor="background2"/>
                <w:sz w:val="21"/>
                <w:szCs w:val="21"/>
                <w:lang w:val="en-GB"/>
              </w:rPr>
              <w:t>odule 4).</w:t>
            </w:r>
          </w:p>
          <w:p w14:paraId="27330E0E" w14:textId="77777777" w:rsidR="00084391" w:rsidRPr="00AF43A2" w:rsidRDefault="00084391" w:rsidP="000A0528">
            <w:pPr>
              <w:spacing w:after="0" w:line="240" w:lineRule="auto"/>
              <w:jc w:val="both"/>
              <w:rPr>
                <w:rFonts w:eastAsia="Calibri" w:cstheme="minorHAnsi"/>
                <w:color w:val="1E1E1E" w:themeColor="background2"/>
                <w:sz w:val="21"/>
                <w:szCs w:val="21"/>
                <w:lang w:val="en-GB"/>
              </w:rPr>
            </w:pPr>
          </w:p>
          <w:p w14:paraId="40A55FA7" w14:textId="5D00FE79" w:rsidR="00D07D68" w:rsidRPr="00AF43A2" w:rsidRDefault="00084391" w:rsidP="000A0528">
            <w:pPr>
              <w:spacing w:after="0" w:line="240" w:lineRule="auto"/>
              <w:jc w:val="both"/>
              <w:rPr>
                <w:rFonts w:eastAsia="Calibri" w:cstheme="minorHAnsi"/>
                <w:color w:val="1E1E1E" w:themeColor="background2"/>
                <w:sz w:val="21"/>
                <w:szCs w:val="21"/>
                <w:lang w:val="en-GB"/>
              </w:rPr>
            </w:pPr>
            <w:r w:rsidRPr="00AF43A2">
              <w:rPr>
                <w:rFonts w:eastAsia="Calibri" w:cstheme="minorHAnsi"/>
                <w:b/>
                <w:color w:val="1E1E1E" w:themeColor="background2"/>
                <w:sz w:val="21"/>
                <w:szCs w:val="21"/>
                <w:lang w:val="en-GB"/>
              </w:rPr>
              <w:t xml:space="preserve">2. </w:t>
            </w:r>
            <w:r w:rsidRPr="00AF43A2">
              <w:rPr>
                <w:rFonts w:eastAsia="Calibri" w:cstheme="minorHAnsi"/>
                <w:b/>
                <w:color w:val="1E1E1E" w:themeColor="background2"/>
                <w:sz w:val="21"/>
                <w:szCs w:val="21"/>
                <w:u w:val="single"/>
                <w:lang w:val="en-GB"/>
              </w:rPr>
              <w:t>Strengthening programmatic sustainability</w:t>
            </w:r>
            <w:r w:rsidRPr="00AF43A2">
              <w:rPr>
                <w:rFonts w:eastAsia="Calibri" w:cstheme="minorHAnsi"/>
                <w:color w:val="1E1E1E" w:themeColor="background2"/>
                <w:sz w:val="21"/>
                <w:szCs w:val="21"/>
                <w:lang w:val="en-GB"/>
              </w:rPr>
              <w:t xml:space="preserve"> – Despite considerable achievements with regard to financial sustainability, significant challenges remain regarding the </w:t>
            </w:r>
            <w:r w:rsidRPr="00AF43A2">
              <w:rPr>
                <w:rFonts w:eastAsia="Calibri" w:cstheme="minorHAnsi"/>
                <w:b/>
                <w:i/>
                <w:color w:val="1E1E1E" w:themeColor="background2"/>
                <w:sz w:val="21"/>
                <w:szCs w:val="21"/>
                <w:lang w:val="en-GB"/>
              </w:rPr>
              <w:t>programmatic</w:t>
            </w:r>
            <w:r w:rsidRPr="00AF43A2">
              <w:rPr>
                <w:rFonts w:eastAsia="Calibri" w:cstheme="minorHAnsi"/>
                <w:color w:val="1E1E1E" w:themeColor="background2"/>
                <w:sz w:val="21"/>
                <w:szCs w:val="21"/>
                <w:lang w:val="en-GB"/>
              </w:rPr>
              <w:t xml:space="preserve"> sustainability and continuity of HIV prevention, care and treatment services. Programmatic sustainability is hampered by </w:t>
            </w:r>
            <w:r w:rsidRPr="00AF43A2">
              <w:rPr>
                <w:rFonts w:eastAsia="Calibri" w:cstheme="minorHAnsi"/>
                <w:b/>
                <w:i/>
                <w:color w:val="1E1E1E" w:themeColor="background2"/>
                <w:sz w:val="21"/>
                <w:szCs w:val="21"/>
                <w:lang w:val="en-GB"/>
              </w:rPr>
              <w:t>inadequate service models</w:t>
            </w:r>
            <w:r w:rsidRPr="00AF43A2">
              <w:rPr>
                <w:rFonts w:eastAsia="Calibri" w:cstheme="minorHAnsi"/>
                <w:color w:val="1E1E1E" w:themeColor="background2"/>
                <w:sz w:val="21"/>
                <w:szCs w:val="21"/>
                <w:lang w:val="en-GB"/>
              </w:rPr>
              <w:t xml:space="preserve"> that fail to meet the needs of key populations (KPs), resulting in </w:t>
            </w:r>
            <w:r w:rsidRPr="00AF43A2">
              <w:rPr>
                <w:rFonts w:eastAsia="Calibri" w:cstheme="minorHAnsi"/>
                <w:b/>
                <w:i/>
                <w:color w:val="1E1E1E" w:themeColor="background2"/>
                <w:sz w:val="21"/>
                <w:szCs w:val="21"/>
                <w:lang w:val="en-GB"/>
              </w:rPr>
              <w:t>poor uptake and coverage</w:t>
            </w:r>
            <w:r w:rsidRPr="00AF43A2">
              <w:rPr>
                <w:rFonts w:eastAsia="Calibri" w:cstheme="minorHAnsi"/>
                <w:color w:val="1E1E1E" w:themeColor="background2"/>
                <w:sz w:val="21"/>
                <w:szCs w:val="21"/>
                <w:lang w:val="en-GB"/>
              </w:rPr>
              <w:t xml:space="preserve">. In addition, there are still important </w:t>
            </w:r>
            <w:r w:rsidRPr="00AF43A2">
              <w:rPr>
                <w:rFonts w:eastAsia="Calibri" w:cstheme="minorHAnsi"/>
                <w:b/>
                <w:i/>
                <w:color w:val="1E1E1E" w:themeColor="background2"/>
                <w:sz w:val="21"/>
                <w:szCs w:val="21"/>
                <w:lang w:val="en-GB"/>
              </w:rPr>
              <w:t>gaps with regard to key services</w:t>
            </w:r>
            <w:r w:rsidRPr="00AF43A2">
              <w:rPr>
                <w:rFonts w:eastAsia="Calibri" w:cstheme="minorHAnsi"/>
                <w:color w:val="1E1E1E" w:themeColor="background2"/>
                <w:sz w:val="21"/>
                <w:szCs w:val="21"/>
                <w:lang w:val="en-GB"/>
              </w:rPr>
              <w:t>, especially for KPs.</w:t>
            </w:r>
          </w:p>
          <w:p w14:paraId="0DDD0CFA" w14:textId="1E0799C3"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In this regard, this Funding Request seeks support for strengthening the quality and comprehensiveness of service models. This includes interventions to</w:t>
            </w:r>
            <w:r w:rsidRPr="00AF43A2">
              <w:rPr>
                <w:rFonts w:eastAsia="Calibri" w:cstheme="minorHAnsi"/>
                <w:b/>
                <w:i/>
                <w:color w:val="1E1E1E" w:themeColor="background2"/>
                <w:sz w:val="21"/>
                <w:szCs w:val="21"/>
                <w:lang w:val="en-GB"/>
              </w:rPr>
              <w:t xml:space="preserve"> introduce innovative approaches and fill gaps in service delivery</w:t>
            </w:r>
            <w:r w:rsidRPr="00AF43A2">
              <w:rPr>
                <w:rFonts w:eastAsia="Calibri" w:cstheme="minorHAnsi"/>
                <w:color w:val="1E1E1E" w:themeColor="background2"/>
                <w:sz w:val="21"/>
                <w:szCs w:val="21"/>
                <w:lang w:val="en-GB"/>
              </w:rPr>
              <w:t xml:space="preserve"> in the field of </w:t>
            </w:r>
            <w:r w:rsidRPr="00AF43A2">
              <w:rPr>
                <w:rFonts w:eastAsia="Calibri" w:cstheme="minorHAnsi"/>
                <w:b/>
                <w:i/>
                <w:color w:val="1E1E1E" w:themeColor="background2"/>
                <w:sz w:val="21"/>
                <w:szCs w:val="21"/>
                <w:lang w:val="en-GB"/>
              </w:rPr>
              <w:t>HIV prevention for KPs</w:t>
            </w:r>
            <w:r w:rsidRPr="00AF43A2">
              <w:rPr>
                <w:rFonts w:eastAsia="Calibri" w:cstheme="minorHAnsi"/>
                <w:color w:val="1E1E1E" w:themeColor="background2"/>
                <w:sz w:val="21"/>
                <w:szCs w:val="21"/>
                <w:lang w:val="en-GB"/>
              </w:rPr>
              <w:t>, such as: i) services tailored to transgender people; ii) PrEP for MSM and TG people; iii) Opioid substitution therapy (OST) and overdose management for PWID; and iv) programmes for users of new psychoactive substances (NPS)</w:t>
            </w:r>
            <w:r w:rsidR="000F67E9">
              <w:rPr>
                <w:rFonts w:eastAsia="Calibri" w:cstheme="minorHAnsi"/>
                <w:color w:val="1E1E1E" w:themeColor="background2"/>
                <w:sz w:val="21"/>
                <w:szCs w:val="21"/>
                <w:lang w:val="en-GB"/>
              </w:rPr>
              <w:t xml:space="preserve">, with special attention for </w:t>
            </w:r>
            <w:r w:rsidR="002E5629">
              <w:rPr>
                <w:rFonts w:eastAsia="Calibri" w:cstheme="minorHAnsi"/>
                <w:color w:val="1E1E1E" w:themeColor="background2"/>
                <w:sz w:val="21"/>
                <w:szCs w:val="21"/>
                <w:lang w:val="en-GB"/>
              </w:rPr>
              <w:t xml:space="preserve">the special needs of </w:t>
            </w:r>
            <w:r w:rsidR="000F67E9">
              <w:rPr>
                <w:rFonts w:eastAsia="Calibri" w:cstheme="minorHAnsi"/>
                <w:color w:val="1E1E1E" w:themeColor="background2"/>
                <w:sz w:val="21"/>
                <w:szCs w:val="21"/>
                <w:lang w:val="en-GB"/>
              </w:rPr>
              <w:t>female drug users</w:t>
            </w:r>
            <w:r w:rsidRPr="00AF43A2">
              <w:rPr>
                <w:rFonts w:eastAsia="Calibri" w:cstheme="minorHAnsi"/>
                <w:color w:val="1E1E1E" w:themeColor="background2"/>
                <w:sz w:val="21"/>
                <w:szCs w:val="21"/>
                <w:lang w:val="en-GB"/>
              </w:rPr>
              <w:t xml:space="preserve">. </w:t>
            </w:r>
            <w:r w:rsidR="00F94B4C" w:rsidRPr="00AF43A2">
              <w:rPr>
                <w:rFonts w:eastAsia="Calibri" w:cstheme="minorHAnsi"/>
                <w:color w:val="1E1E1E" w:themeColor="background2"/>
                <w:sz w:val="21"/>
                <w:szCs w:val="21"/>
                <w:lang w:val="en-GB"/>
              </w:rPr>
              <w:t xml:space="preserve">The funding request does not seek support for SW programmes, as these are relatively well-covered by government services, and HIV prevalence among SWs has shown a steadily declining trend in the past years. </w:t>
            </w:r>
            <w:r w:rsidRPr="00AF43A2">
              <w:rPr>
                <w:rFonts w:eastAsia="Calibri" w:cstheme="minorHAnsi"/>
                <w:color w:val="1E1E1E" w:themeColor="background2"/>
                <w:sz w:val="21"/>
                <w:szCs w:val="21"/>
                <w:lang w:val="en-GB"/>
              </w:rPr>
              <w:t xml:space="preserve">In addition, the grant will support innovative approaches to </w:t>
            </w:r>
            <w:r w:rsidRPr="00AF43A2">
              <w:rPr>
                <w:rFonts w:eastAsia="Calibri" w:cstheme="minorHAnsi"/>
                <w:b/>
                <w:i/>
                <w:color w:val="1E1E1E" w:themeColor="background2"/>
                <w:sz w:val="21"/>
                <w:szCs w:val="21"/>
                <w:lang w:val="en-GB"/>
              </w:rPr>
              <w:t>HIV testing and treatment support</w:t>
            </w:r>
            <w:r w:rsidRPr="00AF43A2">
              <w:rPr>
                <w:rFonts w:eastAsia="Calibri" w:cstheme="minorHAnsi"/>
                <w:color w:val="1E1E1E" w:themeColor="background2"/>
                <w:sz w:val="21"/>
                <w:szCs w:val="21"/>
                <w:lang w:val="en-GB"/>
              </w:rPr>
              <w:t xml:space="preserve"> with a view to achieving the 95-95-95 Fast-Track Targets for ending the AIDS epidemic by 2030. This includes: v) Community-based HIV testing with rapid oral tests; vi) HIV self-testing</w:t>
            </w:r>
            <w:r w:rsidR="0023526D" w:rsidRPr="00AF43A2">
              <w:rPr>
                <w:rFonts w:eastAsia="Calibri" w:cstheme="minorHAnsi"/>
                <w:color w:val="1E1E1E" w:themeColor="background2"/>
                <w:sz w:val="21"/>
                <w:szCs w:val="21"/>
                <w:lang w:val="en-GB"/>
              </w:rPr>
              <w:t xml:space="preserve">. Community-based and self-testing will both contribute to strengthening the “test-and-start” approach; </w:t>
            </w:r>
            <w:r w:rsidRPr="00AF43A2">
              <w:rPr>
                <w:rFonts w:eastAsia="Calibri" w:cstheme="minorHAnsi"/>
                <w:color w:val="1E1E1E" w:themeColor="background2"/>
                <w:sz w:val="21"/>
                <w:szCs w:val="21"/>
                <w:lang w:val="en-GB"/>
              </w:rPr>
              <w:t xml:space="preserve">vii) Community-based support to strengthen ART adherence; </w:t>
            </w:r>
            <w:r w:rsidR="0023526D" w:rsidRPr="00AF43A2">
              <w:rPr>
                <w:rFonts w:eastAsia="Calibri" w:cstheme="minorHAnsi"/>
                <w:color w:val="1E1E1E" w:themeColor="background2"/>
                <w:sz w:val="21"/>
                <w:szCs w:val="21"/>
                <w:lang w:val="en-GB"/>
              </w:rPr>
              <w:t xml:space="preserve">as well as support for effective patient monitoring through viral load testing (PCR machines); </w:t>
            </w:r>
            <w:r w:rsidRPr="00AF43A2">
              <w:rPr>
                <w:rFonts w:eastAsia="Calibri" w:cstheme="minorHAnsi"/>
                <w:color w:val="1E1E1E" w:themeColor="background2"/>
                <w:sz w:val="21"/>
                <w:szCs w:val="21"/>
                <w:lang w:val="en-GB"/>
              </w:rPr>
              <w:t>and</w:t>
            </w:r>
            <w:r w:rsidR="0023526D" w:rsidRPr="00AF43A2">
              <w:rPr>
                <w:rFonts w:eastAsia="Calibri" w:cstheme="minorHAnsi"/>
                <w:color w:val="1E1E1E" w:themeColor="background2"/>
                <w:sz w:val="21"/>
                <w:szCs w:val="21"/>
                <w:lang w:val="en-GB"/>
              </w:rPr>
              <w:t>:</w:t>
            </w:r>
            <w:r w:rsidRPr="00AF43A2">
              <w:rPr>
                <w:rFonts w:eastAsia="Calibri" w:cstheme="minorHAnsi"/>
                <w:color w:val="1E1E1E" w:themeColor="background2"/>
                <w:sz w:val="21"/>
                <w:szCs w:val="21"/>
                <w:lang w:val="en-GB"/>
              </w:rPr>
              <w:t xml:space="preserve"> viii) ensuring access to ART for undocumented migrants with HIV. In this regard, the new grant will support the </w:t>
            </w:r>
            <w:r w:rsidRPr="00AF43A2">
              <w:rPr>
                <w:rFonts w:eastAsia="Calibri" w:cstheme="minorHAnsi"/>
                <w:b/>
                <w:i/>
                <w:color w:val="1E1E1E" w:themeColor="background2"/>
                <w:sz w:val="21"/>
                <w:szCs w:val="21"/>
                <w:lang w:val="en-GB"/>
              </w:rPr>
              <w:t>following Interventions:</w:t>
            </w:r>
          </w:p>
          <w:p w14:paraId="74478DF0" w14:textId="77777777"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p>
          <w:p w14:paraId="781D1616" w14:textId="0DB690B3" w:rsidR="00084391" w:rsidRPr="00AF43A2" w:rsidRDefault="00084391" w:rsidP="000A0528">
            <w:pPr>
              <w:spacing w:after="0" w:line="240" w:lineRule="auto"/>
              <w:ind w:firstLine="284"/>
              <w:jc w:val="both"/>
              <w:rPr>
                <w:rFonts w:eastAsia="Calibri" w:cstheme="minorHAnsi"/>
                <w:color w:val="1E1E1E" w:themeColor="background2"/>
                <w:sz w:val="28"/>
                <w:szCs w:val="21"/>
                <w:lang w:val="en-GB"/>
              </w:rPr>
            </w:pPr>
            <w:r w:rsidRPr="00AF43A2">
              <w:rPr>
                <w:rFonts w:eastAsia="Calibri" w:cstheme="minorHAnsi"/>
                <w:b/>
                <w:i/>
                <w:color w:val="1E1E1E" w:themeColor="background2"/>
                <w:sz w:val="21"/>
                <w:szCs w:val="21"/>
                <w:lang w:val="en-GB"/>
              </w:rPr>
              <w:t xml:space="preserve">Intervention 1.3: Programme development for Transgender people (TG) </w:t>
            </w:r>
            <w:r w:rsidRPr="00AF43A2">
              <w:rPr>
                <w:rFonts w:eastAsia="Calibri" w:cstheme="minorHAnsi"/>
                <w:color w:val="1E1E1E" w:themeColor="background2"/>
                <w:sz w:val="21"/>
                <w:szCs w:val="21"/>
                <w:lang w:val="en-GB"/>
              </w:rPr>
              <w:t xml:space="preserve">– To date, HIV prevention services for TG people have been implemented in combination with MSM, without taking into account the specific HIV risks and vulnerabilities, and different service needs. E.g. in many countries, TG are at much higher risk for HIV, as many engage in sex work with many non-regular partners. In this context, it is important to develop a special service package for TG people, that will be better tailored to their unique service needs, and thus more (cost) effective in preventing HIV among this population. The Grant will support the following activities: 1) A rapid assessment </w:t>
            </w:r>
            <w:r w:rsidR="00EA6921" w:rsidRPr="00AF43A2">
              <w:rPr>
                <w:rFonts w:eastAsia="Calibri" w:cstheme="minorHAnsi"/>
                <w:color w:val="1E1E1E" w:themeColor="background2"/>
                <w:sz w:val="21"/>
                <w:szCs w:val="21"/>
                <w:lang w:val="en-GB"/>
              </w:rPr>
              <w:t xml:space="preserve">and population size estimation </w:t>
            </w:r>
            <w:r w:rsidRPr="00AF43A2">
              <w:rPr>
                <w:rFonts w:eastAsia="Calibri" w:cstheme="minorHAnsi"/>
                <w:color w:val="1E1E1E" w:themeColor="background2"/>
                <w:sz w:val="21"/>
                <w:szCs w:val="21"/>
                <w:lang w:val="en-GB"/>
              </w:rPr>
              <w:t xml:space="preserve">will be done in 2021 to identify TG people’s specific risk profile and behaviours, </w:t>
            </w:r>
            <w:r w:rsidR="00421F21" w:rsidRPr="00AF43A2">
              <w:rPr>
                <w:rFonts w:eastAsia="Calibri" w:cstheme="minorHAnsi"/>
                <w:color w:val="1E1E1E" w:themeColor="background2"/>
                <w:sz w:val="21"/>
                <w:szCs w:val="21"/>
                <w:lang w:val="en-GB"/>
              </w:rPr>
              <w:t xml:space="preserve">human rights-related barriers in accessing services, </w:t>
            </w:r>
            <w:r w:rsidRPr="00AF43A2">
              <w:rPr>
                <w:rFonts w:eastAsia="Calibri" w:cstheme="minorHAnsi"/>
                <w:color w:val="1E1E1E" w:themeColor="background2"/>
                <w:sz w:val="21"/>
                <w:szCs w:val="21"/>
                <w:lang w:val="en-GB"/>
              </w:rPr>
              <w:t xml:space="preserve">as well as priority service needs; 2) The </w:t>
            </w:r>
            <w:r w:rsidR="00421F21" w:rsidRPr="00AF43A2">
              <w:rPr>
                <w:rFonts w:eastAsia="Calibri" w:cstheme="minorHAnsi"/>
                <w:color w:val="1E1E1E" w:themeColor="background2"/>
                <w:sz w:val="21"/>
                <w:szCs w:val="21"/>
                <w:lang w:val="en-GB"/>
              </w:rPr>
              <w:t>results</w:t>
            </w:r>
            <w:r w:rsidRPr="00AF43A2">
              <w:rPr>
                <w:rFonts w:eastAsia="Calibri" w:cstheme="minorHAnsi"/>
                <w:color w:val="1E1E1E" w:themeColor="background2"/>
                <w:sz w:val="21"/>
                <w:szCs w:val="21"/>
                <w:lang w:val="en-GB"/>
              </w:rPr>
              <w:t xml:space="preserve"> of the assessment will inform and the development of a service package and implementation modalities tailored to TG people’s needs; 3) Capacity building of 25 Government and NGO staff and ORWs working with TG people; 4) As of 2021, Q3, the service package will be implemented in 4 Regions that are known to host many TG people</w:t>
            </w:r>
            <w:r w:rsidR="00DF2C86" w:rsidRPr="00AF43A2">
              <w:rPr>
                <w:rFonts w:eastAsia="Calibri" w:cstheme="minorHAnsi"/>
                <w:color w:val="1E1E1E" w:themeColor="background2"/>
                <w:sz w:val="21"/>
                <w:szCs w:val="21"/>
                <w:lang w:val="en-GB"/>
              </w:rPr>
              <w:t xml:space="preserve"> (Aktobe, Karaganda, Shymkent </w:t>
            </w:r>
            <w:r w:rsidR="00EA6921" w:rsidRPr="00AF43A2">
              <w:rPr>
                <w:rFonts w:eastAsia="Calibri" w:cstheme="minorHAnsi"/>
                <w:color w:val="1E1E1E" w:themeColor="background2"/>
                <w:sz w:val="21"/>
                <w:szCs w:val="21"/>
                <w:lang w:val="en-GB"/>
              </w:rPr>
              <w:t>and</w:t>
            </w:r>
            <w:r w:rsidR="00DF2C86" w:rsidRPr="00AF43A2">
              <w:rPr>
                <w:rFonts w:eastAsia="Calibri" w:cstheme="minorHAnsi"/>
                <w:color w:val="1E1E1E" w:themeColor="background2"/>
                <w:sz w:val="21"/>
                <w:szCs w:val="21"/>
                <w:lang w:val="en-GB"/>
              </w:rPr>
              <w:t xml:space="preserve"> Nur-Sultan)</w:t>
            </w:r>
            <w:r w:rsidRPr="00AF43A2">
              <w:rPr>
                <w:rFonts w:eastAsia="Calibri" w:cstheme="minorHAnsi"/>
                <w:color w:val="1E1E1E" w:themeColor="background2"/>
                <w:sz w:val="21"/>
                <w:szCs w:val="21"/>
                <w:lang w:val="en-GB"/>
              </w:rPr>
              <w:t>. Specialised ORWs for TG will be supported through existing NGOs working with MSM. In addition to condoms, lubricants and HIV testing, the package may include support for consultations with endocrinologists on hormone therapy etc.</w:t>
            </w:r>
          </w:p>
          <w:p w14:paraId="0EE54B66" w14:textId="77777777"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p>
          <w:p w14:paraId="0D8A2FD8" w14:textId="35247807"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Intervention 1.4: Pre-Exposure Prophylaxis (PrEP)</w:t>
            </w:r>
            <w:r w:rsidRPr="00AF43A2">
              <w:rPr>
                <w:rFonts w:eastAsia="Calibri" w:cstheme="minorHAnsi"/>
                <w:color w:val="1E1E1E" w:themeColor="background2"/>
                <w:sz w:val="21"/>
                <w:szCs w:val="21"/>
                <w:lang w:val="en-GB"/>
              </w:rPr>
              <w:t xml:space="preserve"> – In the past, the national response to HIV in Kazakhstan was predominantly focused on HIV prevention among PWID, with MSM given much less attention. However, recent data show a clear increase of HIV prevalence among MSM, as well as widespread high-risk behaviours, including multiple sex partners, low condom use, as well as sexual contacts with women by a majority of MSM (69%)</w:t>
            </w:r>
            <w:r w:rsidR="00421F21" w:rsidRPr="00AF43A2">
              <w:rPr>
                <w:rFonts w:eastAsia="Calibri" w:cstheme="minorHAnsi"/>
                <w:color w:val="1E1E1E" w:themeColor="background2"/>
                <w:sz w:val="21"/>
                <w:szCs w:val="21"/>
                <w:lang w:val="en-GB"/>
              </w:rPr>
              <w:t xml:space="preserve"> </w:t>
            </w:r>
            <w:r w:rsidR="00421F21" w:rsidRPr="00AF43A2">
              <w:rPr>
                <w:rFonts w:eastAsia="Calibri" w:cstheme="minorHAnsi"/>
                <w:i/>
                <w:color w:val="1E1E1E" w:themeColor="background2"/>
                <w:sz w:val="21"/>
                <w:szCs w:val="21"/>
                <w:lang w:val="en-GB"/>
              </w:rPr>
              <w:t>(ECOM, 2018)</w:t>
            </w:r>
            <w:r w:rsidRPr="00AF43A2">
              <w:rPr>
                <w:rFonts w:eastAsia="Calibri" w:cstheme="minorHAnsi"/>
                <w:color w:val="1E1E1E" w:themeColor="background2"/>
                <w:sz w:val="21"/>
                <w:szCs w:val="21"/>
                <w:lang w:val="en-GB"/>
              </w:rPr>
              <w:t xml:space="preserve">. Thus, MSM may have a considerable impact on the general HIV epidemiologic situation in the coming years and more emphasis is needed for HIV prevention among MSM. In this context, PrEP </w:t>
            </w:r>
            <w:r w:rsidR="00CC2002" w:rsidRPr="00AF43A2">
              <w:rPr>
                <w:rFonts w:eastAsia="Calibri" w:cstheme="minorHAnsi"/>
                <w:color w:val="1E1E1E" w:themeColor="background2"/>
                <w:sz w:val="21"/>
                <w:szCs w:val="21"/>
                <w:lang w:val="en-GB"/>
              </w:rPr>
              <w:t xml:space="preserve">is an evidence-based </w:t>
            </w:r>
            <w:r w:rsidRPr="00AF43A2">
              <w:rPr>
                <w:rFonts w:eastAsia="Calibri" w:cstheme="minorHAnsi"/>
                <w:color w:val="1E1E1E" w:themeColor="background2"/>
                <w:sz w:val="21"/>
                <w:szCs w:val="21"/>
                <w:lang w:val="en-GB"/>
              </w:rPr>
              <w:t xml:space="preserve">HIV </w:t>
            </w:r>
            <w:r w:rsidRPr="00042951">
              <w:rPr>
                <w:rFonts w:eastAsia="Calibri" w:cstheme="minorHAnsi"/>
                <w:color w:val="1E1E1E" w:themeColor="background2"/>
                <w:sz w:val="21"/>
                <w:szCs w:val="21"/>
                <w:lang w:val="en-GB"/>
              </w:rPr>
              <w:t>prevention intervention</w:t>
            </w:r>
            <w:r w:rsidR="00CC2002" w:rsidRPr="00042951">
              <w:rPr>
                <w:rFonts w:eastAsia="Calibri" w:cstheme="minorHAnsi"/>
                <w:color w:val="1E1E1E" w:themeColor="background2"/>
                <w:sz w:val="21"/>
                <w:szCs w:val="21"/>
                <w:lang w:val="en-GB"/>
              </w:rPr>
              <w:t>,</w:t>
            </w:r>
            <w:r w:rsidRPr="00042951">
              <w:rPr>
                <w:rFonts w:eastAsia="Calibri" w:cstheme="minorHAnsi"/>
                <w:color w:val="1E1E1E" w:themeColor="background2"/>
                <w:sz w:val="21"/>
                <w:szCs w:val="21"/>
                <w:lang w:val="en-GB"/>
              </w:rPr>
              <w:t xml:space="preserve"> </w:t>
            </w:r>
            <w:r w:rsidR="00CC2002" w:rsidRPr="00042951">
              <w:rPr>
                <w:rFonts w:eastAsia="Calibri" w:cstheme="minorHAnsi"/>
                <w:color w:val="1E1E1E" w:themeColor="background2"/>
                <w:sz w:val="21"/>
                <w:szCs w:val="21"/>
                <w:lang w:val="en-GB"/>
              </w:rPr>
              <w:t xml:space="preserve">which may be cost-effective among MSM and TG people </w:t>
            </w:r>
            <w:r w:rsidR="00342807" w:rsidRPr="00042951">
              <w:rPr>
                <w:rFonts w:eastAsia="Calibri" w:cstheme="minorHAnsi"/>
                <w:i/>
                <w:color w:val="1E1E1E" w:themeColor="background2"/>
                <w:sz w:val="21"/>
                <w:szCs w:val="21"/>
                <w:lang w:val="en-GB"/>
              </w:rPr>
              <w:t>(</w:t>
            </w:r>
            <w:r w:rsidR="00CF062C" w:rsidRPr="00042951">
              <w:rPr>
                <w:rFonts w:eastAsia="Calibri" w:cstheme="minorHAnsi"/>
                <w:i/>
                <w:color w:val="1E1E1E" w:themeColor="background2"/>
                <w:sz w:val="21"/>
                <w:szCs w:val="21"/>
                <w:lang w:val="en-GB"/>
              </w:rPr>
              <w:t>see Annex 10; pp. 4 &amp; 14</w:t>
            </w:r>
            <w:r w:rsidR="008E15AF" w:rsidRPr="00042951">
              <w:rPr>
                <w:rFonts w:eastAsia="Calibri" w:cstheme="minorHAnsi"/>
                <w:i/>
                <w:color w:val="1E1E1E" w:themeColor="background2"/>
                <w:sz w:val="21"/>
                <w:szCs w:val="21"/>
                <w:lang w:val="en-GB"/>
              </w:rPr>
              <w:t>)</w:t>
            </w:r>
            <w:r w:rsidRPr="00042951">
              <w:rPr>
                <w:rFonts w:eastAsia="Calibri" w:cstheme="minorHAnsi"/>
                <w:color w:val="1E1E1E" w:themeColor="background2"/>
                <w:sz w:val="21"/>
                <w:szCs w:val="21"/>
                <w:lang w:val="en-GB"/>
              </w:rPr>
              <w:t xml:space="preserve">. To date, however, there has been no experience with PrEP in Kazakhstan. Therefore, the grant will support a 2-year PrEP demonstration project in 2021 </w:t>
            </w:r>
            <w:r w:rsidRPr="00042951">
              <w:rPr>
                <w:rFonts w:eastAsia="Calibri" w:cstheme="minorHAnsi"/>
                <w:color w:val="1E1E1E" w:themeColor="background2"/>
                <w:sz w:val="21"/>
                <w:szCs w:val="21"/>
                <w:lang w:val="en-GB"/>
              </w:rPr>
              <w:lastRenderedPageBreak/>
              <w:t>and 2022 for MSM and TG</w:t>
            </w:r>
            <w:r w:rsidR="00231E8E" w:rsidRPr="00042951">
              <w:rPr>
                <w:rFonts w:eastAsia="Calibri" w:cstheme="minorHAnsi"/>
                <w:color w:val="1E1E1E" w:themeColor="background2"/>
                <w:sz w:val="21"/>
                <w:szCs w:val="21"/>
                <w:lang w:val="en-GB"/>
              </w:rPr>
              <w:t xml:space="preserve">; starting with </w:t>
            </w:r>
            <w:r w:rsidR="00E80AE0" w:rsidRPr="00042951">
              <w:rPr>
                <w:rFonts w:eastAsia="Calibri" w:cstheme="minorHAnsi"/>
                <w:color w:val="1E1E1E" w:themeColor="background2"/>
                <w:sz w:val="21"/>
                <w:szCs w:val="21"/>
                <w:lang w:val="en-GB"/>
              </w:rPr>
              <w:t>1</w:t>
            </w:r>
            <w:r w:rsidR="00231E8E" w:rsidRPr="00042951">
              <w:rPr>
                <w:rFonts w:eastAsia="Calibri" w:cstheme="minorHAnsi"/>
                <w:color w:val="1E1E1E" w:themeColor="background2"/>
                <w:sz w:val="21"/>
                <w:szCs w:val="21"/>
                <w:lang w:val="en-GB"/>
              </w:rPr>
              <w:t xml:space="preserve">00 clients </w:t>
            </w:r>
            <w:r w:rsidRPr="00042951">
              <w:rPr>
                <w:rFonts w:eastAsia="Calibri" w:cstheme="minorHAnsi"/>
                <w:color w:val="1E1E1E" w:themeColor="background2"/>
                <w:sz w:val="21"/>
                <w:szCs w:val="21"/>
                <w:lang w:val="en-GB"/>
              </w:rPr>
              <w:t>in 2 Regions</w:t>
            </w:r>
            <w:r w:rsidR="00231E8E" w:rsidRPr="00042951">
              <w:rPr>
                <w:rFonts w:eastAsia="Calibri" w:cstheme="minorHAnsi"/>
                <w:color w:val="1E1E1E" w:themeColor="background2"/>
                <w:sz w:val="21"/>
                <w:szCs w:val="21"/>
                <w:lang w:val="en-GB"/>
              </w:rPr>
              <w:t xml:space="preserve"> in 2021</w:t>
            </w:r>
            <w:r w:rsidRPr="00042951">
              <w:rPr>
                <w:rFonts w:eastAsia="Calibri" w:cstheme="minorHAnsi"/>
                <w:color w:val="1E1E1E" w:themeColor="background2"/>
                <w:sz w:val="21"/>
                <w:szCs w:val="21"/>
                <w:lang w:val="en-GB"/>
              </w:rPr>
              <w:t xml:space="preserve"> (Nur-Sultan and Shymkent)</w:t>
            </w:r>
            <w:r w:rsidR="00231E8E" w:rsidRPr="00042951">
              <w:rPr>
                <w:rFonts w:eastAsia="Calibri" w:cstheme="minorHAnsi"/>
                <w:color w:val="1E1E1E" w:themeColor="background2"/>
                <w:sz w:val="21"/>
                <w:szCs w:val="21"/>
                <w:lang w:val="en-GB"/>
              </w:rPr>
              <w:t>, and expanding to</w:t>
            </w:r>
            <w:r w:rsidR="00231E8E" w:rsidRPr="00AF43A2">
              <w:rPr>
                <w:rFonts w:eastAsia="Calibri" w:cstheme="minorHAnsi"/>
                <w:color w:val="1E1E1E" w:themeColor="background2"/>
                <w:sz w:val="21"/>
                <w:szCs w:val="21"/>
                <w:lang w:val="en-GB"/>
              </w:rPr>
              <w:t xml:space="preserve"> 300 clients in 4 regions in 2022</w:t>
            </w:r>
            <w:r w:rsidRPr="00AF43A2">
              <w:rPr>
                <w:rFonts w:eastAsia="Calibri" w:cstheme="minorHAnsi"/>
                <w:color w:val="1E1E1E" w:themeColor="background2"/>
                <w:sz w:val="21"/>
                <w:szCs w:val="21"/>
                <w:lang w:val="en-GB"/>
              </w:rPr>
              <w:t xml:space="preserve">. If successful, the results of the PrEP demonstration project will be used as the basis for expansion of PrEP to </w:t>
            </w:r>
            <w:r w:rsidR="00231E8E" w:rsidRPr="00AF43A2">
              <w:rPr>
                <w:rFonts w:eastAsia="Calibri" w:cstheme="minorHAnsi"/>
                <w:color w:val="1E1E1E" w:themeColor="background2"/>
                <w:sz w:val="21"/>
                <w:szCs w:val="21"/>
                <w:lang w:val="en-GB"/>
              </w:rPr>
              <w:t>600 MSM and TG clients in 6</w:t>
            </w:r>
            <w:r w:rsidRPr="00AF43A2">
              <w:rPr>
                <w:rFonts w:eastAsia="Calibri" w:cstheme="minorHAnsi"/>
                <w:color w:val="1E1E1E" w:themeColor="background2"/>
                <w:sz w:val="21"/>
                <w:szCs w:val="21"/>
                <w:lang w:val="en-GB"/>
              </w:rPr>
              <w:t xml:space="preserve"> regions with high HIV prevalence among MSM as of 2023, with full financial support by the Government</w:t>
            </w:r>
            <w:r w:rsidR="00231E8E" w:rsidRPr="00AF43A2">
              <w:rPr>
                <w:rFonts w:eastAsia="Calibri" w:cstheme="minorHAnsi"/>
                <w:color w:val="1E1E1E" w:themeColor="background2"/>
                <w:sz w:val="21"/>
                <w:szCs w:val="21"/>
                <w:lang w:val="en-GB"/>
              </w:rPr>
              <w:t>.</w:t>
            </w:r>
          </w:p>
          <w:p w14:paraId="095A3642" w14:textId="33F62774"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r w:rsidRPr="00AF43A2">
              <w:rPr>
                <w:rFonts w:eastAsia="Calibri" w:cstheme="minorHAnsi"/>
                <w:color w:val="1E1E1E" w:themeColor="background2"/>
                <w:sz w:val="21"/>
                <w:szCs w:val="21"/>
                <w:lang w:val="en-GB"/>
              </w:rPr>
              <w:t xml:space="preserve">The PrEP demonstration project will be implemented by the </w:t>
            </w:r>
            <w:r w:rsidR="001D3332" w:rsidRPr="00AF43A2">
              <w:rPr>
                <w:rFonts w:eastAsia="Calibri" w:cstheme="minorHAnsi"/>
                <w:color w:val="1E1E1E" w:themeColor="background2"/>
                <w:sz w:val="21"/>
                <w:szCs w:val="21"/>
                <w:lang w:val="en-GB"/>
              </w:rPr>
              <w:t>KNCDID</w:t>
            </w:r>
            <w:r w:rsidRPr="00AF43A2">
              <w:rPr>
                <w:rFonts w:eastAsia="Calibri" w:cstheme="minorHAnsi"/>
                <w:color w:val="1E1E1E" w:themeColor="background2"/>
                <w:sz w:val="21"/>
                <w:szCs w:val="21"/>
                <w:lang w:val="en-GB"/>
              </w:rPr>
              <w:t xml:space="preserve"> with technical support from a local research company team, which will manage implementation of the PrEP project and conduct operational research to assess its outcomes and cost-effectiveness. Procurement includes PrEP drugs and rapid oral test kits. Other activities include a comprehensive information campaigns to create demand (website, social media, videos and IEC materials); capacity building of staff; and the development of instruments for adherence support, such as a website to provide digitalised access to information about PrEP, FAQs and application for smart phones to ensure adherence.</w:t>
            </w:r>
          </w:p>
          <w:p w14:paraId="64E02BB6" w14:textId="77777777"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p>
          <w:p w14:paraId="06F9C5A1" w14:textId="77777777" w:rsidR="00084391" w:rsidRPr="00042951"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Intervention 1.5: Opioid substitution therapy (OST)</w:t>
            </w:r>
            <w:r w:rsidRPr="00AF43A2">
              <w:rPr>
                <w:rFonts w:eastAsia="Calibri" w:cstheme="minorHAnsi"/>
                <w:color w:val="1E1E1E" w:themeColor="background2"/>
                <w:sz w:val="21"/>
                <w:szCs w:val="21"/>
                <w:lang w:val="en-GB"/>
              </w:rPr>
              <w:t xml:space="preserve"> – OST has a positive impact on the lives of PWID and their partners and families, as it allows them to normalise their life, without the need to find money to pay for drugs. OST improves wellbeing by preventing physical withdrawal; helps to stabilise the lives of PWID and reduces the harms related to the use of heroin or other opioids, including HIV infection. OST was first introduced in two Regions Kazakhstan in October 2008, and currently 13 OST sites are functioning. The legal framework for OST is in place; Methadone hydrochloride is registered as a medicine; and a Clinical Protocol for OST has been approved. In addition, an OST </w:t>
            </w:r>
            <w:r w:rsidRPr="00042951">
              <w:rPr>
                <w:rFonts w:eastAsia="Calibri" w:cstheme="minorHAnsi"/>
                <w:color w:val="1E1E1E" w:themeColor="background2"/>
                <w:sz w:val="21"/>
                <w:szCs w:val="21"/>
                <w:lang w:val="en-GB"/>
              </w:rPr>
              <w:t>Road Map was adopted for 2019-2020.</w:t>
            </w:r>
          </w:p>
          <w:p w14:paraId="371F632B" w14:textId="6E18F39A" w:rsidR="00084391" w:rsidRPr="00042951" w:rsidRDefault="00084391" w:rsidP="000A0528">
            <w:pPr>
              <w:spacing w:after="0" w:line="240" w:lineRule="auto"/>
              <w:ind w:firstLine="284"/>
              <w:jc w:val="both"/>
              <w:rPr>
                <w:rFonts w:eastAsia="Calibri" w:cstheme="minorHAnsi"/>
                <w:color w:val="1E1E1E" w:themeColor="background2"/>
                <w:sz w:val="21"/>
                <w:szCs w:val="21"/>
                <w:lang w:val="en-GB"/>
              </w:rPr>
            </w:pPr>
            <w:r w:rsidRPr="00042951">
              <w:rPr>
                <w:rFonts w:eastAsia="Calibri" w:cstheme="minorHAnsi"/>
                <w:color w:val="1E1E1E" w:themeColor="background2"/>
                <w:sz w:val="21"/>
                <w:szCs w:val="21"/>
                <w:lang w:val="en-GB"/>
              </w:rPr>
              <w:t xml:space="preserve">To date, the </w:t>
            </w:r>
            <w:r w:rsidRPr="00042951">
              <w:rPr>
                <w:rFonts w:eastAsia="Calibri" w:cstheme="minorHAnsi"/>
                <w:b/>
                <w:i/>
                <w:color w:val="1E1E1E" w:themeColor="background2"/>
                <w:sz w:val="21"/>
                <w:szCs w:val="21"/>
                <w:lang w:val="en-GB"/>
              </w:rPr>
              <w:t>experience with OST has been suboptimal: despite support for OST by the MOH, there has been strong, organised opposition against OST by certain sectors in government, as well as civil society.</w:t>
            </w:r>
            <w:r w:rsidRPr="00042951">
              <w:rPr>
                <w:rFonts w:eastAsia="Calibri" w:cstheme="minorHAnsi"/>
                <w:color w:val="1E1E1E" w:themeColor="background2"/>
                <w:sz w:val="21"/>
                <w:szCs w:val="21"/>
                <w:lang w:val="en-GB"/>
              </w:rPr>
              <w:t xml:space="preserve"> At the same time, there was no common strategy to expand OST, with </w:t>
            </w:r>
            <w:r w:rsidRPr="00042951">
              <w:rPr>
                <w:rFonts w:eastAsia="Calibri" w:cstheme="minorHAnsi"/>
                <w:b/>
                <w:i/>
                <w:color w:val="1E1E1E" w:themeColor="background2"/>
                <w:sz w:val="21"/>
                <w:szCs w:val="21"/>
                <w:lang w:val="en-GB"/>
              </w:rPr>
              <w:t>poor c</w:t>
            </w:r>
            <w:r w:rsidRPr="00042951">
              <w:rPr>
                <w:rFonts w:eastAsia="Calibri" w:cstheme="minorHAnsi"/>
                <w:color w:val="1E1E1E" w:themeColor="background2"/>
                <w:sz w:val="21"/>
                <w:szCs w:val="21"/>
                <w:lang w:val="en-GB"/>
              </w:rPr>
              <w:t xml:space="preserve">ollaboration between institutions involved in drug treatment and those dealing with HIV. An analysis of the OST work from 2008 to date identified three major challenges: </w:t>
            </w:r>
            <w:r w:rsidRPr="00042951">
              <w:rPr>
                <w:rFonts w:eastAsia="Calibri" w:cstheme="minorHAnsi"/>
                <w:b/>
                <w:i/>
                <w:color w:val="1E1E1E" w:themeColor="background2"/>
                <w:sz w:val="21"/>
                <w:szCs w:val="21"/>
                <w:lang w:val="en-GB"/>
              </w:rPr>
              <w:t>1) Lack of trust, negative attitudes and high stigma towards OST and drug use</w:t>
            </w:r>
            <w:r w:rsidRPr="00042951">
              <w:rPr>
                <w:rFonts w:eastAsia="Calibri" w:cstheme="minorHAnsi"/>
                <w:color w:val="1E1E1E" w:themeColor="background2"/>
                <w:sz w:val="21"/>
                <w:szCs w:val="21"/>
                <w:lang w:val="en-GB"/>
              </w:rPr>
              <w:t xml:space="preserve"> among some decision-makers; health-care staff and the general population. Previous sensitisation campaigns on OST had poor results, as they lacked a clear, consistent focus. </w:t>
            </w:r>
            <w:r w:rsidRPr="00042951">
              <w:rPr>
                <w:rFonts w:eastAsia="Calibri" w:cstheme="minorHAnsi"/>
                <w:b/>
                <w:i/>
                <w:color w:val="1E1E1E" w:themeColor="background2"/>
                <w:sz w:val="21"/>
                <w:szCs w:val="21"/>
                <w:lang w:val="en-GB"/>
              </w:rPr>
              <w:t>2) Poor sustainability of the OST programme:</w:t>
            </w:r>
            <w:r w:rsidRPr="00042951">
              <w:rPr>
                <w:rFonts w:eastAsia="Calibri" w:cstheme="minorHAnsi"/>
                <w:i/>
                <w:color w:val="1E1E1E" w:themeColor="background2"/>
                <w:sz w:val="21"/>
                <w:szCs w:val="21"/>
                <w:lang w:val="en-GB"/>
              </w:rPr>
              <w:t xml:space="preserve"> </w:t>
            </w:r>
            <w:r w:rsidRPr="00042951">
              <w:rPr>
                <w:rFonts w:eastAsia="Calibri" w:cstheme="minorHAnsi"/>
                <w:color w:val="1E1E1E" w:themeColor="background2"/>
                <w:sz w:val="21"/>
                <w:szCs w:val="21"/>
                <w:lang w:val="en-GB"/>
              </w:rPr>
              <w:t>The registration of Methadone hydrochloride will expire in Dec</w:t>
            </w:r>
            <w:r w:rsidR="0085577A">
              <w:rPr>
                <w:rFonts w:eastAsia="Calibri" w:cstheme="minorHAnsi"/>
                <w:color w:val="1E1E1E" w:themeColor="background2"/>
                <w:sz w:val="21"/>
                <w:szCs w:val="21"/>
                <w:lang w:val="en-GB"/>
              </w:rPr>
              <w:t>ember</w:t>
            </w:r>
            <w:r w:rsidRPr="00042951">
              <w:rPr>
                <w:rFonts w:eastAsia="Calibri" w:cstheme="minorHAnsi"/>
                <w:color w:val="1E1E1E" w:themeColor="background2"/>
                <w:sz w:val="21"/>
                <w:szCs w:val="21"/>
                <w:lang w:val="en-GB"/>
              </w:rPr>
              <w:t xml:space="preserve"> 2020, and no other substitution drugs are registered in Kazakhstan. Furthermore, there are </w:t>
            </w:r>
            <w:r w:rsidR="00E2077D" w:rsidRPr="00042951">
              <w:rPr>
                <w:rFonts w:eastAsia="Calibri" w:cstheme="minorHAnsi"/>
                <w:color w:val="1E1E1E" w:themeColor="background2"/>
                <w:sz w:val="21"/>
                <w:szCs w:val="21"/>
                <w:lang w:val="en-GB"/>
              </w:rPr>
              <w:t>challenges related to</w:t>
            </w:r>
            <w:r w:rsidRPr="00042951">
              <w:rPr>
                <w:rFonts w:eastAsia="Calibri" w:cstheme="minorHAnsi"/>
                <w:color w:val="1E1E1E" w:themeColor="background2"/>
                <w:sz w:val="21"/>
                <w:szCs w:val="21"/>
                <w:lang w:val="en-GB"/>
              </w:rPr>
              <w:t xml:space="preserve"> procurement, storage and delivery of OST drugs</w:t>
            </w:r>
            <w:r w:rsidR="006348D2" w:rsidRPr="00042951">
              <w:rPr>
                <w:rFonts w:eastAsia="Calibri" w:cstheme="minorHAnsi"/>
                <w:color w:val="1E1E1E" w:themeColor="background2"/>
                <w:sz w:val="21"/>
                <w:szCs w:val="21"/>
                <w:lang w:val="en-GB"/>
              </w:rPr>
              <w:t xml:space="preserve"> (related to the special classification of methadone as a restricted drug)</w:t>
            </w:r>
            <w:r w:rsidR="004920C9" w:rsidRPr="00042951">
              <w:rPr>
                <w:rFonts w:eastAsia="Calibri" w:cstheme="minorHAnsi"/>
                <w:color w:val="1E1E1E" w:themeColor="background2"/>
                <w:sz w:val="21"/>
                <w:szCs w:val="21"/>
                <w:lang w:val="en-GB"/>
              </w:rPr>
              <w:t xml:space="preserve">, which threatens the continuity </w:t>
            </w:r>
            <w:r w:rsidRPr="00042951">
              <w:rPr>
                <w:rFonts w:eastAsia="Calibri" w:cstheme="minorHAnsi"/>
                <w:color w:val="1E1E1E" w:themeColor="background2"/>
                <w:sz w:val="21"/>
                <w:szCs w:val="21"/>
                <w:lang w:val="en-GB"/>
              </w:rPr>
              <w:t xml:space="preserve">of the OST programme. </w:t>
            </w:r>
            <w:r w:rsidRPr="00042951">
              <w:rPr>
                <w:rFonts w:eastAsia="Calibri" w:cstheme="minorHAnsi"/>
                <w:b/>
                <w:i/>
                <w:color w:val="1E1E1E" w:themeColor="background2"/>
                <w:sz w:val="21"/>
                <w:szCs w:val="21"/>
                <w:lang w:val="en-GB"/>
              </w:rPr>
              <w:t>3) Very low OST coverage:</w:t>
            </w:r>
            <w:r w:rsidRPr="00042951">
              <w:rPr>
                <w:rFonts w:eastAsia="Calibri" w:cstheme="minorHAnsi"/>
                <w:color w:val="1E1E1E" w:themeColor="background2"/>
                <w:sz w:val="21"/>
                <w:szCs w:val="21"/>
                <w:lang w:val="en-GB"/>
              </w:rPr>
              <w:t xml:space="preserve"> As of 4 May 2020, 284 clients received OST, just 3.3% of all registered people with opioid addiction</w:t>
            </w:r>
            <w:r w:rsidR="004920C9" w:rsidRPr="00042951">
              <w:rPr>
                <w:rFonts w:eastAsia="Calibri" w:cstheme="minorHAnsi"/>
                <w:color w:val="1E1E1E" w:themeColor="background2"/>
                <w:sz w:val="21"/>
                <w:szCs w:val="21"/>
                <w:lang w:val="en-GB"/>
              </w:rPr>
              <w:t xml:space="preserve"> – and even lower </w:t>
            </w:r>
            <w:r w:rsidR="004920C9" w:rsidRPr="00042951">
              <w:rPr>
                <w:color w:val="1E1E1E" w:themeColor="background2"/>
                <w:sz w:val="21"/>
                <w:szCs w:val="21"/>
              </w:rPr>
              <w:t xml:space="preserve">compared to the </w:t>
            </w:r>
            <w:r w:rsidR="004920C9" w:rsidRPr="00042951">
              <w:rPr>
                <w:i/>
                <w:color w:val="1E1E1E" w:themeColor="background2"/>
                <w:sz w:val="21"/>
                <w:szCs w:val="21"/>
              </w:rPr>
              <w:t>estimated</w:t>
            </w:r>
            <w:r w:rsidR="004920C9" w:rsidRPr="00042951">
              <w:rPr>
                <w:color w:val="1E1E1E" w:themeColor="background2"/>
                <w:sz w:val="21"/>
                <w:szCs w:val="21"/>
              </w:rPr>
              <w:t xml:space="preserve"> number of PWID</w:t>
            </w:r>
            <w:r w:rsidRPr="00042951">
              <w:rPr>
                <w:rFonts w:eastAsia="Calibri" w:cstheme="minorHAnsi"/>
                <w:color w:val="1E1E1E" w:themeColor="background2"/>
                <w:sz w:val="21"/>
                <w:szCs w:val="21"/>
                <w:lang w:val="en-GB"/>
              </w:rPr>
              <w:t xml:space="preserve">. The low </w:t>
            </w:r>
            <w:r w:rsidR="004920C9" w:rsidRPr="00042951">
              <w:rPr>
                <w:rFonts w:eastAsia="Calibri" w:cstheme="minorHAnsi"/>
                <w:color w:val="1E1E1E" w:themeColor="background2"/>
                <w:sz w:val="21"/>
                <w:szCs w:val="21"/>
                <w:lang w:val="en-GB"/>
              </w:rPr>
              <w:t>uptake of OST services is due to several factors, including the limited number</w:t>
            </w:r>
            <w:r w:rsidRPr="00042951">
              <w:rPr>
                <w:rFonts w:eastAsia="Calibri" w:cstheme="minorHAnsi"/>
                <w:color w:val="1E1E1E" w:themeColor="background2"/>
                <w:sz w:val="21"/>
                <w:szCs w:val="21"/>
                <w:lang w:val="en-GB"/>
              </w:rPr>
              <w:t xml:space="preserve"> of OST sites, with no sites at all in 7 out of 16 regions/cities</w:t>
            </w:r>
            <w:r w:rsidR="004920C9" w:rsidRPr="00042951">
              <w:rPr>
                <w:rFonts w:eastAsia="Calibri" w:cstheme="minorHAnsi"/>
                <w:color w:val="1E1E1E" w:themeColor="background2"/>
                <w:sz w:val="21"/>
                <w:szCs w:val="21"/>
                <w:lang w:val="en-GB"/>
              </w:rPr>
              <w:t xml:space="preserve">; the </w:t>
            </w:r>
            <w:r w:rsidRPr="00042951">
              <w:rPr>
                <w:rFonts w:eastAsia="Calibri" w:cstheme="minorHAnsi"/>
                <w:color w:val="1E1E1E" w:themeColor="background2"/>
                <w:sz w:val="21"/>
                <w:szCs w:val="21"/>
                <w:lang w:val="en-GB"/>
              </w:rPr>
              <w:t>limited schedule of the OST sites; rigid attachment of clients to OST rooms; and inability to receive OST in other medical facilities, e.g. during hospitalisation, business trips or relocation to regions without OST services.</w:t>
            </w:r>
            <w:r w:rsidR="003B0FC7" w:rsidRPr="00042951">
              <w:rPr>
                <w:rFonts w:eastAsia="Calibri" w:cstheme="minorHAnsi"/>
                <w:color w:val="1E1E1E" w:themeColor="background2"/>
                <w:sz w:val="21"/>
                <w:szCs w:val="21"/>
                <w:lang w:val="en-GB"/>
              </w:rPr>
              <w:t xml:space="preserve"> Similarly, there are no take-home dosages nor mobile distribution.</w:t>
            </w:r>
          </w:p>
          <w:p w14:paraId="4A9A5832" w14:textId="449352DC" w:rsidR="00231E8E" w:rsidRPr="00042951" w:rsidRDefault="00231E8E" w:rsidP="000A0528">
            <w:pPr>
              <w:spacing w:after="0" w:line="240" w:lineRule="auto"/>
              <w:ind w:firstLine="284"/>
              <w:jc w:val="both"/>
              <w:rPr>
                <w:rFonts w:eastAsia="Calibri" w:cstheme="minorHAnsi"/>
                <w:color w:val="1E1E1E" w:themeColor="background2"/>
                <w:sz w:val="21"/>
                <w:szCs w:val="21"/>
                <w:lang w:val="en-GB"/>
              </w:rPr>
            </w:pPr>
            <w:r w:rsidRPr="00042951">
              <w:rPr>
                <w:rFonts w:eastAsia="Calibri" w:cstheme="minorHAnsi"/>
                <w:color w:val="1E1E1E" w:themeColor="background2"/>
                <w:sz w:val="21"/>
                <w:szCs w:val="21"/>
                <w:lang w:val="en-GB"/>
              </w:rPr>
              <w:t>In addition, attitudes to OST among PWID have been affected by perceived lack of continuity and suboptimal quality of services, limiting their interest in being enrolled.</w:t>
            </w:r>
          </w:p>
          <w:p w14:paraId="4A2C2C81" w14:textId="344D73EA" w:rsidR="00084391" w:rsidRPr="00042951" w:rsidRDefault="00084391" w:rsidP="000A0528">
            <w:pPr>
              <w:spacing w:after="0" w:line="240" w:lineRule="auto"/>
              <w:ind w:firstLine="284"/>
              <w:jc w:val="both"/>
              <w:rPr>
                <w:rFonts w:eastAsia="Calibri" w:cstheme="minorHAnsi"/>
                <w:color w:val="1E1E1E" w:themeColor="background2"/>
                <w:sz w:val="21"/>
                <w:szCs w:val="21"/>
                <w:lang w:val="en-GB"/>
              </w:rPr>
            </w:pPr>
            <w:r w:rsidRPr="00042951">
              <w:rPr>
                <w:rFonts w:eastAsia="Calibri" w:cstheme="minorHAnsi"/>
                <w:color w:val="1E1E1E" w:themeColor="background2"/>
                <w:sz w:val="21"/>
                <w:szCs w:val="21"/>
                <w:lang w:val="en-GB"/>
              </w:rPr>
              <w:t xml:space="preserve">In this context, </w:t>
            </w:r>
            <w:r w:rsidRPr="00042951">
              <w:rPr>
                <w:rFonts w:eastAsia="Calibri" w:cstheme="minorHAnsi"/>
                <w:b/>
                <w:color w:val="1E1E1E" w:themeColor="background2"/>
                <w:sz w:val="21"/>
                <w:szCs w:val="21"/>
                <w:lang w:val="en-GB"/>
              </w:rPr>
              <w:t xml:space="preserve">a radical change in strategy is needed: </w:t>
            </w:r>
            <w:r w:rsidRPr="00042951">
              <w:rPr>
                <w:rFonts w:eastAsia="Calibri" w:cstheme="minorHAnsi"/>
                <w:color w:val="1E1E1E" w:themeColor="background2"/>
                <w:sz w:val="21"/>
                <w:szCs w:val="21"/>
                <w:lang w:val="en-GB"/>
              </w:rPr>
              <w:t xml:space="preserve">the Republican Scientific-Practical Centre for Mental Health (RSPCMH) developed a comprehensive plan to expand the availability, accessibility and coverage of OST in Kazakhstan. </w:t>
            </w:r>
            <w:r w:rsidRPr="00042951">
              <w:rPr>
                <w:rFonts w:eastAsia="Calibri" w:cstheme="minorHAnsi"/>
                <w:b/>
                <w:color w:val="1E1E1E" w:themeColor="background2"/>
                <w:sz w:val="21"/>
                <w:szCs w:val="21"/>
                <w:lang w:val="en-GB"/>
              </w:rPr>
              <w:t>The OST expansion plan consists of 3 major components:</w:t>
            </w:r>
            <w:r w:rsidRPr="00042951">
              <w:rPr>
                <w:rFonts w:eastAsia="Calibri" w:cstheme="minorHAnsi"/>
                <w:color w:val="1E1E1E" w:themeColor="background2"/>
                <w:sz w:val="21"/>
                <w:szCs w:val="21"/>
                <w:lang w:val="en-GB"/>
              </w:rPr>
              <w:t xml:space="preserve"> a) </w:t>
            </w:r>
            <w:r w:rsidR="0085577A">
              <w:rPr>
                <w:rFonts w:eastAsia="Calibri" w:cstheme="minorHAnsi"/>
                <w:color w:val="1E1E1E" w:themeColor="background2"/>
                <w:sz w:val="21"/>
                <w:szCs w:val="21"/>
                <w:lang w:val="en-GB"/>
              </w:rPr>
              <w:t>A</w:t>
            </w:r>
            <w:r w:rsidRPr="00042951">
              <w:rPr>
                <w:rFonts w:eastAsia="Calibri" w:cstheme="minorHAnsi"/>
                <w:color w:val="1E1E1E" w:themeColor="background2"/>
                <w:sz w:val="21"/>
                <w:szCs w:val="21"/>
                <w:lang w:val="en-GB"/>
              </w:rPr>
              <w:t xml:space="preserve"> comprehensive OST </w:t>
            </w:r>
            <w:r w:rsidR="00E145B6" w:rsidRPr="00042951">
              <w:rPr>
                <w:rFonts w:eastAsia="Calibri" w:cstheme="minorHAnsi"/>
                <w:color w:val="1E1E1E" w:themeColor="background2"/>
                <w:sz w:val="21"/>
                <w:szCs w:val="21"/>
                <w:lang w:val="en-GB"/>
              </w:rPr>
              <w:t>capacity-building</w:t>
            </w:r>
            <w:r w:rsidRPr="00042951">
              <w:rPr>
                <w:rFonts w:eastAsia="Calibri" w:cstheme="minorHAnsi"/>
                <w:color w:val="1E1E1E" w:themeColor="background2"/>
                <w:sz w:val="21"/>
                <w:szCs w:val="21"/>
                <w:lang w:val="en-GB"/>
              </w:rPr>
              <w:t xml:space="preserve"> </w:t>
            </w:r>
            <w:r w:rsidR="00E145B6" w:rsidRPr="00042951">
              <w:rPr>
                <w:rFonts w:eastAsia="Calibri" w:cstheme="minorHAnsi"/>
                <w:color w:val="1E1E1E" w:themeColor="background2"/>
                <w:sz w:val="21"/>
                <w:szCs w:val="21"/>
                <w:lang w:val="en-GB"/>
              </w:rPr>
              <w:t>programme</w:t>
            </w:r>
            <w:r w:rsidRPr="00042951">
              <w:rPr>
                <w:rFonts w:eastAsia="Calibri" w:cstheme="minorHAnsi"/>
                <w:color w:val="1E1E1E" w:themeColor="background2"/>
                <w:sz w:val="21"/>
                <w:szCs w:val="21"/>
                <w:lang w:val="en-GB"/>
              </w:rPr>
              <w:t>; b) Strengthening the sustainability of the OST programme; and c) Expansion of the OST programme. In this context, the grant will support the following activities:</w:t>
            </w:r>
          </w:p>
          <w:p w14:paraId="2091C3AC" w14:textId="4E733847" w:rsidR="001C18F0"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042951">
              <w:rPr>
                <w:rFonts w:eastAsia="Calibri" w:cstheme="minorHAnsi"/>
                <w:color w:val="1E1E1E" w:themeColor="background2"/>
                <w:sz w:val="21"/>
                <w:szCs w:val="21"/>
                <w:lang w:val="en-GB"/>
              </w:rPr>
              <w:t>A) A</w:t>
            </w:r>
            <w:r w:rsidRPr="00042951">
              <w:rPr>
                <w:rFonts w:eastAsia="Calibri" w:cstheme="minorHAnsi"/>
                <w:b/>
                <w:i/>
                <w:color w:val="1E1E1E" w:themeColor="background2"/>
                <w:sz w:val="21"/>
                <w:szCs w:val="21"/>
                <w:lang w:val="en-GB"/>
              </w:rPr>
              <w:t xml:space="preserve"> comprehensive OST </w:t>
            </w:r>
            <w:r w:rsidR="007F4490" w:rsidRPr="00042951">
              <w:rPr>
                <w:rFonts w:eastAsia="Calibri" w:cstheme="minorHAnsi"/>
                <w:b/>
                <w:i/>
                <w:color w:val="1E1E1E" w:themeColor="background2"/>
                <w:sz w:val="21"/>
                <w:szCs w:val="21"/>
                <w:lang w:val="en-GB"/>
              </w:rPr>
              <w:t>Capacity-building programme</w:t>
            </w:r>
            <w:r w:rsidR="001C18F0" w:rsidRPr="00042951">
              <w:rPr>
                <w:rFonts w:eastAsia="Calibri" w:cstheme="minorHAnsi"/>
                <w:b/>
                <w:i/>
                <w:color w:val="1E1E1E" w:themeColor="background2"/>
                <w:sz w:val="21"/>
                <w:szCs w:val="21"/>
                <w:lang w:val="en-GB"/>
              </w:rPr>
              <w:t xml:space="preserve"> (2021 and 2022)</w:t>
            </w:r>
            <w:r w:rsidRPr="00042951">
              <w:rPr>
                <w:rFonts w:eastAsia="Calibri" w:cstheme="minorHAnsi"/>
                <w:b/>
                <w:i/>
                <w:color w:val="1E1E1E" w:themeColor="background2"/>
                <w:sz w:val="21"/>
                <w:szCs w:val="21"/>
                <w:lang w:val="en-GB"/>
              </w:rPr>
              <w:t xml:space="preserve"> </w:t>
            </w:r>
            <w:r w:rsidRPr="00042951">
              <w:rPr>
                <w:rFonts w:eastAsia="Calibri" w:cstheme="minorHAnsi"/>
                <w:color w:val="1E1E1E" w:themeColor="background2"/>
                <w:sz w:val="21"/>
                <w:szCs w:val="21"/>
                <w:lang w:val="en-GB"/>
              </w:rPr>
              <w:t xml:space="preserve">targeting key decision-makers </w:t>
            </w:r>
            <w:r w:rsidR="007F4490" w:rsidRPr="00042951">
              <w:rPr>
                <w:rFonts w:eastAsia="Calibri" w:cstheme="minorHAnsi"/>
                <w:color w:val="1E1E1E" w:themeColor="background2"/>
                <w:sz w:val="21"/>
                <w:szCs w:val="21"/>
                <w:lang w:val="en-GB"/>
              </w:rPr>
              <w:t xml:space="preserve">and service providers to PWID </w:t>
            </w:r>
            <w:r w:rsidRPr="00042951">
              <w:rPr>
                <w:rFonts w:eastAsia="Calibri" w:cstheme="minorHAnsi"/>
                <w:color w:val="1E1E1E" w:themeColor="background2"/>
                <w:sz w:val="21"/>
                <w:szCs w:val="21"/>
                <w:lang w:val="en-GB"/>
              </w:rPr>
              <w:t>at all levels</w:t>
            </w:r>
            <w:r w:rsidR="007F4490" w:rsidRPr="00042951">
              <w:rPr>
                <w:rFonts w:eastAsia="Calibri" w:cstheme="minorHAnsi"/>
                <w:color w:val="1E1E1E" w:themeColor="background2"/>
                <w:sz w:val="21"/>
                <w:szCs w:val="21"/>
                <w:lang w:val="en-GB"/>
              </w:rPr>
              <w:t xml:space="preserve"> in order</w:t>
            </w:r>
            <w:r w:rsidR="007F4490" w:rsidRPr="00AF43A2">
              <w:rPr>
                <w:rFonts w:eastAsia="Calibri" w:cstheme="minorHAnsi"/>
                <w:color w:val="1E1E1E" w:themeColor="background2"/>
                <w:sz w:val="21"/>
                <w:szCs w:val="21"/>
                <w:lang w:val="en-GB"/>
              </w:rPr>
              <w:t xml:space="preserve"> to strengthen their expertise, knowledge and understanding of </w:t>
            </w:r>
            <w:r w:rsidR="002E449B" w:rsidRPr="00AF43A2">
              <w:rPr>
                <w:rFonts w:eastAsia="Calibri" w:cstheme="minorHAnsi"/>
                <w:color w:val="1E1E1E" w:themeColor="background2"/>
                <w:sz w:val="21"/>
                <w:szCs w:val="21"/>
                <w:lang w:val="en-GB"/>
              </w:rPr>
              <w:t xml:space="preserve">the specific components and benefits of </w:t>
            </w:r>
            <w:r w:rsidRPr="00AF43A2">
              <w:rPr>
                <w:rFonts w:eastAsia="Calibri" w:cstheme="minorHAnsi"/>
                <w:color w:val="1E1E1E" w:themeColor="background2"/>
                <w:sz w:val="21"/>
                <w:szCs w:val="21"/>
                <w:lang w:val="en-GB"/>
              </w:rPr>
              <w:t>OST</w:t>
            </w:r>
            <w:r w:rsidR="002E449B" w:rsidRPr="00AF43A2">
              <w:rPr>
                <w:rFonts w:eastAsia="Calibri" w:cstheme="minorHAnsi"/>
                <w:color w:val="1E1E1E" w:themeColor="background2"/>
                <w:sz w:val="21"/>
                <w:szCs w:val="21"/>
                <w:lang w:val="en-GB"/>
              </w:rPr>
              <w:t xml:space="preserve"> services</w:t>
            </w:r>
            <w:r w:rsidRPr="00AF43A2">
              <w:rPr>
                <w:rFonts w:eastAsia="Calibri" w:cstheme="minorHAnsi"/>
                <w:color w:val="1E1E1E" w:themeColor="background2"/>
                <w:sz w:val="21"/>
                <w:szCs w:val="21"/>
                <w:lang w:val="en-GB"/>
              </w:rPr>
              <w:t xml:space="preserve">. </w:t>
            </w:r>
            <w:r w:rsidR="002E449B" w:rsidRPr="00AF43A2">
              <w:rPr>
                <w:rFonts w:eastAsia="Calibri" w:cstheme="minorHAnsi"/>
                <w:color w:val="1E1E1E" w:themeColor="background2"/>
                <w:sz w:val="21"/>
                <w:szCs w:val="21"/>
                <w:lang w:val="en-GB"/>
              </w:rPr>
              <w:t xml:space="preserve">This </w:t>
            </w:r>
            <w:r w:rsidRPr="00AF43A2">
              <w:rPr>
                <w:rFonts w:eastAsia="Calibri" w:cstheme="minorHAnsi"/>
                <w:color w:val="1E1E1E" w:themeColor="background2"/>
                <w:sz w:val="21"/>
                <w:szCs w:val="21"/>
                <w:lang w:val="en-GB"/>
              </w:rPr>
              <w:t xml:space="preserve">will </w:t>
            </w:r>
            <w:r w:rsidR="002E449B" w:rsidRPr="00AF43A2">
              <w:rPr>
                <w:rFonts w:eastAsia="Calibri" w:cstheme="minorHAnsi"/>
                <w:color w:val="1E1E1E" w:themeColor="background2"/>
                <w:sz w:val="21"/>
                <w:szCs w:val="21"/>
                <w:lang w:val="en-GB"/>
              </w:rPr>
              <w:t xml:space="preserve">include </w:t>
            </w:r>
            <w:r w:rsidRPr="00AF43A2">
              <w:rPr>
                <w:rFonts w:eastAsia="Calibri" w:cstheme="minorHAnsi"/>
                <w:color w:val="1E1E1E" w:themeColor="background2"/>
                <w:sz w:val="21"/>
                <w:szCs w:val="21"/>
                <w:lang w:val="en-GB"/>
              </w:rPr>
              <w:t>capacity building of Narcologists, AIDS Centre staff, Outreach worker</w:t>
            </w:r>
            <w:r w:rsidR="001C18F0" w:rsidRPr="00AF43A2">
              <w:rPr>
                <w:rFonts w:eastAsia="Calibri" w:cstheme="minorHAnsi"/>
                <w:color w:val="1E1E1E" w:themeColor="background2"/>
                <w:sz w:val="21"/>
                <w:szCs w:val="21"/>
                <w:lang w:val="en-GB"/>
              </w:rPr>
              <w:t>s, key decision makers</w:t>
            </w:r>
            <w:r w:rsidR="001C18F0" w:rsidRPr="00AF43A2">
              <w:rPr>
                <w:rFonts w:eastAsia="Calibri" w:cstheme="minorHAnsi"/>
                <w:b/>
                <w:color w:val="1E1E1E" w:themeColor="background2"/>
                <w:sz w:val="21"/>
                <w:szCs w:val="21"/>
                <w:lang w:val="en-GB"/>
              </w:rPr>
              <w:t xml:space="preserve"> </w:t>
            </w:r>
            <w:r w:rsidRPr="00AF43A2">
              <w:rPr>
                <w:rFonts w:eastAsia="Calibri" w:cstheme="minorHAnsi"/>
                <w:color w:val="1E1E1E" w:themeColor="background2"/>
                <w:sz w:val="21"/>
                <w:szCs w:val="21"/>
                <w:lang w:val="en-GB"/>
              </w:rPr>
              <w:t xml:space="preserve">and PWID on </w:t>
            </w:r>
            <w:r w:rsidR="001C18F0" w:rsidRPr="00AF43A2">
              <w:rPr>
                <w:rFonts w:eastAsia="Calibri" w:cstheme="minorHAnsi"/>
                <w:color w:val="1E1E1E" w:themeColor="background2"/>
                <w:sz w:val="21"/>
                <w:szCs w:val="21"/>
                <w:lang w:val="en-GB"/>
              </w:rPr>
              <w:t xml:space="preserve">all aspects related to </w:t>
            </w:r>
            <w:r w:rsidRPr="00AF43A2">
              <w:rPr>
                <w:rFonts w:eastAsia="Calibri" w:cstheme="minorHAnsi"/>
                <w:color w:val="1E1E1E" w:themeColor="background2"/>
                <w:sz w:val="21"/>
                <w:szCs w:val="21"/>
                <w:lang w:val="en-GB"/>
              </w:rPr>
              <w:t>OST</w:t>
            </w:r>
            <w:r w:rsidR="001C18F0" w:rsidRPr="00AF43A2">
              <w:rPr>
                <w:rFonts w:eastAsia="Calibri" w:cstheme="minorHAnsi"/>
                <w:color w:val="1E1E1E" w:themeColor="background2"/>
                <w:sz w:val="21"/>
                <w:szCs w:val="21"/>
                <w:lang w:val="en-GB"/>
              </w:rPr>
              <w:t>.</w:t>
            </w:r>
            <w:r w:rsidR="002E5629">
              <w:rPr>
                <w:rFonts w:eastAsia="Calibri" w:cstheme="minorHAnsi"/>
                <w:color w:val="1E1E1E" w:themeColor="background2"/>
                <w:sz w:val="21"/>
                <w:szCs w:val="21"/>
                <w:lang w:val="en-GB"/>
              </w:rPr>
              <w:t xml:space="preserve"> Special attention will be given to the ensuring equal access for female PWID.</w:t>
            </w:r>
          </w:p>
          <w:p w14:paraId="6D18A78E" w14:textId="15AB1C2C"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B)</w:t>
            </w:r>
            <w:r w:rsidRPr="00AF43A2">
              <w:rPr>
                <w:rFonts w:eastAsia="Calibri" w:cstheme="minorHAnsi"/>
                <w:b/>
                <w:i/>
                <w:color w:val="1E1E1E" w:themeColor="background2"/>
                <w:sz w:val="21"/>
                <w:szCs w:val="21"/>
                <w:lang w:val="en-GB"/>
              </w:rPr>
              <w:t xml:space="preserve"> Strengthening the sustainability of the OST programme</w:t>
            </w:r>
            <w:r w:rsidRPr="00AF43A2">
              <w:rPr>
                <w:rFonts w:eastAsia="Calibri" w:cstheme="minorHAnsi"/>
                <w:b/>
                <w:color w:val="1E1E1E" w:themeColor="background2"/>
                <w:sz w:val="21"/>
                <w:szCs w:val="21"/>
                <w:lang w:val="en-GB"/>
              </w:rPr>
              <w:t xml:space="preserve"> </w:t>
            </w:r>
            <w:r w:rsidRPr="00AF43A2">
              <w:rPr>
                <w:rFonts w:eastAsia="Calibri" w:cstheme="minorHAnsi"/>
                <w:color w:val="1E1E1E" w:themeColor="background2"/>
                <w:sz w:val="21"/>
                <w:szCs w:val="21"/>
                <w:lang w:val="en-GB"/>
              </w:rPr>
              <w:t xml:space="preserve">– This includes: </w:t>
            </w:r>
            <w:r w:rsidRPr="00AF43A2">
              <w:rPr>
                <w:rFonts w:eastAsia="Calibri" w:cstheme="minorHAnsi"/>
                <w:i/>
                <w:color w:val="1E1E1E" w:themeColor="background2"/>
                <w:sz w:val="21"/>
                <w:szCs w:val="21"/>
                <w:lang w:val="en-GB"/>
              </w:rPr>
              <w:t>1) Procurement of Methadone Hydrochloride</w:t>
            </w:r>
            <w:r w:rsidRPr="00AF43A2">
              <w:rPr>
                <w:rFonts w:eastAsia="Calibri" w:cstheme="minorHAnsi"/>
                <w:color w:val="1E1E1E" w:themeColor="background2"/>
                <w:sz w:val="21"/>
                <w:szCs w:val="21"/>
                <w:lang w:val="en-GB"/>
              </w:rPr>
              <w:t xml:space="preserve"> for </w:t>
            </w:r>
            <w:r w:rsidR="00E145B6" w:rsidRPr="00AF43A2">
              <w:rPr>
                <w:rFonts w:eastAsia="Calibri" w:cstheme="minorHAnsi"/>
                <w:color w:val="1E1E1E" w:themeColor="background2"/>
                <w:sz w:val="21"/>
                <w:szCs w:val="21"/>
                <w:lang w:val="en-GB"/>
              </w:rPr>
              <w:t>two</w:t>
            </w:r>
            <w:r w:rsidRPr="00AF43A2">
              <w:rPr>
                <w:rFonts w:eastAsia="Calibri" w:cstheme="minorHAnsi"/>
                <w:color w:val="1E1E1E" w:themeColor="background2"/>
                <w:sz w:val="21"/>
                <w:szCs w:val="21"/>
                <w:lang w:val="en-GB"/>
              </w:rPr>
              <w:t xml:space="preserve"> years (2021-2023), to increase the number of participants to 700 patients per year. The MOH will cover the costs of logistics and storage; </w:t>
            </w:r>
            <w:r w:rsidRPr="00AF43A2">
              <w:rPr>
                <w:rFonts w:eastAsia="Calibri" w:cstheme="minorHAnsi"/>
                <w:i/>
                <w:color w:val="1E1E1E" w:themeColor="background2"/>
                <w:sz w:val="21"/>
                <w:szCs w:val="21"/>
                <w:lang w:val="en-GB"/>
              </w:rPr>
              <w:t xml:space="preserve">2) Preparation of official documents for: i) introduction of Methadone and Buprenorphine on the List of medicines and medical devices </w:t>
            </w:r>
            <w:r w:rsidRPr="00AF43A2">
              <w:rPr>
                <w:rFonts w:eastAsia="Calibri" w:cstheme="minorHAnsi"/>
                <w:color w:val="1E1E1E" w:themeColor="background2"/>
                <w:sz w:val="21"/>
                <w:szCs w:val="21"/>
                <w:lang w:val="en-GB"/>
              </w:rPr>
              <w:t xml:space="preserve">and on the Kazakhstan National Formulary (KNF); </w:t>
            </w:r>
            <w:r w:rsidR="00370743" w:rsidRPr="00AF43A2">
              <w:rPr>
                <w:rFonts w:eastAsia="Calibri" w:cstheme="minorHAnsi"/>
                <w:color w:val="1E1E1E" w:themeColor="background2"/>
                <w:sz w:val="21"/>
                <w:szCs w:val="21"/>
                <w:lang w:val="en-GB"/>
              </w:rPr>
              <w:t xml:space="preserve">as well as extension of the registration of Methadone; </w:t>
            </w:r>
            <w:r w:rsidRPr="00AF43A2">
              <w:rPr>
                <w:rFonts w:eastAsia="Calibri" w:cstheme="minorHAnsi"/>
                <w:color w:val="1E1E1E" w:themeColor="background2"/>
                <w:sz w:val="21"/>
                <w:szCs w:val="21"/>
                <w:lang w:val="en-GB"/>
              </w:rPr>
              <w:t xml:space="preserve">and ii) Justification and preparation for the </w:t>
            </w:r>
            <w:r w:rsidRPr="00AF43A2">
              <w:rPr>
                <w:rFonts w:eastAsia="Calibri" w:cstheme="minorHAnsi"/>
                <w:color w:val="1E1E1E" w:themeColor="background2"/>
                <w:sz w:val="21"/>
                <w:szCs w:val="21"/>
                <w:lang w:val="en-GB"/>
              </w:rPr>
              <w:lastRenderedPageBreak/>
              <w:t xml:space="preserve">procurement of OST drugs from the State budget as of 2024; iii) improvement of clinical protocols related to OST; </w:t>
            </w:r>
            <w:r w:rsidRPr="00AF43A2">
              <w:rPr>
                <w:rFonts w:eastAsia="Calibri" w:cstheme="minorHAnsi"/>
                <w:i/>
                <w:color w:val="1E1E1E" w:themeColor="background2"/>
                <w:sz w:val="21"/>
                <w:szCs w:val="21"/>
                <w:lang w:val="en-GB"/>
              </w:rPr>
              <w:t>3) Capacity building for 19 OST multidisciplinary teams on comprehensive medical and social service delivery</w:t>
            </w:r>
            <w:r w:rsidRPr="00AF43A2">
              <w:rPr>
                <w:rFonts w:eastAsia="Calibri" w:cstheme="minorHAnsi"/>
                <w:color w:val="1E1E1E" w:themeColor="background2"/>
                <w:sz w:val="21"/>
                <w:szCs w:val="21"/>
                <w:lang w:val="en-GB"/>
              </w:rPr>
              <w:t>, incl. support for ART adherence</w:t>
            </w:r>
            <w:r w:rsidR="002C6C4B">
              <w:rPr>
                <w:rFonts w:eastAsia="Calibri" w:cstheme="minorHAnsi"/>
                <w:color w:val="1E1E1E" w:themeColor="background2"/>
                <w:sz w:val="21"/>
                <w:szCs w:val="21"/>
                <w:lang w:val="en-GB"/>
              </w:rPr>
              <w:t xml:space="preserve">. Capacity building will also include gender sensitisation for OST staff, to ensure women’s special needs are </w:t>
            </w:r>
            <w:r w:rsidR="002C6C4B" w:rsidRPr="002C6C4B">
              <w:rPr>
                <w:rFonts w:eastAsia="Calibri" w:cstheme="minorHAnsi"/>
                <w:color w:val="1E1E1E" w:themeColor="background2"/>
                <w:sz w:val="21"/>
                <w:szCs w:val="21"/>
                <w:lang w:val="en-GB"/>
              </w:rPr>
              <w:t xml:space="preserve">addressed: </w:t>
            </w:r>
            <w:r w:rsidR="002C6C4B" w:rsidRPr="002C6C4B">
              <w:t xml:space="preserve">out of the current </w:t>
            </w:r>
            <w:r w:rsidR="0085577A">
              <w:t>cl</w:t>
            </w:r>
            <w:r w:rsidR="002C6C4B" w:rsidRPr="002C6C4B">
              <w:t xml:space="preserve">ients on the OST programme, 57 </w:t>
            </w:r>
            <w:r w:rsidR="0085577A">
              <w:t xml:space="preserve">are </w:t>
            </w:r>
            <w:r w:rsidR="002C6C4B" w:rsidRPr="002C6C4B">
              <w:t xml:space="preserve">women, four of whom gave birth while on OST, highlighting the need for special attention to their needs. </w:t>
            </w:r>
            <w:r w:rsidR="0095076C">
              <w:rPr>
                <w:rFonts w:eastAsia="Calibri" w:cstheme="minorHAnsi"/>
                <w:color w:val="1E1E1E" w:themeColor="background2"/>
                <w:sz w:val="21"/>
                <w:szCs w:val="21"/>
                <w:lang w:val="en-GB"/>
              </w:rPr>
              <w:t xml:space="preserve">In addition, OST will be part of a study tour for 7 mental health specialists that will include OST, OD management and NPS use (see intervention 1.7). </w:t>
            </w:r>
            <w:r w:rsidRPr="00AF43A2">
              <w:rPr>
                <w:rFonts w:eastAsia="Calibri" w:cstheme="minorHAnsi"/>
                <w:i/>
                <w:color w:val="1E1E1E" w:themeColor="background2"/>
                <w:sz w:val="21"/>
                <w:szCs w:val="21"/>
                <w:lang w:val="en-GB"/>
              </w:rPr>
              <w:t>4) Regular coordination meetings</w:t>
            </w:r>
            <w:r w:rsidRPr="00AF43A2">
              <w:rPr>
                <w:rFonts w:eastAsia="Calibri" w:cstheme="minorHAnsi"/>
                <w:color w:val="1E1E1E" w:themeColor="background2"/>
                <w:sz w:val="21"/>
                <w:szCs w:val="21"/>
                <w:lang w:val="en-GB"/>
              </w:rPr>
              <w:t xml:space="preserve"> between different MOH departments regarding OST, Overdose Management and NPS use; as well as annual meetings with Heads of Regional Mental Health Centres.</w:t>
            </w:r>
          </w:p>
          <w:p w14:paraId="65E0EC7E" w14:textId="77777777"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C) </w:t>
            </w:r>
            <w:r w:rsidRPr="00AF43A2">
              <w:rPr>
                <w:rFonts w:eastAsia="Calibri" w:cstheme="minorHAnsi"/>
                <w:b/>
                <w:i/>
                <w:color w:val="1E1E1E" w:themeColor="background2"/>
                <w:sz w:val="21"/>
                <w:szCs w:val="21"/>
                <w:lang w:val="en-GB"/>
              </w:rPr>
              <w:t>Expansion of the OST programme</w:t>
            </w:r>
            <w:r w:rsidRPr="00AF43A2">
              <w:rPr>
                <w:rFonts w:eastAsia="Calibri" w:cstheme="minorHAnsi"/>
                <w:color w:val="1E1E1E" w:themeColor="background2"/>
                <w:sz w:val="21"/>
                <w:szCs w:val="21"/>
                <w:lang w:val="en-GB"/>
              </w:rPr>
              <w:t xml:space="preserve"> – The Government will support the expansion of the OST programme at additional sites and will cover all staffing and operational costs. The GF grant will support annual monitoring visits to 17 regions to assess the quality of OST service delivery and solve problems.</w:t>
            </w:r>
          </w:p>
          <w:p w14:paraId="0C2F05A6" w14:textId="10CA478B" w:rsidR="007575FE" w:rsidRPr="007575FE" w:rsidRDefault="00084391" w:rsidP="007575FE">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D) In addition, the Global Fund grant will</w:t>
            </w:r>
            <w:r w:rsidRPr="00AF43A2">
              <w:rPr>
                <w:rFonts w:eastAsia="Calibri" w:cstheme="minorHAnsi"/>
                <w:b/>
                <w:i/>
                <w:color w:val="1E1E1E" w:themeColor="background2"/>
                <w:sz w:val="21"/>
                <w:szCs w:val="21"/>
                <w:lang w:val="en-GB"/>
              </w:rPr>
              <w:t xml:space="preserve"> support </w:t>
            </w:r>
            <w:r w:rsidR="00F46B62">
              <w:rPr>
                <w:rFonts w:eastAsia="Calibri" w:cstheme="minorHAnsi"/>
                <w:b/>
                <w:i/>
                <w:color w:val="1E1E1E" w:themeColor="background2"/>
                <w:sz w:val="21"/>
                <w:szCs w:val="21"/>
                <w:lang w:val="en-GB"/>
              </w:rPr>
              <w:t>the</w:t>
            </w:r>
            <w:r w:rsidR="00C039C2">
              <w:rPr>
                <w:rFonts w:eastAsia="Calibri" w:cstheme="minorHAnsi"/>
                <w:b/>
                <w:i/>
                <w:color w:val="1E1E1E" w:themeColor="background2"/>
                <w:sz w:val="21"/>
                <w:szCs w:val="21"/>
                <w:lang w:val="en-GB"/>
              </w:rPr>
              <w:t xml:space="preserve"> </w:t>
            </w:r>
            <w:r w:rsidR="00C039C2" w:rsidRPr="00C039C2">
              <w:rPr>
                <w:rFonts w:eastAsia="Calibri" w:cstheme="minorHAnsi"/>
                <w:b/>
                <w:i/>
                <w:color w:val="1E1E1E" w:themeColor="background2"/>
                <w:sz w:val="21"/>
                <w:szCs w:val="21"/>
                <w:lang w:val="en-GB"/>
              </w:rPr>
              <w:t xml:space="preserve">RSPCMH </w:t>
            </w:r>
            <w:r w:rsidR="00F46B62">
              <w:rPr>
                <w:rFonts w:eastAsia="Calibri" w:cstheme="minorHAnsi"/>
                <w:b/>
                <w:i/>
                <w:color w:val="1E1E1E" w:themeColor="background2"/>
                <w:sz w:val="21"/>
                <w:szCs w:val="21"/>
                <w:lang w:val="en-GB"/>
              </w:rPr>
              <w:t>as a sub-recipient with long-term technical assistance</w:t>
            </w:r>
            <w:r w:rsidRPr="00AF43A2">
              <w:rPr>
                <w:rFonts w:eastAsia="Calibri" w:cstheme="minorHAnsi"/>
                <w:b/>
                <w:i/>
                <w:color w:val="1E1E1E" w:themeColor="background2"/>
                <w:sz w:val="21"/>
                <w:szCs w:val="21"/>
                <w:lang w:val="en-GB"/>
              </w:rPr>
              <w:t xml:space="preserve"> </w:t>
            </w:r>
            <w:r w:rsidR="004D6615" w:rsidRPr="004D6615">
              <w:rPr>
                <w:rFonts w:eastAsia="Calibri" w:cstheme="minorHAnsi"/>
                <w:color w:val="1E1E1E" w:themeColor="background2"/>
                <w:sz w:val="21"/>
                <w:szCs w:val="21"/>
                <w:lang w:val="en-GB"/>
              </w:rPr>
              <w:t>(TA) by 4 experts</w:t>
            </w:r>
            <w:r w:rsidR="004D6615">
              <w:rPr>
                <w:rFonts w:eastAsia="Calibri" w:cstheme="minorHAnsi"/>
                <w:b/>
                <w:i/>
                <w:color w:val="1E1E1E" w:themeColor="background2"/>
                <w:sz w:val="21"/>
                <w:szCs w:val="21"/>
                <w:lang w:val="en-GB"/>
              </w:rPr>
              <w:t xml:space="preserve"> </w:t>
            </w:r>
            <w:r w:rsidRPr="00AF43A2">
              <w:rPr>
                <w:rFonts w:eastAsia="Calibri" w:cstheme="minorHAnsi"/>
                <w:color w:val="1E1E1E" w:themeColor="background2"/>
                <w:sz w:val="21"/>
                <w:szCs w:val="21"/>
                <w:lang w:val="en-GB"/>
              </w:rPr>
              <w:t>from 2021 to 2023</w:t>
            </w:r>
            <w:r w:rsidR="00F46B62">
              <w:rPr>
                <w:rFonts w:eastAsia="Calibri" w:cstheme="minorHAnsi"/>
                <w:color w:val="1E1E1E" w:themeColor="background2"/>
                <w:sz w:val="21"/>
                <w:szCs w:val="21"/>
                <w:lang w:val="en-GB"/>
              </w:rPr>
              <w:t xml:space="preserve">: </w:t>
            </w:r>
            <w:r w:rsidRPr="00AF43A2">
              <w:rPr>
                <w:rFonts w:eastAsia="Calibri" w:cstheme="minorHAnsi"/>
                <w:color w:val="1E1E1E" w:themeColor="background2"/>
                <w:sz w:val="21"/>
                <w:szCs w:val="21"/>
                <w:lang w:val="en-GB"/>
              </w:rPr>
              <w:t>th</w:t>
            </w:r>
            <w:r w:rsidR="00F46B62">
              <w:rPr>
                <w:rFonts w:eastAsia="Calibri" w:cstheme="minorHAnsi"/>
                <w:color w:val="1E1E1E" w:themeColor="background2"/>
                <w:sz w:val="21"/>
                <w:szCs w:val="21"/>
                <w:lang w:val="en-GB"/>
              </w:rPr>
              <w:t>ese experts</w:t>
            </w:r>
            <w:r w:rsidRPr="00AF43A2">
              <w:rPr>
                <w:rFonts w:eastAsia="Calibri" w:cstheme="minorHAnsi"/>
                <w:color w:val="1E1E1E" w:themeColor="background2"/>
                <w:sz w:val="21"/>
                <w:szCs w:val="21"/>
                <w:lang w:val="en-GB"/>
              </w:rPr>
              <w:t xml:space="preserve"> will provide dedicated support to the implementation of all interventions related to strengthening OST (1.5); Introducing OD prevention (1.6); and Development of NPS services (1.7). Global Fund support for </w:t>
            </w:r>
            <w:r w:rsidR="004D6615">
              <w:rPr>
                <w:rFonts w:eastAsia="Calibri" w:cstheme="minorHAnsi"/>
                <w:color w:val="1E1E1E" w:themeColor="background2"/>
                <w:sz w:val="21"/>
                <w:szCs w:val="21"/>
                <w:lang w:val="en-GB"/>
              </w:rPr>
              <w:t>this TA</w:t>
            </w:r>
            <w:r w:rsidRPr="00AF43A2">
              <w:rPr>
                <w:rFonts w:eastAsia="Calibri" w:cstheme="minorHAnsi"/>
                <w:color w:val="1E1E1E" w:themeColor="background2"/>
                <w:sz w:val="21"/>
                <w:szCs w:val="21"/>
                <w:lang w:val="en-GB"/>
              </w:rPr>
              <w:t xml:space="preserve"> is crucial, since the Republican Mental Health Centre (RSPCMH) is responsible for </w:t>
            </w:r>
            <w:r w:rsidRPr="00AF43A2">
              <w:rPr>
                <w:rFonts w:eastAsia="Calibri" w:cstheme="minorHAnsi"/>
                <w:i/>
                <w:color w:val="1E1E1E" w:themeColor="background2"/>
                <w:sz w:val="21"/>
                <w:szCs w:val="21"/>
                <w:lang w:val="en-GB"/>
              </w:rPr>
              <w:t>clinical treatment</w:t>
            </w:r>
            <w:r w:rsidRPr="00AF43A2">
              <w:rPr>
                <w:rFonts w:eastAsia="Calibri" w:cstheme="minorHAnsi"/>
                <w:color w:val="1E1E1E" w:themeColor="background2"/>
                <w:sz w:val="21"/>
                <w:szCs w:val="21"/>
                <w:lang w:val="en-GB"/>
              </w:rPr>
              <w:t xml:space="preserve"> of drug addiction, and can therefore not contract special programme management staff. These staff will be based at, and work in close collaboration with the RSPCMH.</w:t>
            </w:r>
            <w:r w:rsidR="007575FE">
              <w:rPr>
                <w:rFonts w:eastAsia="Calibri" w:cstheme="minorHAnsi"/>
                <w:color w:val="1E1E1E" w:themeColor="background2"/>
                <w:sz w:val="21"/>
                <w:szCs w:val="21"/>
                <w:lang w:val="en-GB"/>
              </w:rPr>
              <w:t xml:space="preserve"> </w:t>
            </w:r>
          </w:p>
          <w:p w14:paraId="4E507088" w14:textId="77777777"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p>
          <w:p w14:paraId="7EF9E267" w14:textId="55DA4FBA" w:rsidR="00084391" w:rsidRPr="00042951" w:rsidRDefault="00084391" w:rsidP="000A0528">
            <w:pPr>
              <w:spacing w:after="0" w:line="240" w:lineRule="auto"/>
              <w:ind w:firstLine="284"/>
              <w:jc w:val="both"/>
              <w:rPr>
                <w:rFonts w:eastAsia="Calibri" w:cstheme="minorHAnsi"/>
                <w:color w:val="1E1E1E" w:themeColor="background2"/>
                <w:sz w:val="21"/>
                <w:szCs w:val="21"/>
                <w:lang w:val="en-GB"/>
              </w:rPr>
            </w:pPr>
            <w:r w:rsidRPr="00042951">
              <w:rPr>
                <w:rFonts w:eastAsia="Calibri" w:cstheme="minorHAnsi"/>
                <w:b/>
                <w:i/>
                <w:color w:val="1E1E1E" w:themeColor="background2"/>
                <w:sz w:val="21"/>
                <w:szCs w:val="21"/>
                <w:lang w:val="en-GB"/>
              </w:rPr>
              <w:t>Intervention 1.6 Overdose prevention and management</w:t>
            </w:r>
            <w:r w:rsidRPr="00042951">
              <w:rPr>
                <w:rFonts w:eastAsia="Calibri" w:cstheme="minorHAnsi"/>
                <w:color w:val="1E1E1E" w:themeColor="background2"/>
                <w:sz w:val="21"/>
                <w:szCs w:val="21"/>
                <w:lang w:val="en-GB"/>
              </w:rPr>
              <w:t xml:space="preserve"> – In recent years, there has been an increase in poisoning with psychoactive substances due to overdose (OD): from 2018 to 2019 it increased by 18.4% (from 688 to 843 cases). A PSI study among 503 PWID in 2010 found that, in the previous year 24.1% survived an overdose; 48.5% witnessed overdoses; and 25.5% witnessed fatal overdoses</w:t>
            </w:r>
            <w:r w:rsidRPr="00042951">
              <w:rPr>
                <w:rFonts w:eastAsia="Calibri" w:cstheme="minorHAnsi"/>
                <w:i/>
                <w:color w:val="1E1E1E" w:themeColor="background2"/>
                <w:sz w:val="21"/>
                <w:szCs w:val="21"/>
                <w:lang w:val="en-GB"/>
              </w:rPr>
              <w:t>.</w:t>
            </w:r>
            <w:r w:rsidRPr="00042951">
              <w:rPr>
                <w:rFonts w:eastAsia="Calibri" w:cstheme="minorHAnsi"/>
                <w:color w:val="1E1E1E" w:themeColor="background2"/>
                <w:sz w:val="21"/>
                <w:szCs w:val="21"/>
                <w:lang w:val="en-GB"/>
              </w:rPr>
              <w:t xml:space="preserve"> Furthermore, a study in 2013 by UNODC in Kazakhstan revealed that 57.7% of registered patients with opioid dependence and 38.6% of unregistered patients had an overdose experience </w:t>
            </w:r>
            <w:r w:rsidRPr="00042951">
              <w:rPr>
                <w:rFonts w:eastAsia="Calibri" w:cstheme="minorHAnsi"/>
                <w:i/>
                <w:color w:val="1E1E1E" w:themeColor="background2"/>
                <w:sz w:val="21"/>
                <w:szCs w:val="21"/>
                <w:lang w:val="en-GB"/>
              </w:rPr>
              <w:t>(</w:t>
            </w:r>
            <w:r w:rsidR="00042951" w:rsidRPr="00042951">
              <w:rPr>
                <w:rFonts w:eastAsia="Calibri" w:cstheme="minorHAnsi"/>
                <w:i/>
                <w:color w:val="1E1E1E" w:themeColor="background2"/>
                <w:sz w:val="21"/>
                <w:szCs w:val="21"/>
                <w:lang w:val="en-GB"/>
              </w:rPr>
              <w:t>see Annex 11, p.3</w:t>
            </w:r>
            <w:r w:rsidRPr="00042951">
              <w:rPr>
                <w:rFonts w:eastAsia="Calibri" w:cstheme="minorHAnsi"/>
                <w:i/>
                <w:color w:val="1E1E1E" w:themeColor="background2"/>
                <w:sz w:val="21"/>
                <w:szCs w:val="21"/>
                <w:lang w:val="en-GB"/>
              </w:rPr>
              <w:t>).</w:t>
            </w:r>
            <w:r w:rsidR="00822540" w:rsidRPr="00042951">
              <w:rPr>
                <w:rFonts w:eastAsia="Calibri" w:cstheme="minorHAnsi"/>
                <w:color w:val="1E1E1E" w:themeColor="background2"/>
                <w:sz w:val="21"/>
                <w:szCs w:val="21"/>
                <w:lang w:val="en-GB"/>
              </w:rPr>
              <w:t xml:space="preserve"> The true scale of OD is even bigger, as many cases are not officially reported</w:t>
            </w:r>
            <w:r w:rsidR="00042951">
              <w:rPr>
                <w:rFonts w:eastAsia="Calibri" w:cstheme="minorHAnsi"/>
                <w:color w:val="1E1E1E" w:themeColor="background2"/>
                <w:sz w:val="21"/>
                <w:szCs w:val="21"/>
                <w:lang w:val="en-GB"/>
              </w:rPr>
              <w:t>.</w:t>
            </w:r>
          </w:p>
          <w:p w14:paraId="083BF3C5" w14:textId="5EC37069" w:rsidR="00370743" w:rsidRPr="00042951" w:rsidRDefault="00084391" w:rsidP="000A0528">
            <w:pPr>
              <w:spacing w:after="0" w:line="240" w:lineRule="auto"/>
              <w:ind w:firstLine="284"/>
              <w:jc w:val="both"/>
              <w:rPr>
                <w:rFonts w:eastAsia="Calibri" w:cstheme="minorHAnsi"/>
                <w:color w:val="1E1E1E" w:themeColor="background2"/>
                <w:sz w:val="21"/>
                <w:szCs w:val="21"/>
                <w:lang w:val="en-GB"/>
              </w:rPr>
            </w:pPr>
            <w:r w:rsidRPr="00042951">
              <w:rPr>
                <w:rFonts w:eastAsia="Calibri" w:cstheme="minorHAnsi"/>
                <w:color w:val="1E1E1E" w:themeColor="background2"/>
                <w:sz w:val="21"/>
                <w:szCs w:val="21"/>
                <w:lang w:val="en-GB"/>
              </w:rPr>
              <w:t>WHO recommends the use of Naloxone for OD treatment</w:t>
            </w:r>
            <w:r w:rsidR="00C86B6A">
              <w:rPr>
                <w:rFonts w:eastAsia="Calibri" w:cstheme="minorHAnsi"/>
                <w:color w:val="1E1E1E" w:themeColor="background2"/>
                <w:sz w:val="21"/>
                <w:szCs w:val="21"/>
                <w:lang w:val="en-GB"/>
              </w:rPr>
              <w:t>.</w:t>
            </w:r>
            <w:r w:rsidRPr="00042951">
              <w:rPr>
                <w:rFonts w:eastAsia="Calibri" w:cstheme="minorHAnsi"/>
                <w:color w:val="1E1E1E" w:themeColor="background2"/>
                <w:sz w:val="21"/>
                <w:szCs w:val="21"/>
                <w:lang w:val="en-GB"/>
              </w:rPr>
              <w:t xml:space="preserve"> Results from a study conducted in 2017-2020 in Almaty in the context of the joint UNODC-WHO initiative “Stop Overdose Safely” (S-O-S), found that the training and delivery of Naloxone kits at the </w:t>
            </w:r>
            <w:r w:rsidRPr="00042951">
              <w:rPr>
                <w:rFonts w:eastAsia="Calibri" w:cstheme="minorHAnsi"/>
                <w:b/>
                <w:i/>
                <w:color w:val="1E1E1E" w:themeColor="background2"/>
                <w:sz w:val="21"/>
                <w:szCs w:val="21"/>
                <w:lang w:val="en-GB"/>
              </w:rPr>
              <w:t>community level</w:t>
            </w:r>
            <w:r w:rsidRPr="00042951">
              <w:rPr>
                <w:rFonts w:eastAsia="Calibri" w:cstheme="minorHAnsi"/>
                <w:color w:val="1E1E1E" w:themeColor="background2"/>
                <w:sz w:val="21"/>
                <w:szCs w:val="21"/>
                <w:lang w:val="en-GB"/>
              </w:rPr>
              <w:t xml:space="preserve"> helped prevent deaths from overdoses in many cases. However, the </w:t>
            </w:r>
            <w:r w:rsidRPr="00042951">
              <w:rPr>
                <w:rFonts w:eastAsia="Calibri" w:cstheme="minorHAnsi"/>
                <w:b/>
                <w:i/>
                <w:color w:val="1E1E1E" w:themeColor="background2"/>
                <w:sz w:val="21"/>
                <w:szCs w:val="21"/>
                <w:lang w:val="en-GB"/>
              </w:rPr>
              <w:t>current OD response, including the use of Naloxone, is extremely limited</w:t>
            </w:r>
            <w:r w:rsidRPr="00042951">
              <w:rPr>
                <w:rFonts w:eastAsia="Calibri" w:cstheme="minorHAnsi"/>
                <w:color w:val="1E1E1E" w:themeColor="background2"/>
                <w:sz w:val="21"/>
                <w:szCs w:val="21"/>
                <w:lang w:val="en-GB"/>
              </w:rPr>
              <w:t xml:space="preserve"> due to the following reasons</w:t>
            </w:r>
            <w:r w:rsidRPr="00042951">
              <w:rPr>
                <w:rFonts w:eastAsia="Calibri" w:cstheme="minorHAnsi"/>
                <w:b/>
                <w:i/>
                <w:color w:val="1E1E1E" w:themeColor="background2"/>
                <w:sz w:val="21"/>
                <w:szCs w:val="21"/>
                <w:lang w:val="en-GB"/>
              </w:rPr>
              <w:t>: 1) Limited availability</w:t>
            </w:r>
            <w:r w:rsidRPr="00042951">
              <w:rPr>
                <w:rFonts w:eastAsia="Calibri" w:cstheme="minorHAnsi"/>
                <w:color w:val="1E1E1E" w:themeColor="background2"/>
                <w:sz w:val="21"/>
                <w:szCs w:val="21"/>
                <w:lang w:val="en-GB"/>
              </w:rPr>
              <w:t xml:space="preserve"> of Naloxone due to the existing regulatory framework: it is on List A of toxic and narcotic drugs, which limits its distribution as a prescription drug to the necessary groups at the community level such as PHC doctors and outreach workers</w:t>
            </w:r>
            <w:r w:rsidRPr="00042951">
              <w:rPr>
                <w:rFonts w:eastAsia="Calibri" w:cstheme="minorHAnsi"/>
                <w:i/>
                <w:color w:val="1E1E1E" w:themeColor="background2"/>
                <w:sz w:val="21"/>
                <w:szCs w:val="21"/>
                <w:lang w:val="en-GB"/>
              </w:rPr>
              <w:t xml:space="preserve">. </w:t>
            </w:r>
            <w:r w:rsidRPr="00042951">
              <w:rPr>
                <w:rFonts w:eastAsia="Calibri" w:cstheme="minorHAnsi"/>
                <w:b/>
                <w:i/>
                <w:color w:val="1E1E1E" w:themeColor="background2"/>
                <w:sz w:val="21"/>
                <w:szCs w:val="21"/>
                <w:lang w:val="en-GB"/>
              </w:rPr>
              <w:t>2) registration of Naloxone has expired;</w:t>
            </w:r>
            <w:r w:rsidRPr="00042951">
              <w:rPr>
                <w:rFonts w:eastAsia="Calibri" w:cstheme="minorHAnsi"/>
                <w:color w:val="1E1E1E" w:themeColor="background2"/>
                <w:sz w:val="21"/>
                <w:szCs w:val="21"/>
                <w:lang w:val="en-GB"/>
              </w:rPr>
              <w:t xml:space="preserve"> </w:t>
            </w:r>
            <w:r w:rsidRPr="00042951">
              <w:rPr>
                <w:rFonts w:eastAsia="Calibri" w:cstheme="minorHAnsi"/>
                <w:b/>
                <w:i/>
                <w:color w:val="1E1E1E" w:themeColor="background2"/>
                <w:sz w:val="21"/>
                <w:szCs w:val="21"/>
                <w:lang w:val="en-GB"/>
              </w:rPr>
              <w:t>3) lack of competence in the use of Naloxone</w:t>
            </w:r>
            <w:r w:rsidRPr="00042951">
              <w:rPr>
                <w:rFonts w:eastAsia="Calibri" w:cstheme="minorHAnsi"/>
                <w:color w:val="1E1E1E" w:themeColor="background2"/>
                <w:sz w:val="21"/>
                <w:szCs w:val="21"/>
                <w:lang w:val="en-GB"/>
              </w:rPr>
              <w:t xml:space="preserve"> by medical specialists and non-medical workers; and </w:t>
            </w:r>
            <w:r w:rsidRPr="00042951">
              <w:rPr>
                <w:rFonts w:eastAsia="Calibri" w:cstheme="minorHAnsi"/>
                <w:b/>
                <w:i/>
                <w:color w:val="1E1E1E" w:themeColor="background2"/>
                <w:sz w:val="21"/>
                <w:szCs w:val="21"/>
                <w:lang w:val="en-GB"/>
              </w:rPr>
              <w:t>4) Lack of an approved protocol for its use</w:t>
            </w:r>
            <w:r w:rsidRPr="00042951">
              <w:rPr>
                <w:rFonts w:eastAsia="Calibri" w:cstheme="minorHAnsi"/>
                <w:color w:val="1E1E1E" w:themeColor="background2"/>
                <w:sz w:val="21"/>
                <w:szCs w:val="21"/>
                <w:lang w:val="en-GB"/>
              </w:rPr>
              <w:t>.</w:t>
            </w:r>
          </w:p>
          <w:p w14:paraId="536F7C48" w14:textId="79CF9660" w:rsidR="00084391" w:rsidRPr="00042951" w:rsidRDefault="00084391" w:rsidP="000A0528">
            <w:pPr>
              <w:spacing w:after="0" w:line="240" w:lineRule="auto"/>
              <w:ind w:firstLine="284"/>
              <w:jc w:val="both"/>
              <w:rPr>
                <w:rFonts w:eastAsia="Calibri" w:cstheme="minorHAnsi"/>
                <w:color w:val="1E1E1E" w:themeColor="background2"/>
                <w:sz w:val="21"/>
                <w:szCs w:val="21"/>
                <w:lang w:val="en-GB"/>
              </w:rPr>
            </w:pPr>
            <w:r w:rsidRPr="00042951">
              <w:rPr>
                <w:rFonts w:eastAsia="Calibri" w:cstheme="minorHAnsi"/>
                <w:color w:val="1E1E1E" w:themeColor="background2"/>
                <w:sz w:val="21"/>
                <w:szCs w:val="21"/>
                <w:lang w:val="en-GB"/>
              </w:rPr>
              <w:t xml:space="preserve">In this context, the Grant will support improving the availability and use of Naloxone for OD treatment at the community level through the following activities: </w:t>
            </w:r>
            <w:r w:rsidRPr="00042951">
              <w:rPr>
                <w:rFonts w:eastAsia="Calibri" w:cstheme="minorHAnsi"/>
                <w:b/>
                <w:i/>
                <w:color w:val="1E1E1E" w:themeColor="background2"/>
                <w:sz w:val="21"/>
                <w:szCs w:val="21"/>
                <w:lang w:val="en-GB"/>
              </w:rPr>
              <w:t xml:space="preserve">1) </w:t>
            </w:r>
            <w:r w:rsidR="00370743" w:rsidRPr="00042951">
              <w:rPr>
                <w:rFonts w:eastAsia="Calibri" w:cstheme="minorHAnsi"/>
                <w:b/>
                <w:i/>
                <w:color w:val="1E1E1E" w:themeColor="background2"/>
                <w:sz w:val="21"/>
                <w:szCs w:val="21"/>
                <w:lang w:val="en-GB"/>
              </w:rPr>
              <w:t>Support the</w:t>
            </w:r>
            <w:r w:rsidRPr="00042951">
              <w:rPr>
                <w:rFonts w:eastAsia="Calibri" w:cstheme="minorHAnsi"/>
                <w:b/>
                <w:i/>
                <w:color w:val="1E1E1E" w:themeColor="background2"/>
                <w:sz w:val="21"/>
                <w:szCs w:val="21"/>
                <w:lang w:val="en-GB"/>
              </w:rPr>
              <w:t xml:space="preserve"> re-registration of the injectable and intranasal form of Naloxone </w:t>
            </w:r>
            <w:r w:rsidRPr="00042951">
              <w:rPr>
                <w:rFonts w:eastAsia="Calibri" w:cstheme="minorHAnsi"/>
                <w:color w:val="1E1E1E" w:themeColor="background2"/>
                <w:sz w:val="21"/>
                <w:szCs w:val="21"/>
                <w:lang w:val="en-GB"/>
              </w:rPr>
              <w:t>and introducing the drug into the relevant regulatory legal acts;</w:t>
            </w:r>
            <w:r w:rsidRPr="00042951">
              <w:rPr>
                <w:rFonts w:eastAsia="Calibri" w:cstheme="minorHAnsi"/>
                <w:b/>
                <w:i/>
                <w:color w:val="1E1E1E" w:themeColor="background2"/>
                <w:sz w:val="21"/>
                <w:szCs w:val="21"/>
                <w:lang w:val="en-GB"/>
              </w:rPr>
              <w:t xml:space="preserve"> 2) Support for amendments </w:t>
            </w:r>
            <w:r w:rsidRPr="00042951">
              <w:rPr>
                <w:rFonts w:eastAsia="Calibri" w:cstheme="minorHAnsi"/>
                <w:color w:val="1E1E1E" w:themeColor="background2"/>
                <w:sz w:val="21"/>
                <w:szCs w:val="21"/>
                <w:lang w:val="en-GB"/>
              </w:rPr>
              <w:t xml:space="preserve">to regulatory documents to </w:t>
            </w:r>
            <w:r w:rsidRPr="00042951">
              <w:rPr>
                <w:rFonts w:eastAsia="Calibri" w:cstheme="minorHAnsi"/>
                <w:b/>
                <w:i/>
                <w:color w:val="1E1E1E" w:themeColor="background2"/>
                <w:sz w:val="21"/>
                <w:szCs w:val="21"/>
                <w:lang w:val="en-GB"/>
              </w:rPr>
              <w:t xml:space="preserve">allow dispensing Naloxone and Naltrexone without prescription </w:t>
            </w:r>
            <w:r w:rsidRPr="00042951">
              <w:rPr>
                <w:rFonts w:eastAsia="Calibri" w:cstheme="minorHAnsi"/>
                <w:color w:val="1E1E1E" w:themeColor="background2"/>
                <w:sz w:val="21"/>
                <w:szCs w:val="21"/>
                <w:lang w:val="en-GB"/>
              </w:rPr>
              <w:t xml:space="preserve">through the pharmacy network; </w:t>
            </w:r>
            <w:r w:rsidRPr="00042951">
              <w:rPr>
                <w:rFonts w:eastAsia="Calibri" w:cstheme="minorHAnsi"/>
                <w:b/>
                <w:i/>
                <w:color w:val="1E1E1E" w:themeColor="background2"/>
                <w:sz w:val="21"/>
                <w:szCs w:val="21"/>
                <w:lang w:val="en-GB"/>
              </w:rPr>
              <w:t xml:space="preserve">3) Development of an algorithm (protocol) for the use of Naloxone and Naltrexone </w:t>
            </w:r>
            <w:r w:rsidRPr="00042951">
              <w:rPr>
                <w:rFonts w:eastAsia="Calibri" w:cstheme="minorHAnsi"/>
                <w:color w:val="1E1E1E" w:themeColor="background2"/>
                <w:sz w:val="21"/>
                <w:szCs w:val="21"/>
                <w:lang w:val="en-GB"/>
              </w:rPr>
              <w:t>in Kazakhstan;</w:t>
            </w:r>
            <w:r w:rsidR="00EB2BD5" w:rsidRPr="00042951">
              <w:rPr>
                <w:rFonts w:eastAsia="Calibri" w:cstheme="minorHAnsi"/>
                <w:color w:val="1E1E1E" w:themeColor="background2"/>
                <w:sz w:val="21"/>
                <w:szCs w:val="21"/>
                <w:lang w:val="en-GB"/>
              </w:rPr>
              <w:t xml:space="preserve"> and</w:t>
            </w:r>
            <w:r w:rsidRPr="00042951">
              <w:rPr>
                <w:rFonts w:eastAsia="Calibri" w:cstheme="minorHAnsi"/>
                <w:color w:val="1E1E1E" w:themeColor="background2"/>
                <w:sz w:val="21"/>
                <w:szCs w:val="21"/>
                <w:lang w:val="en-GB"/>
              </w:rPr>
              <w:t xml:space="preserve"> </w:t>
            </w:r>
            <w:r w:rsidRPr="00042951">
              <w:rPr>
                <w:rFonts w:eastAsia="Calibri" w:cstheme="minorHAnsi"/>
                <w:b/>
                <w:i/>
                <w:color w:val="1E1E1E" w:themeColor="background2"/>
                <w:sz w:val="21"/>
                <w:szCs w:val="21"/>
                <w:lang w:val="en-GB"/>
              </w:rPr>
              <w:t>4) Training of national trainers</w:t>
            </w:r>
            <w:r w:rsidRPr="00042951">
              <w:rPr>
                <w:rFonts w:eastAsia="Calibri" w:cstheme="minorHAnsi"/>
                <w:color w:val="1E1E1E" w:themeColor="background2"/>
                <w:sz w:val="21"/>
                <w:szCs w:val="21"/>
                <w:lang w:val="en-GB"/>
              </w:rPr>
              <w:t xml:space="preserve"> from among doctors, doctors-narcologists, toxicologists, general practitioners, emergency doctors on treatment of OD and disorders caused by the use of NPS</w:t>
            </w:r>
            <w:r w:rsidR="00EB2BD5" w:rsidRPr="00042951">
              <w:rPr>
                <w:rFonts w:eastAsia="Calibri" w:cstheme="minorHAnsi"/>
                <w:color w:val="1E1E1E" w:themeColor="background2"/>
                <w:sz w:val="21"/>
                <w:szCs w:val="21"/>
                <w:lang w:val="en-GB"/>
              </w:rPr>
              <w:t>.</w:t>
            </w:r>
            <w:r w:rsidR="004C12DA" w:rsidRPr="00042951">
              <w:rPr>
                <w:rFonts w:eastAsia="Calibri" w:cstheme="minorHAnsi"/>
                <w:color w:val="1E1E1E" w:themeColor="background2"/>
                <w:sz w:val="21"/>
                <w:szCs w:val="21"/>
                <w:lang w:val="en-GB"/>
              </w:rPr>
              <w:t xml:space="preserve"> Given the registration of Naloxone on List A of toxic and narcotic drugs, training of community outreach workers is not foreseen for the duration of the grant, but will be considered for the near future.</w:t>
            </w:r>
            <w:r w:rsidR="0095076C">
              <w:rPr>
                <w:rFonts w:eastAsia="Calibri" w:cstheme="minorHAnsi"/>
                <w:color w:val="1E1E1E" w:themeColor="background2"/>
                <w:sz w:val="21"/>
                <w:szCs w:val="21"/>
                <w:lang w:val="en-GB"/>
              </w:rPr>
              <w:t xml:space="preserve"> In addition, overdose management will be part of a study tour for 7 mental health specialists that will include OST, OD management and NPS use (see next intervention 1.7).</w:t>
            </w:r>
          </w:p>
          <w:p w14:paraId="76FFC187" w14:textId="77777777"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p>
          <w:p w14:paraId="4CB03D0C" w14:textId="19FA76BE"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Intervention 1.7: Development of programmes on new psychoactive substances (NPS)</w:t>
            </w:r>
            <w:r w:rsidRPr="00AF43A2">
              <w:rPr>
                <w:rFonts w:eastAsia="Calibri" w:cstheme="minorHAnsi"/>
                <w:color w:val="1E1E1E" w:themeColor="background2"/>
                <w:sz w:val="21"/>
                <w:szCs w:val="21"/>
                <w:lang w:val="en-GB"/>
              </w:rPr>
              <w:t xml:space="preserve"> – In recent years, there has been a marked increase in the use of so-called NPS: a study in 2019 found that the number of people using NPS in Kazakhstan had </w:t>
            </w:r>
            <w:r w:rsidR="00FC2250" w:rsidRPr="00AF43A2">
              <w:rPr>
                <w:rFonts w:eastAsia="Calibri" w:cstheme="minorHAnsi"/>
                <w:color w:val="1E1E1E" w:themeColor="background2"/>
                <w:sz w:val="21"/>
                <w:szCs w:val="21"/>
                <w:lang w:val="en-GB"/>
              </w:rPr>
              <w:t>increased dramatically</w:t>
            </w:r>
            <w:r w:rsidRPr="00AF43A2">
              <w:rPr>
                <w:rFonts w:eastAsia="Calibri" w:cstheme="minorHAnsi"/>
                <w:color w:val="1E1E1E" w:themeColor="background2"/>
                <w:sz w:val="21"/>
                <w:szCs w:val="21"/>
                <w:lang w:val="en-GB"/>
              </w:rPr>
              <w:t xml:space="preserve">. Similarly, the proportion of drug-related hospitalisations due to NSPs increased 2.5-fold, reaching 10% </w:t>
            </w:r>
            <w:r w:rsidR="003E430A">
              <w:rPr>
                <w:rFonts w:eastAsia="Calibri" w:cstheme="minorHAnsi"/>
                <w:color w:val="1E1E1E" w:themeColor="background2"/>
                <w:sz w:val="21"/>
                <w:szCs w:val="21"/>
                <w:lang w:val="en-GB"/>
              </w:rPr>
              <w:t xml:space="preserve">in some regions </w:t>
            </w:r>
            <w:r w:rsidRPr="00AF43A2">
              <w:rPr>
                <w:rFonts w:eastAsia="Calibri" w:cstheme="minorHAnsi"/>
                <w:color w:val="1E1E1E" w:themeColor="background2"/>
                <w:sz w:val="21"/>
                <w:szCs w:val="21"/>
                <w:lang w:val="en-GB"/>
              </w:rPr>
              <w:t>in 2018</w:t>
            </w:r>
            <w:r w:rsidR="003E430A">
              <w:rPr>
                <w:rFonts w:eastAsia="Calibri" w:cstheme="minorHAnsi"/>
                <w:color w:val="1E1E1E" w:themeColor="background2"/>
                <w:sz w:val="21"/>
                <w:szCs w:val="21"/>
                <w:lang w:val="en-GB"/>
              </w:rPr>
              <w:t xml:space="preserve"> </w:t>
            </w:r>
            <w:r w:rsidR="003E430A" w:rsidRPr="003E430A">
              <w:rPr>
                <w:rFonts w:eastAsia="Calibri" w:cstheme="minorHAnsi"/>
                <w:i/>
                <w:color w:val="1E1E1E" w:themeColor="background2"/>
                <w:sz w:val="21"/>
                <w:szCs w:val="21"/>
                <w:lang w:val="en-GB"/>
              </w:rPr>
              <w:t>(see Annex 16, p.4)</w:t>
            </w:r>
            <w:r w:rsidRPr="003E430A">
              <w:rPr>
                <w:rFonts w:eastAsia="Calibri" w:cstheme="minorHAnsi"/>
                <w:i/>
                <w:color w:val="1E1E1E" w:themeColor="background2"/>
                <w:sz w:val="21"/>
                <w:szCs w:val="21"/>
                <w:lang w:val="en-GB"/>
              </w:rPr>
              <w:t>.</w:t>
            </w:r>
            <w:r w:rsidRPr="00AF43A2">
              <w:rPr>
                <w:rFonts w:eastAsia="Calibri" w:cstheme="minorHAnsi"/>
                <w:color w:val="1E1E1E" w:themeColor="background2"/>
                <w:sz w:val="21"/>
                <w:szCs w:val="21"/>
                <w:lang w:val="en-GB"/>
              </w:rPr>
              <w:t xml:space="preserve"> The highest prevalence of NPS use was observed among young men aged 25-30 years. Almost half (45.6%) of respondents knew at least one </w:t>
            </w:r>
            <w:r w:rsidRPr="00AF43A2">
              <w:rPr>
                <w:rFonts w:eastAsia="Calibri" w:cstheme="minorHAnsi"/>
                <w:color w:val="1E1E1E" w:themeColor="background2"/>
                <w:sz w:val="21"/>
                <w:szCs w:val="21"/>
                <w:lang w:val="en-GB"/>
              </w:rPr>
              <w:lastRenderedPageBreak/>
              <w:t>NPS; 6.3% had ever used any synthetic drug; and 2.4% had used NPS in the past 30 days</w:t>
            </w:r>
            <w:r w:rsidR="003E430A">
              <w:rPr>
                <w:rFonts w:eastAsia="Calibri" w:cstheme="minorHAnsi"/>
                <w:color w:val="1E1E1E" w:themeColor="background2"/>
                <w:sz w:val="21"/>
                <w:szCs w:val="21"/>
                <w:lang w:val="en-GB"/>
              </w:rPr>
              <w:t xml:space="preserve"> </w:t>
            </w:r>
            <w:r w:rsidR="003E430A" w:rsidRPr="003E430A">
              <w:rPr>
                <w:rFonts w:eastAsia="Calibri" w:cstheme="minorHAnsi"/>
                <w:i/>
                <w:color w:val="1E1E1E" w:themeColor="background2"/>
                <w:sz w:val="21"/>
                <w:szCs w:val="21"/>
                <w:lang w:val="en-GB"/>
              </w:rPr>
              <w:t>(see Annex 17, slide 1</w:t>
            </w:r>
            <w:r w:rsidR="003E430A">
              <w:rPr>
                <w:rFonts w:eastAsia="Calibri" w:cstheme="minorHAnsi"/>
                <w:i/>
                <w:color w:val="1E1E1E" w:themeColor="background2"/>
                <w:sz w:val="21"/>
                <w:szCs w:val="21"/>
                <w:lang w:val="en-GB"/>
              </w:rPr>
              <w:t>3</w:t>
            </w:r>
            <w:r w:rsidR="003E430A" w:rsidRPr="003E430A">
              <w:rPr>
                <w:rFonts w:eastAsia="Calibri" w:cstheme="minorHAnsi"/>
                <w:i/>
                <w:color w:val="1E1E1E" w:themeColor="background2"/>
                <w:sz w:val="21"/>
                <w:szCs w:val="21"/>
                <w:lang w:val="en-GB"/>
              </w:rPr>
              <w:t>)</w:t>
            </w:r>
            <w:r w:rsidRPr="003E430A">
              <w:rPr>
                <w:rFonts w:eastAsia="Calibri" w:cstheme="minorHAnsi"/>
                <w:i/>
                <w:color w:val="1E1E1E" w:themeColor="background2"/>
                <w:sz w:val="21"/>
                <w:szCs w:val="21"/>
                <w:lang w:val="en-GB"/>
              </w:rPr>
              <w:t>.</w:t>
            </w:r>
            <w:r w:rsidRPr="00AF43A2">
              <w:rPr>
                <w:rFonts w:eastAsia="Calibri" w:cstheme="minorHAnsi"/>
                <w:color w:val="1E1E1E" w:themeColor="background2"/>
                <w:sz w:val="21"/>
                <w:szCs w:val="21"/>
                <w:lang w:val="en-GB"/>
              </w:rPr>
              <w:t xml:space="preserve"> The highest NPS use is seen in North Kazakhstan region, Nur-Sultan and Almaty. The use of NPS includes a wide range of methods, including injection</w:t>
            </w:r>
            <w:r w:rsidR="004C12DA" w:rsidRPr="00AF43A2">
              <w:rPr>
                <w:rFonts w:eastAsia="Calibri" w:cstheme="minorHAnsi"/>
                <w:color w:val="1E1E1E" w:themeColor="background2"/>
                <w:sz w:val="21"/>
                <w:szCs w:val="21"/>
                <w:lang w:val="en-GB"/>
              </w:rPr>
              <w:t>, but accurate data is not available on the extent of injection use of NPS</w:t>
            </w:r>
            <w:r w:rsidRPr="00AF43A2">
              <w:rPr>
                <w:rFonts w:eastAsia="Calibri" w:cstheme="minorHAnsi"/>
                <w:color w:val="1E1E1E" w:themeColor="background2"/>
                <w:sz w:val="21"/>
                <w:szCs w:val="21"/>
                <w:lang w:val="en-GB"/>
              </w:rPr>
              <w:t>. In addition, NPS use is associated with increased levels of high-risk, unprotected sex with multiple sex partners</w:t>
            </w:r>
            <w:r w:rsidR="009C515A">
              <w:rPr>
                <w:rFonts w:eastAsia="Calibri" w:cstheme="minorHAnsi"/>
                <w:color w:val="1E1E1E" w:themeColor="background2"/>
                <w:sz w:val="21"/>
                <w:szCs w:val="21"/>
                <w:lang w:val="en-GB"/>
              </w:rPr>
              <w:t>, including among MSM</w:t>
            </w:r>
            <w:r w:rsidR="00CD5542">
              <w:rPr>
                <w:rFonts w:eastAsia="Calibri" w:cstheme="minorHAnsi"/>
                <w:color w:val="1E1E1E" w:themeColor="background2"/>
                <w:sz w:val="21"/>
                <w:szCs w:val="21"/>
                <w:lang w:val="en-GB"/>
              </w:rPr>
              <w:t xml:space="preserve"> (e.g. “chemsex’)</w:t>
            </w:r>
            <w:r w:rsidRPr="00AF43A2">
              <w:rPr>
                <w:rFonts w:eastAsia="Calibri" w:cstheme="minorHAnsi"/>
                <w:color w:val="1E1E1E" w:themeColor="background2"/>
                <w:sz w:val="21"/>
                <w:szCs w:val="21"/>
                <w:lang w:val="en-GB"/>
              </w:rPr>
              <w:t>. Thus, the increase in NPS use represents a new challenge to HIV prevention.</w:t>
            </w:r>
          </w:p>
          <w:p w14:paraId="2022C982" w14:textId="69C39CDF" w:rsidR="00084391" w:rsidRPr="00042951" w:rsidRDefault="00084391" w:rsidP="000A0528">
            <w:pPr>
              <w:spacing w:after="0" w:line="240" w:lineRule="auto"/>
              <w:ind w:firstLine="284"/>
              <w:jc w:val="both"/>
              <w:rPr>
                <w:rFonts w:eastAsia="Calibri" w:cstheme="minorHAnsi"/>
                <w:color w:val="202020" w:themeColor="text1" w:themeShade="80"/>
                <w:sz w:val="21"/>
                <w:szCs w:val="21"/>
                <w:lang w:val="en-GB"/>
              </w:rPr>
            </w:pPr>
            <w:r w:rsidRPr="00AF43A2">
              <w:rPr>
                <w:rFonts w:eastAsia="Calibri" w:cstheme="minorHAnsi"/>
                <w:color w:val="1E1E1E" w:themeColor="background2"/>
                <w:sz w:val="21"/>
                <w:szCs w:val="21"/>
                <w:lang w:val="en-GB"/>
              </w:rPr>
              <w:t>Given the rapid emergence of NPS in Kazakhstan, there is</w:t>
            </w:r>
            <w:r w:rsidRPr="00AF43A2">
              <w:rPr>
                <w:rFonts w:eastAsia="Calibri" w:cstheme="minorHAnsi"/>
                <w:b/>
                <w:i/>
                <w:color w:val="1E1E1E" w:themeColor="background2"/>
                <w:sz w:val="21"/>
                <w:szCs w:val="21"/>
                <w:lang w:val="en-GB"/>
              </w:rPr>
              <w:t xml:space="preserve"> very limited knowledge and expertise on NPS among mental health and drug-treatment specialists, </w:t>
            </w:r>
            <w:r w:rsidRPr="00AF43A2">
              <w:rPr>
                <w:rFonts w:eastAsia="Calibri" w:cstheme="minorHAnsi"/>
                <w:color w:val="1E1E1E" w:themeColor="background2"/>
                <w:sz w:val="21"/>
                <w:szCs w:val="21"/>
                <w:lang w:val="en-GB"/>
              </w:rPr>
              <w:t xml:space="preserve">and on how best to deal with NPS use, including in the context of HIV prevention. NPS users are predominantly young, and may not be </w:t>
            </w:r>
            <w:r w:rsidRPr="00042951">
              <w:rPr>
                <w:rFonts w:eastAsia="Calibri" w:cstheme="minorHAnsi"/>
                <w:color w:val="1E1E1E" w:themeColor="background2"/>
                <w:sz w:val="21"/>
                <w:szCs w:val="21"/>
                <w:lang w:val="en-GB"/>
              </w:rPr>
              <w:t xml:space="preserve">reached by existing harm reduction programmes for PWID. In this context, the Grant will support a number of activities to improve the knowledge about NPS, and to facilitate the development of </w:t>
            </w:r>
            <w:r w:rsidRPr="00042951">
              <w:rPr>
                <w:rFonts w:eastAsia="Calibri" w:cstheme="minorHAnsi"/>
                <w:color w:val="202020" w:themeColor="text1" w:themeShade="80"/>
                <w:sz w:val="21"/>
                <w:szCs w:val="21"/>
                <w:lang w:val="en-GB"/>
              </w:rPr>
              <w:t xml:space="preserve">adequate prevention and treatment programmes for NPS use; these include: </w:t>
            </w:r>
            <w:r w:rsidRPr="00042951">
              <w:rPr>
                <w:rFonts w:eastAsia="Calibri" w:cstheme="minorHAnsi"/>
                <w:b/>
                <w:i/>
                <w:color w:val="202020" w:themeColor="text1" w:themeShade="80"/>
                <w:sz w:val="21"/>
                <w:szCs w:val="21"/>
                <w:lang w:val="en-GB"/>
              </w:rPr>
              <w:t>1) a clinical and epidemiological study on NPS</w:t>
            </w:r>
            <w:r w:rsidRPr="00042951">
              <w:rPr>
                <w:rFonts w:eastAsia="Calibri" w:cstheme="minorHAnsi"/>
                <w:color w:val="202020" w:themeColor="text1" w:themeShade="80"/>
                <w:sz w:val="21"/>
                <w:szCs w:val="21"/>
                <w:lang w:val="en-GB"/>
              </w:rPr>
              <w:t xml:space="preserve"> and its prevalence in 2021</w:t>
            </w:r>
            <w:r w:rsidR="002E5629">
              <w:rPr>
                <w:rFonts w:eastAsia="Calibri" w:cstheme="minorHAnsi"/>
                <w:color w:val="202020" w:themeColor="text1" w:themeShade="80"/>
                <w:sz w:val="21"/>
                <w:szCs w:val="21"/>
                <w:lang w:val="en-GB"/>
              </w:rPr>
              <w:t>, with special attention for gender-related differences in NPS use and associated risks</w:t>
            </w:r>
            <w:r w:rsidRPr="00042951">
              <w:rPr>
                <w:rFonts w:eastAsia="Calibri" w:cstheme="minorHAnsi"/>
                <w:b/>
                <w:color w:val="202020" w:themeColor="text1" w:themeShade="80"/>
                <w:sz w:val="21"/>
                <w:szCs w:val="21"/>
                <w:lang w:val="en-GB"/>
              </w:rPr>
              <w:t xml:space="preserve">; </w:t>
            </w:r>
            <w:r w:rsidRPr="00042951">
              <w:rPr>
                <w:rFonts w:eastAsia="Calibri" w:cstheme="minorHAnsi"/>
                <w:b/>
                <w:i/>
                <w:color w:val="202020" w:themeColor="text1" w:themeShade="80"/>
                <w:sz w:val="21"/>
                <w:szCs w:val="21"/>
                <w:lang w:val="en-GB"/>
              </w:rPr>
              <w:t>2)</w:t>
            </w:r>
            <w:r w:rsidRPr="00042951">
              <w:rPr>
                <w:rFonts w:eastAsia="Calibri" w:cstheme="minorHAnsi"/>
                <w:color w:val="202020" w:themeColor="text1" w:themeShade="80"/>
                <w:sz w:val="21"/>
                <w:szCs w:val="21"/>
                <w:lang w:val="en-GB"/>
              </w:rPr>
              <w:t xml:space="preserve"> The results of this study will be used to inform the</w:t>
            </w:r>
            <w:r w:rsidRPr="00042951">
              <w:rPr>
                <w:rFonts w:eastAsia="Calibri" w:cstheme="minorHAnsi"/>
                <w:b/>
                <w:color w:val="202020" w:themeColor="text1" w:themeShade="80"/>
                <w:sz w:val="21"/>
                <w:szCs w:val="21"/>
                <w:lang w:val="en-GB"/>
              </w:rPr>
              <w:t xml:space="preserve"> </w:t>
            </w:r>
            <w:r w:rsidRPr="00042951">
              <w:rPr>
                <w:rFonts w:eastAsia="Calibri" w:cstheme="minorHAnsi"/>
                <w:b/>
                <w:i/>
                <w:color w:val="202020" w:themeColor="text1" w:themeShade="80"/>
                <w:sz w:val="21"/>
                <w:szCs w:val="21"/>
                <w:lang w:val="en-GB"/>
              </w:rPr>
              <w:t>development of a Road map for the prevention of NPS</w:t>
            </w:r>
            <w:r w:rsidRPr="00042951">
              <w:rPr>
                <w:rFonts w:eastAsia="Calibri" w:cstheme="minorHAnsi"/>
                <w:i/>
                <w:color w:val="202020" w:themeColor="text1" w:themeShade="80"/>
                <w:sz w:val="21"/>
                <w:szCs w:val="21"/>
                <w:lang w:val="en-GB"/>
              </w:rPr>
              <w:t xml:space="preserve"> </w:t>
            </w:r>
            <w:r w:rsidRPr="00042951">
              <w:rPr>
                <w:rFonts w:eastAsia="Calibri" w:cstheme="minorHAnsi"/>
                <w:color w:val="202020" w:themeColor="text1" w:themeShade="80"/>
                <w:sz w:val="21"/>
                <w:szCs w:val="21"/>
                <w:lang w:val="en-GB"/>
              </w:rPr>
              <w:t xml:space="preserve">(2021); </w:t>
            </w:r>
            <w:r w:rsidRPr="00042951">
              <w:rPr>
                <w:rFonts w:eastAsia="Calibri" w:cstheme="minorHAnsi"/>
                <w:b/>
                <w:i/>
                <w:color w:val="202020" w:themeColor="text1" w:themeShade="80"/>
                <w:sz w:val="21"/>
                <w:szCs w:val="21"/>
                <w:lang w:val="en-GB"/>
              </w:rPr>
              <w:t>3) Capacity building of mental health professionals</w:t>
            </w:r>
            <w:r w:rsidRPr="00042951">
              <w:rPr>
                <w:rFonts w:eastAsia="Calibri" w:cstheme="minorHAnsi"/>
                <w:b/>
                <w:color w:val="202020" w:themeColor="text1" w:themeShade="80"/>
                <w:sz w:val="21"/>
                <w:szCs w:val="21"/>
                <w:lang w:val="en-GB"/>
              </w:rPr>
              <w:t xml:space="preserve"> </w:t>
            </w:r>
            <w:r w:rsidRPr="00042951">
              <w:rPr>
                <w:rFonts w:eastAsia="Calibri" w:cstheme="minorHAnsi"/>
                <w:color w:val="202020" w:themeColor="text1" w:themeShade="80"/>
                <w:sz w:val="21"/>
                <w:szCs w:val="21"/>
                <w:lang w:val="en-GB"/>
              </w:rPr>
              <w:t>will</w:t>
            </w:r>
            <w:r w:rsidR="00850EEC" w:rsidRPr="00042951">
              <w:rPr>
                <w:rFonts w:eastAsia="Calibri" w:cstheme="minorHAnsi"/>
                <w:color w:val="202020" w:themeColor="text1" w:themeShade="80"/>
                <w:sz w:val="21"/>
                <w:szCs w:val="21"/>
                <w:lang w:val="en-GB"/>
              </w:rPr>
              <w:t xml:space="preserve"> include: i) a 5-day study tour for seven (7) Mental Health specialists to a clinic specialised in NPS (UK) in 2021; ii) Development of a training module for Cascade (TOT) training of Health-care workers on NPS; iii) Annual training of 25 national trainers (TOT) on OD prevention and NPS issues (2021-2023)</w:t>
            </w:r>
            <w:r w:rsidR="009C515A">
              <w:rPr>
                <w:rFonts w:eastAsia="Calibri" w:cstheme="minorHAnsi"/>
                <w:color w:val="202020" w:themeColor="text1" w:themeShade="80"/>
                <w:sz w:val="21"/>
                <w:szCs w:val="21"/>
                <w:lang w:val="en-GB"/>
              </w:rPr>
              <w:t xml:space="preserve">. </w:t>
            </w:r>
            <w:r w:rsidR="00850EEC" w:rsidRPr="00042951">
              <w:rPr>
                <w:rFonts w:eastAsia="Calibri" w:cstheme="minorHAnsi"/>
                <w:color w:val="202020" w:themeColor="text1" w:themeShade="80"/>
                <w:sz w:val="21"/>
                <w:szCs w:val="21"/>
                <w:lang w:val="en-GB"/>
              </w:rPr>
              <w:t>This increased capacity will facilitate the development of service-delivery models for NPS users and the involvement of NGOs currently already involved in harm-reduction services for PWID.</w:t>
            </w:r>
            <w:r w:rsidR="009C515A">
              <w:rPr>
                <w:rFonts w:eastAsia="Calibri" w:cstheme="minorHAnsi"/>
                <w:color w:val="202020" w:themeColor="text1" w:themeShade="80"/>
                <w:sz w:val="21"/>
                <w:szCs w:val="21"/>
                <w:lang w:val="en-GB"/>
              </w:rPr>
              <w:t xml:space="preserve"> Activities (i) and (ii) are combined with training on OD management under Activity 1.6.4.</w:t>
            </w:r>
          </w:p>
          <w:p w14:paraId="71993306" w14:textId="77777777" w:rsidR="00084391" w:rsidRPr="00042951" w:rsidRDefault="00084391" w:rsidP="000A0528">
            <w:pPr>
              <w:spacing w:after="0" w:line="240" w:lineRule="auto"/>
              <w:jc w:val="both"/>
              <w:rPr>
                <w:rFonts w:eastAsia="Calibri" w:cstheme="minorHAnsi"/>
                <w:color w:val="202020" w:themeColor="text1" w:themeShade="80"/>
                <w:sz w:val="8"/>
                <w:szCs w:val="8"/>
                <w:lang w:val="en-GB"/>
              </w:rPr>
            </w:pPr>
          </w:p>
          <w:p w14:paraId="386482FA" w14:textId="501B04E2" w:rsidR="00D07D68"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042951">
              <w:rPr>
                <w:rFonts w:eastAsia="Calibri" w:cstheme="minorHAnsi"/>
                <w:b/>
                <w:i/>
                <w:color w:val="202020" w:themeColor="text1" w:themeShade="80"/>
                <w:sz w:val="21"/>
                <w:szCs w:val="21"/>
                <w:lang w:val="en-GB"/>
              </w:rPr>
              <w:t xml:space="preserve">Intervention 2.1 Strengthen community-based </w:t>
            </w:r>
            <w:r w:rsidRPr="00042951">
              <w:rPr>
                <w:rFonts w:eastAsia="Calibri" w:cstheme="minorHAnsi"/>
                <w:b/>
                <w:i/>
                <w:color w:val="1E1E1E" w:themeColor="background2"/>
                <w:sz w:val="21"/>
                <w:szCs w:val="21"/>
                <w:lang w:val="en-GB"/>
              </w:rPr>
              <w:t>HIV testing among KPs by NGO outreach workers</w:t>
            </w:r>
            <w:r w:rsidRPr="00042951">
              <w:rPr>
                <w:rFonts w:eastAsia="Calibri" w:cstheme="minorHAnsi"/>
                <w:color w:val="1E1E1E" w:themeColor="background2"/>
                <w:sz w:val="21"/>
                <w:szCs w:val="21"/>
                <w:lang w:val="en-GB"/>
              </w:rPr>
              <w:t xml:space="preserve"> – At the end of 2019, of the estimated total number of PLHIV of 31,378 </w:t>
            </w:r>
            <w:r w:rsidRPr="00042951">
              <w:rPr>
                <w:rFonts w:eastAsia="Calibri" w:cstheme="minorHAnsi"/>
                <w:i/>
                <w:color w:val="1E1E1E" w:themeColor="background2"/>
                <w:sz w:val="21"/>
                <w:szCs w:val="21"/>
                <w:lang w:val="en-GB"/>
              </w:rPr>
              <w:t>(</w:t>
            </w:r>
            <w:r w:rsidR="004557FC" w:rsidRPr="00042951">
              <w:rPr>
                <w:rFonts w:eastAsia="Calibri" w:cstheme="minorHAnsi"/>
                <w:i/>
                <w:color w:val="1E1E1E" w:themeColor="background2"/>
                <w:sz w:val="21"/>
                <w:szCs w:val="21"/>
                <w:lang w:val="en-GB"/>
              </w:rPr>
              <w:t>see Annex 2, slide 10</w:t>
            </w:r>
            <w:r w:rsidRPr="00042951">
              <w:rPr>
                <w:rFonts w:eastAsia="Calibri" w:cstheme="minorHAnsi"/>
                <w:i/>
                <w:color w:val="1E1E1E" w:themeColor="background2"/>
                <w:sz w:val="21"/>
                <w:szCs w:val="21"/>
                <w:lang w:val="en-GB"/>
              </w:rPr>
              <w:t>),</w:t>
            </w:r>
            <w:r w:rsidRPr="00042951">
              <w:rPr>
                <w:rFonts w:eastAsia="Calibri" w:cstheme="minorHAnsi"/>
                <w:color w:val="1E1E1E" w:themeColor="background2"/>
                <w:sz w:val="21"/>
                <w:szCs w:val="21"/>
                <w:lang w:val="en-GB"/>
              </w:rPr>
              <w:t xml:space="preserve"> 25,753 (82.1%) alive PLHIV were officially registered and know their status. The overall 82% HIV awareness varies from 68% in Turkestan region to 91% in Mangistau region. In 2019, about 3 million HIV tests</w:t>
            </w:r>
            <w:r w:rsidRPr="00AF43A2">
              <w:rPr>
                <w:rFonts w:eastAsia="Calibri" w:cstheme="minorHAnsi"/>
                <w:color w:val="1E1E1E" w:themeColor="background2"/>
                <w:sz w:val="21"/>
                <w:szCs w:val="21"/>
                <w:lang w:val="en-GB"/>
              </w:rPr>
              <w:t xml:space="preserve"> were conducted among 2.4 million Kazakhstan citizens (14% of the total population). The bulk (79,6%) of all HIV testing is passive testing of the healthy population, with low detectability of new cases (only 0.05%). </w:t>
            </w:r>
            <w:r w:rsidRPr="00AF43A2">
              <w:rPr>
                <w:rFonts w:eastAsia="Calibri" w:cstheme="minorHAnsi"/>
                <w:b/>
                <w:i/>
                <w:color w:val="1E1E1E" w:themeColor="background2"/>
                <w:sz w:val="21"/>
                <w:szCs w:val="21"/>
                <w:lang w:val="en-GB"/>
              </w:rPr>
              <w:t>Active HIV testing represents only one-fifth (20,4%) of all testing,</w:t>
            </w:r>
            <w:r w:rsidRPr="00AF43A2">
              <w:rPr>
                <w:rFonts w:eastAsia="Calibri" w:cstheme="minorHAnsi"/>
                <w:color w:val="1E1E1E" w:themeColor="background2"/>
                <w:sz w:val="21"/>
                <w:szCs w:val="21"/>
                <w:lang w:val="en-GB"/>
              </w:rPr>
              <w:t xml:space="preserve"> with most HIV cases detected among KPs (18%); by clinical indications (26.4%); and by epidemiological indications (14.4%).</w:t>
            </w:r>
          </w:p>
          <w:p w14:paraId="1D47733B" w14:textId="0E034859" w:rsidR="00084391" w:rsidRPr="00AF43A2" w:rsidRDefault="003D046C"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In this context, and in accordance with the findings of the </w:t>
            </w:r>
            <w:r w:rsidRPr="00AF43A2">
              <w:rPr>
                <w:rFonts w:eastAsia="Calibri" w:cstheme="minorHAnsi"/>
                <w:b/>
                <w:i/>
                <w:color w:val="1E1E1E" w:themeColor="background2"/>
                <w:sz w:val="21"/>
                <w:szCs w:val="21"/>
                <w:lang w:val="en-GB"/>
              </w:rPr>
              <w:t>G</w:t>
            </w:r>
            <w:r w:rsidR="00CB3BBB">
              <w:rPr>
                <w:rFonts w:eastAsia="Calibri" w:cstheme="minorHAnsi"/>
                <w:b/>
                <w:i/>
                <w:color w:val="1E1E1E" w:themeColor="background2"/>
                <w:sz w:val="21"/>
                <w:szCs w:val="21"/>
                <w:lang w:val="en-GB"/>
              </w:rPr>
              <w:t xml:space="preserve">lobal </w:t>
            </w:r>
            <w:r w:rsidRPr="00AF43A2">
              <w:rPr>
                <w:rFonts w:eastAsia="Calibri" w:cstheme="minorHAnsi"/>
                <w:b/>
                <w:i/>
                <w:color w:val="1E1E1E" w:themeColor="background2"/>
                <w:sz w:val="21"/>
                <w:szCs w:val="21"/>
                <w:lang w:val="en-GB"/>
              </w:rPr>
              <w:t>F</w:t>
            </w:r>
            <w:r w:rsidR="00CB3BBB">
              <w:rPr>
                <w:rFonts w:eastAsia="Calibri" w:cstheme="minorHAnsi"/>
                <w:b/>
                <w:i/>
                <w:color w:val="1E1E1E" w:themeColor="background2"/>
                <w:sz w:val="21"/>
                <w:szCs w:val="21"/>
                <w:lang w:val="en-GB"/>
              </w:rPr>
              <w:t>und</w:t>
            </w:r>
            <w:r w:rsidRPr="00AF43A2">
              <w:rPr>
                <w:rFonts w:eastAsia="Calibri" w:cstheme="minorHAnsi"/>
                <w:b/>
                <w:i/>
                <w:color w:val="1E1E1E" w:themeColor="background2"/>
                <w:sz w:val="21"/>
                <w:szCs w:val="21"/>
                <w:lang w:val="en-GB"/>
              </w:rPr>
              <w:t xml:space="preserve"> Portfolio Analysis</w:t>
            </w:r>
            <w:r w:rsidRPr="00AF43A2">
              <w:rPr>
                <w:rFonts w:eastAsia="Calibri" w:cstheme="minorHAnsi"/>
                <w:color w:val="1E1E1E" w:themeColor="background2"/>
                <w:sz w:val="21"/>
                <w:szCs w:val="21"/>
                <w:lang w:val="en-GB"/>
              </w:rPr>
              <w:t xml:space="preserve">, it is important to </w:t>
            </w:r>
            <w:r w:rsidR="00CB3BBB">
              <w:rPr>
                <w:rFonts w:eastAsia="Calibri" w:cstheme="minorHAnsi"/>
                <w:color w:val="1E1E1E" w:themeColor="background2"/>
                <w:sz w:val="21"/>
                <w:szCs w:val="21"/>
                <w:lang w:val="en-GB"/>
              </w:rPr>
              <w:t>i</w:t>
            </w:r>
            <w:r w:rsidRPr="00AF43A2">
              <w:rPr>
                <w:rFonts w:eastAsia="Calibri" w:cstheme="minorHAnsi"/>
                <w:color w:val="1E1E1E" w:themeColor="background2"/>
                <w:sz w:val="21"/>
                <w:szCs w:val="21"/>
                <w:lang w:val="en-GB"/>
              </w:rPr>
              <w:t xml:space="preserve">ntroduce </w:t>
            </w:r>
            <w:r w:rsidR="00D07D68" w:rsidRPr="00AF43A2">
              <w:rPr>
                <w:rFonts w:eastAsia="Calibri" w:cstheme="minorHAnsi"/>
                <w:color w:val="1E1E1E" w:themeColor="background2"/>
                <w:sz w:val="21"/>
                <w:szCs w:val="21"/>
                <w:lang w:val="en-GB"/>
              </w:rPr>
              <w:t>and strengthen</w:t>
            </w:r>
            <w:r w:rsidRPr="00AF43A2">
              <w:rPr>
                <w:rFonts w:eastAsia="Calibri" w:cstheme="minorHAnsi"/>
                <w:color w:val="1E1E1E" w:themeColor="background2"/>
                <w:sz w:val="21"/>
                <w:szCs w:val="21"/>
                <w:lang w:val="en-GB"/>
              </w:rPr>
              <w:t xml:space="preserve"> testing modalities (e.g. community-based and self-testing)</w:t>
            </w:r>
            <w:r w:rsidR="00D07D68" w:rsidRPr="00AF43A2">
              <w:rPr>
                <w:rFonts w:eastAsia="Calibri" w:cstheme="minorHAnsi"/>
                <w:color w:val="1E1E1E" w:themeColor="background2"/>
                <w:sz w:val="21"/>
                <w:szCs w:val="21"/>
                <w:lang w:val="en-GB"/>
              </w:rPr>
              <w:t xml:space="preserve"> </w:t>
            </w:r>
            <w:r w:rsidRPr="00AF43A2">
              <w:rPr>
                <w:rFonts w:eastAsia="Calibri" w:cstheme="minorHAnsi"/>
                <w:color w:val="1E1E1E" w:themeColor="background2"/>
                <w:sz w:val="21"/>
                <w:szCs w:val="21"/>
                <w:lang w:val="en-GB"/>
              </w:rPr>
              <w:t>that address the needs of hard-to-reach members of KPs who face barriers in accessing facility-based testing services.</w:t>
            </w:r>
          </w:p>
          <w:p w14:paraId="591C5042" w14:textId="77777777"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For KPs, HIV testing coverage is highest among sex workers (69.8%) and considerably lower for PWID (39.5%); while it is very low for MSM (7.8%). Currently, HIV infection testing for PWID and MSM is provided using rapid blood tests by medical staff at Trust Points and Friendly Clinics. However, PWID and MSM do not always have access and/or wish to be tested at medical facilities. Therefore, </w:t>
            </w:r>
            <w:r w:rsidRPr="00AF43A2">
              <w:rPr>
                <w:rFonts w:eastAsia="Calibri" w:cstheme="minorHAnsi"/>
                <w:b/>
                <w:i/>
                <w:color w:val="1E1E1E" w:themeColor="background2"/>
                <w:sz w:val="21"/>
                <w:szCs w:val="21"/>
                <w:lang w:val="en-GB"/>
              </w:rPr>
              <w:t>community-based rapid oral testing</w:t>
            </w:r>
            <w:r w:rsidRPr="00AF43A2">
              <w:rPr>
                <w:rFonts w:eastAsia="Calibri" w:cstheme="minorHAnsi"/>
                <w:color w:val="1E1E1E" w:themeColor="background2"/>
                <w:sz w:val="21"/>
                <w:szCs w:val="21"/>
                <w:lang w:val="en-GB"/>
              </w:rPr>
              <w:t xml:space="preserve"> by NGOs and ORWs provides a better opportunity to scale up coverage of PWID and MSM with HIV testing, as it drastically shortens the time to get the test result, and is favoured because it is done through outreach in their own communities. However, since </w:t>
            </w:r>
            <w:r w:rsidRPr="00AF43A2">
              <w:rPr>
                <w:rFonts w:eastAsia="Calibri" w:cstheme="minorHAnsi"/>
                <w:b/>
                <w:i/>
                <w:color w:val="1E1E1E" w:themeColor="background2"/>
                <w:sz w:val="21"/>
                <w:szCs w:val="21"/>
                <w:lang w:val="en-GB"/>
              </w:rPr>
              <w:t>rapid oral testing is still in the process of being introduced in the country</w:t>
            </w:r>
            <w:r w:rsidRPr="00AF43A2">
              <w:rPr>
                <w:rFonts w:eastAsia="Calibri" w:cstheme="minorHAnsi"/>
                <w:color w:val="1E1E1E" w:themeColor="background2"/>
                <w:sz w:val="21"/>
                <w:szCs w:val="21"/>
                <w:lang w:val="en-GB"/>
              </w:rPr>
              <w:t>, Regional AIDS Centres cannot purchase these tests in full volume, because the State allocation for 180 million KZT is approved for rapid blood tests for 3 years. Therefore, advocacy is planned during 2020-2021 for reprofiling funds to allow the procurement of rapid oral tests.</w:t>
            </w:r>
          </w:p>
          <w:p w14:paraId="2E3FEC2A" w14:textId="595CC058"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Given these current limitations, G</w:t>
            </w:r>
            <w:r w:rsidR="00CB3BBB">
              <w:rPr>
                <w:rFonts w:eastAsia="Calibri" w:cstheme="minorHAnsi"/>
                <w:color w:val="1E1E1E" w:themeColor="background2"/>
                <w:sz w:val="21"/>
                <w:szCs w:val="21"/>
                <w:lang w:val="en-GB"/>
              </w:rPr>
              <w:t xml:space="preserve">lobal </w:t>
            </w:r>
            <w:r w:rsidRPr="00AF43A2">
              <w:rPr>
                <w:rFonts w:eastAsia="Calibri" w:cstheme="minorHAnsi"/>
                <w:color w:val="1E1E1E" w:themeColor="background2"/>
                <w:sz w:val="21"/>
                <w:szCs w:val="21"/>
                <w:lang w:val="en-GB"/>
              </w:rPr>
              <w:t>F</w:t>
            </w:r>
            <w:r w:rsidR="00CB3BBB">
              <w:rPr>
                <w:rFonts w:eastAsia="Calibri" w:cstheme="minorHAnsi"/>
                <w:color w:val="1E1E1E" w:themeColor="background2"/>
                <w:sz w:val="21"/>
                <w:szCs w:val="21"/>
                <w:lang w:val="en-GB"/>
              </w:rPr>
              <w:t>und</w:t>
            </w:r>
            <w:r w:rsidRPr="00AF43A2">
              <w:rPr>
                <w:rFonts w:eastAsia="Calibri" w:cstheme="minorHAnsi"/>
                <w:color w:val="1E1E1E" w:themeColor="background2"/>
                <w:sz w:val="21"/>
                <w:szCs w:val="21"/>
                <w:lang w:val="en-GB"/>
              </w:rPr>
              <w:t xml:space="preserve"> support is needed to </w:t>
            </w:r>
            <w:r w:rsidRPr="00AF43A2">
              <w:rPr>
                <w:rFonts w:eastAsia="Calibri" w:cstheme="minorHAnsi"/>
                <w:b/>
                <w:i/>
                <w:color w:val="1E1E1E" w:themeColor="background2"/>
                <w:sz w:val="21"/>
                <w:szCs w:val="21"/>
                <w:lang w:val="en-GB"/>
              </w:rPr>
              <w:t xml:space="preserve">1) support part of the total need for rapid oral tests. </w:t>
            </w:r>
            <w:r w:rsidRPr="00AF43A2">
              <w:rPr>
                <w:rFonts w:eastAsia="Calibri" w:cstheme="minorHAnsi"/>
                <w:color w:val="1E1E1E" w:themeColor="background2"/>
                <w:sz w:val="21"/>
                <w:szCs w:val="21"/>
                <w:lang w:val="en-GB"/>
              </w:rPr>
              <w:t xml:space="preserve">In this regard, the grant will cover: i) a decreasing proportion of the total need of </w:t>
            </w:r>
            <w:r w:rsidRPr="00AF43A2">
              <w:rPr>
                <w:rFonts w:eastAsia="Calibri" w:cstheme="minorHAnsi"/>
                <w:b/>
                <w:i/>
                <w:color w:val="1E1E1E" w:themeColor="background2"/>
                <w:sz w:val="21"/>
                <w:szCs w:val="21"/>
                <w:lang w:val="en-GB"/>
              </w:rPr>
              <w:t>OraQuick tests for ORWs from AIDS Centres</w:t>
            </w:r>
            <w:r w:rsidRPr="00AF43A2">
              <w:rPr>
                <w:rFonts w:eastAsia="Calibri" w:cstheme="minorHAnsi"/>
                <w:color w:val="1E1E1E" w:themeColor="background2"/>
                <w:sz w:val="21"/>
                <w:szCs w:val="21"/>
                <w:lang w:val="en-GB"/>
              </w:rPr>
              <w:t xml:space="preserve"> in all 17 Regions of Kazakhstan:</w:t>
            </w:r>
            <w:r w:rsidRPr="00AF43A2">
              <w:rPr>
                <w:rFonts w:eastAsia="Calibri" w:cstheme="minorHAnsi"/>
                <w:b/>
                <w:i/>
                <w:color w:val="1E1E1E" w:themeColor="background2"/>
                <w:sz w:val="21"/>
                <w:szCs w:val="21"/>
                <w:lang w:val="en-GB"/>
              </w:rPr>
              <w:t xml:space="preserve"> 80% in 2021, 60% in 2022, and 40% 2023.</w:t>
            </w:r>
            <w:r w:rsidRPr="00AF43A2">
              <w:rPr>
                <w:rFonts w:eastAsia="Calibri" w:cstheme="minorHAnsi"/>
                <w:color w:val="1E1E1E" w:themeColor="background2"/>
                <w:sz w:val="21"/>
                <w:szCs w:val="21"/>
                <w:lang w:val="en-GB"/>
              </w:rPr>
              <w:t xml:space="preserve"> The State will cover the remaining part, and will cover 100% of the OraQuick test needs of AIDS Centres as of 2024. ii) In addition, the grant will cover </w:t>
            </w:r>
            <w:r w:rsidRPr="00AF43A2">
              <w:rPr>
                <w:rFonts w:eastAsia="Calibri" w:cstheme="minorHAnsi"/>
                <w:b/>
                <w:i/>
                <w:color w:val="1E1E1E" w:themeColor="background2"/>
                <w:sz w:val="21"/>
                <w:szCs w:val="21"/>
                <w:lang w:val="en-GB"/>
              </w:rPr>
              <w:t>100% of OraQuick needs of Outreach workers at NGOs</w:t>
            </w:r>
            <w:r w:rsidRPr="00AF43A2">
              <w:rPr>
                <w:rFonts w:eastAsia="Calibri" w:cstheme="minorHAnsi"/>
                <w:color w:val="1E1E1E" w:themeColor="background2"/>
                <w:sz w:val="21"/>
                <w:szCs w:val="21"/>
                <w:lang w:val="en-GB"/>
              </w:rPr>
              <w:t xml:space="preserve"> in selected regions, where NGOs work with KPs and PLHIV: for MSM and TG these include Aktobe, East-Kazakhstan, Karaganda, Pavlodar, Nur-Sultan city &amp; Shymkent city; for PWID: Karaganda, Kostanay &amp; Nur-Sultan city; and for PLHIV: Karaganda, Almaty Region &amp; Nur-Sultan city </w:t>
            </w:r>
            <w:r w:rsidRPr="00CB3BBB">
              <w:rPr>
                <w:rFonts w:eastAsia="Calibri" w:cstheme="minorHAnsi"/>
                <w:i/>
                <w:color w:val="1E1E1E" w:themeColor="background2"/>
                <w:sz w:val="21"/>
                <w:szCs w:val="21"/>
                <w:lang w:val="en-GB"/>
              </w:rPr>
              <w:t xml:space="preserve">(for </w:t>
            </w:r>
            <w:r w:rsidR="00CB3BBB">
              <w:rPr>
                <w:rFonts w:eastAsia="Calibri" w:cstheme="minorHAnsi"/>
                <w:i/>
                <w:color w:val="1E1E1E" w:themeColor="background2"/>
                <w:sz w:val="21"/>
                <w:szCs w:val="21"/>
                <w:lang w:val="en-GB"/>
              </w:rPr>
              <w:t xml:space="preserve">more </w:t>
            </w:r>
            <w:r w:rsidRPr="00CB3BBB">
              <w:rPr>
                <w:rFonts w:eastAsia="Calibri" w:cstheme="minorHAnsi"/>
                <w:i/>
                <w:color w:val="1E1E1E" w:themeColor="background2"/>
                <w:sz w:val="21"/>
                <w:szCs w:val="21"/>
                <w:lang w:val="en-GB"/>
              </w:rPr>
              <w:t xml:space="preserve">details see Attachment 5А "Oral Quick Test Calculation"). </w:t>
            </w:r>
            <w:r w:rsidRPr="00AF43A2">
              <w:rPr>
                <w:rFonts w:eastAsia="Calibri" w:cstheme="minorHAnsi"/>
                <w:color w:val="1E1E1E" w:themeColor="background2"/>
                <w:sz w:val="21"/>
                <w:szCs w:val="21"/>
                <w:lang w:val="en-GB"/>
              </w:rPr>
              <w:t>The State will increasingly procure OraQuick testing in all regions, including for local NGOs.</w:t>
            </w:r>
            <w:r w:rsidR="00512463">
              <w:rPr>
                <w:rFonts w:eastAsia="Calibri" w:cstheme="minorHAnsi"/>
                <w:color w:val="1E1E1E" w:themeColor="background2"/>
                <w:sz w:val="21"/>
                <w:szCs w:val="21"/>
                <w:lang w:val="en-GB"/>
              </w:rPr>
              <w:t xml:space="preserve"> Special attention will be given to reaching female PWID, who are typically harder to reach than male PWID.</w:t>
            </w:r>
          </w:p>
          <w:p w14:paraId="6553C838" w14:textId="1C4CA659" w:rsidR="00084391" w:rsidRPr="00AF43A2" w:rsidRDefault="00FC2250" w:rsidP="000A0528">
            <w:pPr>
              <w:spacing w:after="0" w:line="240" w:lineRule="auto"/>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lastRenderedPageBreak/>
              <w:t xml:space="preserve">   </w:t>
            </w:r>
            <w:r w:rsidR="00084391" w:rsidRPr="00AF43A2">
              <w:rPr>
                <w:rFonts w:eastAsia="Calibri" w:cstheme="minorHAnsi"/>
                <w:color w:val="1E1E1E" w:themeColor="background2"/>
                <w:sz w:val="21"/>
                <w:szCs w:val="21"/>
                <w:lang w:val="en-GB"/>
              </w:rPr>
              <w:t xml:space="preserve"> In addition to </w:t>
            </w:r>
            <w:r w:rsidR="00781E75" w:rsidRPr="00AF43A2">
              <w:rPr>
                <w:rFonts w:eastAsia="Calibri" w:cstheme="minorHAnsi"/>
                <w:color w:val="1E1E1E" w:themeColor="background2"/>
                <w:sz w:val="21"/>
                <w:szCs w:val="21"/>
                <w:lang w:val="en-GB"/>
              </w:rPr>
              <w:t xml:space="preserve">increasingly absorbing </w:t>
            </w:r>
            <w:r w:rsidR="00084391" w:rsidRPr="00AF43A2">
              <w:rPr>
                <w:rFonts w:eastAsia="Calibri" w:cstheme="minorHAnsi"/>
                <w:color w:val="1E1E1E" w:themeColor="background2"/>
                <w:sz w:val="21"/>
                <w:szCs w:val="21"/>
                <w:lang w:val="en-GB"/>
              </w:rPr>
              <w:t xml:space="preserve">the procurement of OraQuick tests, the </w:t>
            </w:r>
            <w:r w:rsidR="00781E75" w:rsidRPr="00AF43A2">
              <w:rPr>
                <w:rFonts w:eastAsia="Calibri" w:cstheme="minorHAnsi"/>
                <w:color w:val="1E1E1E" w:themeColor="background2"/>
                <w:sz w:val="21"/>
                <w:szCs w:val="21"/>
                <w:lang w:val="en-GB"/>
              </w:rPr>
              <w:t>State</w:t>
            </w:r>
            <w:r w:rsidR="00084391" w:rsidRPr="00AF43A2">
              <w:rPr>
                <w:rFonts w:eastAsia="Calibri" w:cstheme="minorHAnsi"/>
                <w:color w:val="1E1E1E" w:themeColor="background2"/>
                <w:sz w:val="21"/>
                <w:szCs w:val="21"/>
                <w:lang w:val="en-GB"/>
              </w:rPr>
              <w:t xml:space="preserve"> will support </w:t>
            </w:r>
            <w:r w:rsidR="00084391" w:rsidRPr="00AF43A2">
              <w:rPr>
                <w:rFonts w:eastAsia="Calibri" w:cstheme="minorHAnsi"/>
                <w:b/>
                <w:i/>
                <w:color w:val="1E1E1E" w:themeColor="background2"/>
                <w:sz w:val="21"/>
                <w:szCs w:val="21"/>
                <w:lang w:val="en-GB"/>
              </w:rPr>
              <w:t>capacity building of staff and outreach workers at NGOs and AIDS Centres in community-based HIV</w:t>
            </w:r>
            <w:r w:rsidR="00084391" w:rsidRPr="00AF43A2">
              <w:rPr>
                <w:rFonts w:eastAsia="Calibri" w:cstheme="minorHAnsi"/>
                <w:color w:val="1E1E1E" w:themeColor="background2"/>
                <w:sz w:val="21"/>
                <w:szCs w:val="21"/>
                <w:lang w:val="en-GB"/>
              </w:rPr>
              <w:t xml:space="preserve"> testing and counselling in </w:t>
            </w:r>
            <w:r w:rsidR="0043694A" w:rsidRPr="00AF43A2">
              <w:rPr>
                <w:rFonts w:eastAsia="Calibri" w:cstheme="minorHAnsi"/>
                <w:color w:val="1E1E1E" w:themeColor="background2"/>
                <w:sz w:val="21"/>
                <w:szCs w:val="21"/>
                <w:lang w:val="en-GB"/>
              </w:rPr>
              <w:t>all</w:t>
            </w:r>
            <w:r w:rsidR="00084391" w:rsidRPr="00AF43A2">
              <w:rPr>
                <w:rFonts w:eastAsia="Calibri" w:cstheme="minorHAnsi"/>
                <w:color w:val="1E1E1E" w:themeColor="background2"/>
                <w:sz w:val="21"/>
                <w:szCs w:val="21"/>
                <w:lang w:val="en-GB"/>
              </w:rPr>
              <w:t xml:space="preserve"> Regions</w:t>
            </w:r>
            <w:r w:rsidR="0043694A" w:rsidRPr="00AF43A2">
              <w:rPr>
                <w:rFonts w:eastAsia="Calibri" w:cstheme="minorHAnsi"/>
                <w:color w:val="1E1E1E" w:themeColor="background2"/>
                <w:sz w:val="21"/>
                <w:szCs w:val="21"/>
                <w:lang w:val="en-GB"/>
              </w:rPr>
              <w:t>.</w:t>
            </w:r>
          </w:p>
          <w:p w14:paraId="5A34F8B0" w14:textId="77777777"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p>
          <w:p w14:paraId="3D356ACE" w14:textId="483F014C"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r w:rsidRPr="00AF43A2">
              <w:rPr>
                <w:rFonts w:eastAsia="Calibri" w:cstheme="minorHAnsi"/>
                <w:b/>
                <w:i/>
                <w:color w:val="1E1E1E" w:themeColor="background2"/>
                <w:sz w:val="21"/>
                <w:szCs w:val="21"/>
                <w:lang w:val="en-GB"/>
              </w:rPr>
              <w:t>Intervention 2.2 Introduce and scale up HIV self-testing (HIVST) among discordant couples</w:t>
            </w:r>
            <w:r w:rsidRPr="00AF43A2">
              <w:rPr>
                <w:rFonts w:eastAsia="Calibri" w:cstheme="minorHAnsi"/>
                <w:color w:val="1E1E1E" w:themeColor="background2"/>
                <w:sz w:val="21"/>
                <w:szCs w:val="21"/>
                <w:lang w:val="en-GB"/>
              </w:rPr>
              <w:t xml:space="preserve"> – In addition to community-based rapid oral testing, </w:t>
            </w:r>
            <w:r w:rsidRPr="00AF43A2">
              <w:rPr>
                <w:rFonts w:eastAsia="Calibri" w:cstheme="minorHAnsi"/>
                <w:i/>
                <w:color w:val="1E1E1E" w:themeColor="background2"/>
                <w:sz w:val="21"/>
                <w:szCs w:val="21"/>
                <w:lang w:val="en-GB"/>
              </w:rPr>
              <w:t>HIV self-testing (HIVST)</w:t>
            </w:r>
            <w:r w:rsidRPr="00AF43A2">
              <w:rPr>
                <w:rFonts w:eastAsia="Calibri" w:cstheme="minorHAnsi"/>
                <w:color w:val="1E1E1E" w:themeColor="background2"/>
                <w:sz w:val="21"/>
                <w:szCs w:val="21"/>
                <w:lang w:val="en-GB"/>
              </w:rPr>
              <w:t xml:space="preserve"> can add value to the existing testing approaches, especially for KPs who fear a lack of confidentiality of test results, particularly in public facilities. There is limited experience with HIVST in Kazakhstan, which was introduced with PEPFAR support in Q1 of 2020:  of the 85 tests distributed, 55 results were reported, with 18 HIV-positive cases. Thus, HIVST may have potential to find new HIV cases that could so far not be detected through the regular testing channels. HIVST will be introduced among sexual and parenteral (drug-use) partners of PLHIV, as well as among discordant couples in 3 regions: Karaganda and Almaty regions and Nur-Sultan city. HIVST test kits will be distributed through NGOs. State funding will gradually absorb the cost of the test kits, with </w:t>
            </w:r>
            <w:r w:rsidR="0043694A" w:rsidRPr="00AF43A2">
              <w:rPr>
                <w:rFonts w:eastAsia="Calibri" w:cstheme="minorHAnsi"/>
                <w:color w:val="1E1E1E" w:themeColor="background2"/>
                <w:sz w:val="21"/>
                <w:szCs w:val="21"/>
                <w:lang w:val="en-GB"/>
              </w:rPr>
              <w:t>40</w:t>
            </w:r>
            <w:r w:rsidRPr="00AF43A2">
              <w:rPr>
                <w:rFonts w:eastAsia="Calibri" w:cstheme="minorHAnsi"/>
                <w:color w:val="1E1E1E" w:themeColor="background2"/>
                <w:sz w:val="21"/>
                <w:szCs w:val="21"/>
                <w:lang w:val="en-GB"/>
              </w:rPr>
              <w:t xml:space="preserve">% in 2022 and </w:t>
            </w:r>
            <w:r w:rsidR="0043694A" w:rsidRPr="00AF43A2">
              <w:rPr>
                <w:rFonts w:eastAsia="Calibri" w:cstheme="minorHAnsi"/>
                <w:color w:val="1E1E1E" w:themeColor="background2"/>
                <w:sz w:val="21"/>
                <w:szCs w:val="21"/>
                <w:lang w:val="en-GB"/>
              </w:rPr>
              <w:t>6</w:t>
            </w:r>
            <w:r w:rsidRPr="00AF43A2">
              <w:rPr>
                <w:rFonts w:eastAsia="Calibri" w:cstheme="minorHAnsi"/>
                <w:color w:val="1E1E1E" w:themeColor="background2"/>
                <w:sz w:val="21"/>
                <w:szCs w:val="21"/>
                <w:lang w:val="en-GB"/>
              </w:rPr>
              <w:t xml:space="preserve">0% in 2023. If the results are promising, HIV self-testing will be expanded to other Regions as well. The </w:t>
            </w:r>
            <w:r w:rsidR="0043694A" w:rsidRPr="00AF43A2">
              <w:rPr>
                <w:rFonts w:eastAsia="Calibri" w:cstheme="minorHAnsi"/>
                <w:color w:val="1E1E1E" w:themeColor="background2"/>
                <w:sz w:val="21"/>
                <w:szCs w:val="21"/>
                <w:lang w:val="en-GB"/>
              </w:rPr>
              <w:t>State</w:t>
            </w:r>
            <w:r w:rsidRPr="00AF43A2">
              <w:rPr>
                <w:rFonts w:eastAsia="Calibri" w:cstheme="minorHAnsi"/>
                <w:color w:val="1E1E1E" w:themeColor="background2"/>
                <w:sz w:val="21"/>
                <w:szCs w:val="21"/>
                <w:lang w:val="en-GB"/>
              </w:rPr>
              <w:t xml:space="preserve"> will finance capacity building</w:t>
            </w:r>
            <w:r w:rsidR="0043694A" w:rsidRPr="00AF43A2">
              <w:rPr>
                <w:rFonts w:eastAsia="Calibri" w:cstheme="minorHAnsi"/>
                <w:color w:val="1E1E1E" w:themeColor="background2"/>
                <w:sz w:val="21"/>
                <w:szCs w:val="21"/>
                <w:lang w:val="en-GB"/>
              </w:rPr>
              <w:t xml:space="preserve"> in HIVST</w:t>
            </w:r>
            <w:r w:rsidRPr="00AF43A2">
              <w:rPr>
                <w:rFonts w:eastAsia="Calibri" w:cstheme="minorHAnsi"/>
                <w:color w:val="1E1E1E" w:themeColor="background2"/>
                <w:sz w:val="21"/>
                <w:szCs w:val="21"/>
                <w:lang w:val="en-GB"/>
              </w:rPr>
              <w:t xml:space="preserve"> of 30 staff and outreach workers of NGOs and AIDS Centres in 2021, with refresher training in 2022 and 2023.</w:t>
            </w:r>
          </w:p>
          <w:p w14:paraId="454F25C5" w14:textId="77777777"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p>
          <w:p w14:paraId="38B0F036" w14:textId="3319111B"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Intervention 3.1 Community-based support to strengthen ART adherence</w:t>
            </w:r>
            <w:r w:rsidRPr="00AF43A2">
              <w:rPr>
                <w:rFonts w:eastAsia="Calibri" w:cstheme="minorHAnsi"/>
                <w:color w:val="1E1E1E" w:themeColor="background2"/>
                <w:sz w:val="21"/>
                <w:szCs w:val="21"/>
                <w:lang w:val="en-GB"/>
              </w:rPr>
              <w:t xml:space="preserve"> –</w:t>
            </w:r>
            <w:r w:rsidR="00E773FA" w:rsidRPr="00AF43A2">
              <w:rPr>
                <w:rFonts w:eastAsia="Calibri" w:cstheme="minorHAnsi"/>
                <w:color w:val="1E1E1E" w:themeColor="background2"/>
                <w:sz w:val="21"/>
                <w:szCs w:val="21"/>
                <w:lang w:val="en-GB"/>
              </w:rPr>
              <w:t xml:space="preserve"> </w:t>
            </w:r>
            <w:r w:rsidRPr="00AF43A2">
              <w:rPr>
                <w:rFonts w:eastAsia="Calibri" w:cstheme="minorHAnsi"/>
                <w:color w:val="1E1E1E" w:themeColor="background2"/>
                <w:sz w:val="21"/>
                <w:szCs w:val="21"/>
                <w:lang w:val="en-GB"/>
              </w:rPr>
              <w:t xml:space="preserve">The </w:t>
            </w:r>
            <w:r w:rsidRPr="00AF43A2">
              <w:rPr>
                <w:rFonts w:eastAsia="Calibri" w:cstheme="minorHAnsi"/>
                <w:b/>
                <w:i/>
                <w:color w:val="1E1E1E" w:themeColor="background2"/>
                <w:sz w:val="21"/>
                <w:szCs w:val="21"/>
                <w:lang w:val="en-GB"/>
              </w:rPr>
              <w:t>current status of 90-90-90 test-treatment cascade targets is 82-68-78.</w:t>
            </w:r>
            <w:r w:rsidRPr="00AF43A2">
              <w:rPr>
                <w:rFonts w:eastAsia="Calibri" w:cstheme="minorHAnsi"/>
                <w:color w:val="1E1E1E" w:themeColor="background2"/>
                <w:sz w:val="21"/>
                <w:szCs w:val="21"/>
                <w:lang w:val="en-GB"/>
              </w:rPr>
              <w:t xml:space="preserve"> </w:t>
            </w:r>
            <w:r w:rsidR="0043694A" w:rsidRPr="00AF43A2">
              <w:rPr>
                <w:rFonts w:eastAsia="Calibri" w:cstheme="minorHAnsi"/>
                <w:color w:val="1E1E1E" w:themeColor="background2"/>
                <w:sz w:val="21"/>
                <w:szCs w:val="21"/>
                <w:lang w:val="en-GB"/>
              </w:rPr>
              <w:t xml:space="preserve">Since 2009, ART has been fully covered by the State. </w:t>
            </w:r>
            <w:r w:rsidR="005D0D27">
              <w:rPr>
                <w:rFonts w:eastAsia="Calibri" w:cstheme="minorHAnsi"/>
                <w:color w:val="1E1E1E" w:themeColor="background2"/>
                <w:sz w:val="21"/>
                <w:szCs w:val="21"/>
                <w:lang w:val="en-GB"/>
              </w:rPr>
              <w:t>As evidenced by the cascade data,</w:t>
            </w:r>
            <w:r w:rsidRPr="00AF43A2">
              <w:rPr>
                <w:rFonts w:eastAsia="Calibri" w:cstheme="minorHAnsi"/>
                <w:color w:val="1E1E1E" w:themeColor="background2"/>
                <w:sz w:val="21"/>
                <w:szCs w:val="21"/>
                <w:lang w:val="en-GB"/>
              </w:rPr>
              <w:t xml:space="preserve"> ART enrolment in Kazakhstan is relatively low: at the end of 2019, 17,535 PLHIV were on ART (68.1% of PLHIV who know their HIV status). And of these PLHIV on ART, 13,605 patients (78%) had viral suppression.</w:t>
            </w:r>
            <w:r w:rsidRPr="00AF43A2">
              <w:rPr>
                <w:rFonts w:eastAsia="Calibri" w:cstheme="minorHAnsi"/>
                <w:color w:val="1E1E1E" w:themeColor="background2"/>
                <w:sz w:val="24"/>
                <w:szCs w:val="24"/>
                <w:lang w:val="en-GB"/>
              </w:rPr>
              <w:t xml:space="preserve"> </w:t>
            </w:r>
            <w:r w:rsidRPr="00AF43A2">
              <w:rPr>
                <w:rFonts w:eastAsia="Calibri" w:cstheme="minorHAnsi"/>
                <w:color w:val="1E1E1E" w:themeColor="background2"/>
                <w:sz w:val="21"/>
                <w:szCs w:val="21"/>
                <w:lang w:val="en-GB"/>
              </w:rPr>
              <w:t>Over the past 3 years, there have been problems with the timely delivery of ARV drugs to the Regional and City AIDS Centres, which led to the replacement of treatment regimens in patients, abandonment of ART and untimely initiation of therapy. Thus, in 2019, 543 ART patients were lost to follow up.</w:t>
            </w:r>
          </w:p>
          <w:p w14:paraId="3FC65757" w14:textId="62F4D930" w:rsidR="005F59C4" w:rsidRPr="00AF43A2" w:rsidRDefault="005F59C4" w:rsidP="000A0528">
            <w:pPr>
              <w:spacing w:after="0" w:line="240" w:lineRule="auto"/>
              <w:ind w:firstLine="284"/>
              <w:jc w:val="both"/>
              <w:rPr>
                <w:rFonts w:eastAsia="Calibri" w:cs="Arial"/>
                <w:color w:val="1E1E1E" w:themeColor="background2"/>
                <w:sz w:val="21"/>
                <w:szCs w:val="21"/>
                <w:lang w:val="en-GB"/>
              </w:rPr>
            </w:pPr>
            <w:r w:rsidRPr="00AF43A2">
              <w:rPr>
                <w:rFonts w:eastAsia="Calibri" w:cs="Arial"/>
                <w:color w:val="1E1E1E" w:themeColor="background2"/>
                <w:sz w:val="21"/>
                <w:szCs w:val="21"/>
                <w:lang w:val="en-GB"/>
              </w:rPr>
              <w:t xml:space="preserve">In this regard, it is important to note that the existing </w:t>
            </w:r>
            <w:r w:rsidR="005C6854" w:rsidRPr="00AF43A2">
              <w:rPr>
                <w:rFonts w:eastAsia="Calibri" w:cs="Arial"/>
                <w:color w:val="1E1E1E" w:themeColor="background2"/>
                <w:sz w:val="21"/>
                <w:szCs w:val="21"/>
                <w:lang w:val="en-GB"/>
              </w:rPr>
              <w:t xml:space="preserve">procurement </w:t>
            </w:r>
            <w:r w:rsidRPr="00AF43A2">
              <w:rPr>
                <w:rFonts w:eastAsia="Calibri" w:cs="Arial"/>
                <w:color w:val="1E1E1E" w:themeColor="background2"/>
                <w:sz w:val="21"/>
                <w:szCs w:val="21"/>
                <w:lang w:val="en-GB"/>
              </w:rPr>
              <w:t xml:space="preserve">challenges are already being addressed. Since 2013, the MOH has been developing an e-government policy. In 2020, it introduced the concept of </w:t>
            </w:r>
            <w:r w:rsidRPr="00AF43A2">
              <w:rPr>
                <w:rFonts w:eastAsia="Calibri" w:cs="Arial"/>
                <w:b/>
                <w:i/>
                <w:color w:val="1E1E1E" w:themeColor="background2"/>
                <w:sz w:val="21"/>
                <w:szCs w:val="21"/>
                <w:lang w:val="en-GB"/>
              </w:rPr>
              <w:t>digitisation of procurement as part of this e-government policy</w:t>
            </w:r>
            <w:r w:rsidRPr="00AF43A2">
              <w:rPr>
                <w:rFonts w:eastAsia="Calibri" w:cs="Arial"/>
                <w:color w:val="1E1E1E" w:themeColor="background2"/>
                <w:sz w:val="21"/>
                <w:szCs w:val="21"/>
                <w:lang w:val="en-GB"/>
              </w:rPr>
              <w:t xml:space="preserve">, which will allow online monitoring of stocks of drugs in real time. In this context, procurement will become </w:t>
            </w:r>
            <w:r w:rsidRPr="00AF43A2">
              <w:rPr>
                <w:rFonts w:eastAsia="Calibri" w:cs="Arial"/>
                <w:b/>
                <w:i/>
                <w:color w:val="1E1E1E" w:themeColor="background2"/>
                <w:sz w:val="21"/>
                <w:szCs w:val="21"/>
                <w:lang w:val="en-GB"/>
              </w:rPr>
              <w:t>e-procurement</w:t>
            </w:r>
            <w:r w:rsidRPr="00AF43A2">
              <w:rPr>
                <w:rStyle w:val="af"/>
                <w:rFonts w:eastAsia="Calibri" w:cs="Arial"/>
                <w:b/>
                <w:i/>
                <w:color w:val="1E1E1E" w:themeColor="background2"/>
                <w:sz w:val="21"/>
                <w:szCs w:val="21"/>
              </w:rPr>
              <w:footnoteReference w:id="8"/>
            </w:r>
            <w:r w:rsidRPr="00AF43A2">
              <w:rPr>
                <w:rFonts w:eastAsia="Calibri" w:cs="Arial"/>
                <w:color w:val="1E1E1E" w:themeColor="background2"/>
                <w:sz w:val="21"/>
                <w:szCs w:val="21"/>
                <w:lang w:val="en-GB"/>
              </w:rPr>
              <w:t xml:space="preserve"> and forecasting will be strengthened through the introduction of electronic tools. An electronic tool for forecasting of ARVs has already been introduced for the AIDS service and was applied in 2019 to forecast ARVs for 2020. Other modules for HIV-related procurement will follow in 2021 and are expected to strengthen the procurement system. In addition, a </w:t>
            </w:r>
            <w:r w:rsidRPr="00AF43A2">
              <w:rPr>
                <w:rFonts w:eastAsia="Calibri" w:cs="Arial"/>
                <w:b/>
                <w:i/>
                <w:color w:val="1E1E1E" w:themeColor="background2"/>
                <w:sz w:val="21"/>
                <w:szCs w:val="21"/>
                <w:lang w:val="en-GB"/>
              </w:rPr>
              <w:t xml:space="preserve">CDC project will support PSM systems strengthening </w:t>
            </w:r>
            <w:r w:rsidRPr="00AF43A2">
              <w:rPr>
                <w:rFonts w:eastAsia="Calibri" w:cs="Arial"/>
                <w:color w:val="1E1E1E" w:themeColor="background2"/>
                <w:sz w:val="21"/>
                <w:szCs w:val="21"/>
                <w:lang w:val="en-GB"/>
              </w:rPr>
              <w:t>in the next three years. However, the Funding Request seeks support for the procurement of key health products to ensure continuity of care and prevention services in the short term.</w:t>
            </w:r>
          </w:p>
          <w:p w14:paraId="76FC2067" w14:textId="24D95083" w:rsidR="00084391" w:rsidRPr="0004771A" w:rsidRDefault="00084391" w:rsidP="0004771A">
            <w:pPr>
              <w:spacing w:after="0" w:line="240" w:lineRule="auto"/>
              <w:ind w:firstLine="284"/>
              <w:jc w:val="both"/>
            </w:pPr>
            <w:r w:rsidRPr="00AF43A2">
              <w:rPr>
                <w:rFonts w:eastAsia="Calibri" w:cstheme="minorHAnsi"/>
                <w:color w:val="1E1E1E" w:themeColor="background2"/>
                <w:sz w:val="21"/>
                <w:szCs w:val="21"/>
                <w:lang w:val="en-GB"/>
              </w:rPr>
              <w:t xml:space="preserve">In this context, special attention is needed to </w:t>
            </w:r>
            <w:r w:rsidRPr="00AF43A2">
              <w:rPr>
                <w:rFonts w:eastAsia="Calibri" w:cstheme="minorHAnsi"/>
                <w:b/>
                <w:i/>
                <w:color w:val="1E1E1E" w:themeColor="background2"/>
                <w:sz w:val="21"/>
                <w:szCs w:val="21"/>
                <w:lang w:val="en-GB"/>
              </w:rPr>
              <w:t>strengthen ART adherence</w:t>
            </w:r>
            <w:r w:rsidR="00C20370" w:rsidRPr="00AF43A2">
              <w:rPr>
                <w:rFonts w:eastAsia="Calibri" w:cstheme="minorHAnsi"/>
                <w:b/>
                <w:i/>
                <w:color w:val="1E1E1E" w:themeColor="background2"/>
                <w:sz w:val="21"/>
                <w:szCs w:val="21"/>
                <w:lang w:val="en-GB"/>
              </w:rPr>
              <w:t xml:space="preserve"> </w:t>
            </w:r>
            <w:r w:rsidR="00C20370" w:rsidRPr="00AF43A2">
              <w:rPr>
                <w:rFonts w:eastAsia="Calibri" w:cstheme="minorHAnsi"/>
                <w:color w:val="1E1E1E" w:themeColor="background2"/>
                <w:sz w:val="21"/>
                <w:szCs w:val="21"/>
                <w:lang w:val="en-GB"/>
              </w:rPr>
              <w:t>with a view to achieving the 9</w:t>
            </w:r>
            <w:r w:rsidR="00C20860" w:rsidRPr="00AF43A2">
              <w:rPr>
                <w:rFonts w:eastAsia="Calibri" w:cstheme="minorHAnsi"/>
                <w:color w:val="1E1E1E" w:themeColor="background2"/>
                <w:sz w:val="21"/>
                <w:szCs w:val="21"/>
                <w:lang w:val="en-GB"/>
              </w:rPr>
              <w:t>5</w:t>
            </w:r>
            <w:r w:rsidR="00C20370" w:rsidRPr="00AF43A2">
              <w:rPr>
                <w:rFonts w:eastAsia="Calibri" w:cstheme="minorHAnsi"/>
                <w:color w:val="1E1E1E" w:themeColor="background2"/>
                <w:sz w:val="21"/>
                <w:szCs w:val="21"/>
                <w:lang w:val="en-GB"/>
              </w:rPr>
              <w:t>-9</w:t>
            </w:r>
            <w:r w:rsidR="00C20860" w:rsidRPr="00AF43A2">
              <w:rPr>
                <w:rFonts w:eastAsia="Calibri" w:cstheme="minorHAnsi"/>
                <w:color w:val="1E1E1E" w:themeColor="background2"/>
                <w:sz w:val="21"/>
                <w:szCs w:val="21"/>
                <w:lang w:val="en-GB"/>
              </w:rPr>
              <w:t>5</w:t>
            </w:r>
            <w:r w:rsidR="00C20370" w:rsidRPr="00AF43A2">
              <w:rPr>
                <w:rFonts w:eastAsia="Calibri" w:cstheme="minorHAnsi"/>
                <w:color w:val="1E1E1E" w:themeColor="background2"/>
                <w:sz w:val="21"/>
                <w:szCs w:val="21"/>
                <w:lang w:val="en-GB"/>
              </w:rPr>
              <w:t>-9</w:t>
            </w:r>
            <w:r w:rsidR="00C20860" w:rsidRPr="00AF43A2">
              <w:rPr>
                <w:rFonts w:eastAsia="Calibri" w:cstheme="minorHAnsi"/>
                <w:color w:val="1E1E1E" w:themeColor="background2"/>
                <w:sz w:val="21"/>
                <w:szCs w:val="21"/>
                <w:lang w:val="en-GB"/>
              </w:rPr>
              <w:t>5</w:t>
            </w:r>
            <w:r w:rsidR="00C20370" w:rsidRPr="00AF43A2">
              <w:rPr>
                <w:rFonts w:eastAsia="Calibri" w:cstheme="minorHAnsi"/>
                <w:color w:val="1E1E1E" w:themeColor="background2"/>
                <w:sz w:val="21"/>
                <w:szCs w:val="21"/>
                <w:lang w:val="en-GB"/>
              </w:rPr>
              <w:t xml:space="preserve"> goals</w:t>
            </w:r>
            <w:r w:rsidRPr="00AF43A2">
              <w:rPr>
                <w:rFonts w:eastAsia="Calibri" w:cstheme="minorHAnsi"/>
                <w:color w:val="1E1E1E" w:themeColor="background2"/>
                <w:sz w:val="21"/>
                <w:szCs w:val="21"/>
                <w:lang w:val="en-GB"/>
              </w:rPr>
              <w:t>, especially in Regions with large numbers of PLHIV and relatively high numbers of lost to follow-up.</w:t>
            </w:r>
            <w:r w:rsidR="00F145ED" w:rsidRPr="00AF43A2">
              <w:rPr>
                <w:rFonts w:eastAsia="Calibri" w:cstheme="minorHAnsi"/>
                <w:color w:val="1E1E1E" w:themeColor="background2"/>
                <w:sz w:val="21"/>
                <w:szCs w:val="21"/>
                <w:lang w:val="en-GB"/>
              </w:rPr>
              <w:t xml:space="preserve"> A recent evaluation found that peer </w:t>
            </w:r>
            <w:r w:rsidR="00C20370" w:rsidRPr="00AF43A2">
              <w:rPr>
                <w:rFonts w:eastAsia="Calibri" w:cstheme="minorHAnsi"/>
                <w:color w:val="1E1E1E" w:themeColor="background2"/>
                <w:sz w:val="21"/>
                <w:szCs w:val="21"/>
                <w:lang w:val="en-GB"/>
              </w:rPr>
              <w:t>counsellors</w:t>
            </w:r>
            <w:r w:rsidR="00F145ED" w:rsidRPr="00AF43A2">
              <w:rPr>
                <w:rFonts w:eastAsia="Calibri" w:cstheme="minorHAnsi"/>
                <w:color w:val="1E1E1E" w:themeColor="background2"/>
                <w:sz w:val="21"/>
                <w:szCs w:val="21"/>
                <w:lang w:val="en-GB"/>
              </w:rPr>
              <w:t xml:space="preserve"> and NGO-based social </w:t>
            </w:r>
            <w:r w:rsidR="00F145ED" w:rsidRPr="004557FC">
              <w:rPr>
                <w:rFonts w:eastAsia="Calibri" w:cstheme="minorHAnsi"/>
                <w:color w:val="1E1E1E" w:themeColor="background2"/>
                <w:sz w:val="21"/>
                <w:szCs w:val="21"/>
                <w:lang w:val="en-GB"/>
              </w:rPr>
              <w:t xml:space="preserve">support services for PLHIV </w:t>
            </w:r>
            <w:r w:rsidR="00CF07E1" w:rsidRPr="004557FC">
              <w:rPr>
                <w:rFonts w:eastAsia="Calibri" w:cstheme="minorHAnsi"/>
                <w:color w:val="1E1E1E" w:themeColor="background2"/>
                <w:sz w:val="21"/>
                <w:szCs w:val="21"/>
                <w:lang w:val="en-GB"/>
              </w:rPr>
              <w:t xml:space="preserve">are key to improving HIV linkage to care and adherence </w:t>
            </w:r>
            <w:r w:rsidR="00CF07E1" w:rsidRPr="004557FC">
              <w:rPr>
                <w:rFonts w:eastAsia="Calibri" w:cstheme="minorHAnsi"/>
                <w:i/>
                <w:color w:val="1E1E1E" w:themeColor="background2"/>
                <w:sz w:val="21"/>
                <w:szCs w:val="21"/>
                <w:lang w:val="en-GB"/>
              </w:rPr>
              <w:t>(</w:t>
            </w:r>
            <w:r w:rsidR="00F279ED" w:rsidRPr="004557FC">
              <w:rPr>
                <w:rFonts w:eastAsia="Calibri" w:cstheme="minorHAnsi"/>
                <w:i/>
                <w:color w:val="1E1E1E" w:themeColor="background2"/>
                <w:sz w:val="21"/>
                <w:szCs w:val="21"/>
                <w:lang w:val="en-GB"/>
              </w:rPr>
              <w:t>see Annex 10; p</w:t>
            </w:r>
            <w:r w:rsidR="004557FC" w:rsidRPr="004557FC">
              <w:rPr>
                <w:rFonts w:eastAsia="Calibri" w:cstheme="minorHAnsi"/>
                <w:i/>
                <w:color w:val="1E1E1E" w:themeColor="background2"/>
                <w:sz w:val="21"/>
                <w:szCs w:val="21"/>
                <w:lang w:val="en-GB"/>
              </w:rPr>
              <w:t>p</w:t>
            </w:r>
            <w:r w:rsidR="00F279ED" w:rsidRPr="004557FC">
              <w:rPr>
                <w:rFonts w:eastAsia="Calibri" w:cstheme="minorHAnsi"/>
                <w:i/>
                <w:color w:val="1E1E1E" w:themeColor="background2"/>
                <w:sz w:val="21"/>
                <w:szCs w:val="21"/>
                <w:lang w:val="en-GB"/>
              </w:rPr>
              <w:t xml:space="preserve">. </w:t>
            </w:r>
            <w:r w:rsidR="004557FC" w:rsidRPr="004557FC">
              <w:rPr>
                <w:rFonts w:eastAsia="Calibri" w:cstheme="minorHAnsi"/>
                <w:i/>
                <w:color w:val="1E1E1E" w:themeColor="background2"/>
                <w:sz w:val="21"/>
                <w:szCs w:val="21"/>
                <w:lang w:val="en-GB"/>
              </w:rPr>
              <w:t>18, 28, 31</w:t>
            </w:r>
            <w:r w:rsidR="00CF07E1" w:rsidRPr="004557FC">
              <w:rPr>
                <w:rFonts w:eastAsia="Calibri" w:cstheme="minorHAnsi"/>
                <w:i/>
                <w:color w:val="1E1E1E" w:themeColor="background2"/>
                <w:sz w:val="21"/>
                <w:szCs w:val="21"/>
                <w:lang w:val="en-GB"/>
              </w:rPr>
              <w:t>).</w:t>
            </w:r>
            <w:r w:rsidR="00F145ED" w:rsidRPr="004557FC">
              <w:rPr>
                <w:rFonts w:eastAsia="Calibri" w:cstheme="minorHAnsi"/>
                <w:color w:val="1E1E1E" w:themeColor="background2"/>
                <w:sz w:val="21"/>
                <w:szCs w:val="21"/>
                <w:lang w:val="en-GB"/>
              </w:rPr>
              <w:t xml:space="preserve"> </w:t>
            </w:r>
            <w:r w:rsidR="00CF07E1" w:rsidRPr="004557FC">
              <w:rPr>
                <w:rFonts w:eastAsia="Calibri" w:cstheme="minorHAnsi"/>
                <w:color w:val="1E1E1E" w:themeColor="background2"/>
                <w:sz w:val="21"/>
                <w:szCs w:val="21"/>
                <w:lang w:val="en-GB"/>
              </w:rPr>
              <w:t>Therefore, k</w:t>
            </w:r>
            <w:r w:rsidRPr="004557FC">
              <w:rPr>
                <w:rFonts w:eastAsia="Calibri" w:cstheme="minorHAnsi"/>
                <w:color w:val="1E1E1E" w:themeColor="background2"/>
                <w:sz w:val="21"/>
                <w:szCs w:val="21"/>
                <w:lang w:val="en-GB"/>
              </w:rPr>
              <w:t xml:space="preserve">ey activities in the context of this intervention will focus on strengthening retention in care and adherence to ART, specifically among PWID </w:t>
            </w:r>
            <w:r w:rsidRPr="004557FC">
              <w:rPr>
                <w:rFonts w:eastAsia="Calibri" w:cstheme="minorHAnsi"/>
                <w:b/>
                <w:i/>
                <w:color w:val="1E1E1E" w:themeColor="background2"/>
                <w:sz w:val="21"/>
                <w:szCs w:val="21"/>
                <w:lang w:val="en-GB"/>
              </w:rPr>
              <w:t>in 3 regions with the highest number of PLHIV</w:t>
            </w:r>
            <w:r w:rsidRPr="004557FC">
              <w:rPr>
                <w:rFonts w:eastAsia="Calibri" w:cstheme="minorHAnsi"/>
                <w:color w:val="1E1E1E" w:themeColor="background2"/>
                <w:sz w:val="21"/>
                <w:szCs w:val="21"/>
                <w:lang w:val="en-GB"/>
              </w:rPr>
              <w:t xml:space="preserve"> (Karaganda, Nur-Sultan and Almaty region). Due to the large number of ART</w:t>
            </w:r>
            <w:r w:rsidRPr="00AF43A2">
              <w:rPr>
                <w:rFonts w:eastAsia="Calibri" w:cstheme="minorHAnsi"/>
                <w:color w:val="1E1E1E" w:themeColor="background2"/>
                <w:sz w:val="21"/>
                <w:szCs w:val="21"/>
                <w:lang w:val="en-GB"/>
              </w:rPr>
              <w:t xml:space="preserve"> patients, Regional AIDS Centres in these 3 regions lack the capacity to follow up on all lost-to-follow-up cases. ART adherence will be strengthened </w:t>
            </w:r>
            <w:r w:rsidR="00C20370" w:rsidRPr="00AF43A2">
              <w:rPr>
                <w:rFonts w:eastAsia="Calibri" w:cstheme="minorHAnsi"/>
                <w:color w:val="1E1E1E" w:themeColor="background2"/>
                <w:sz w:val="21"/>
                <w:szCs w:val="21"/>
                <w:lang w:val="en-GB"/>
              </w:rPr>
              <w:t>by</w:t>
            </w:r>
            <w:r w:rsidRPr="00AF43A2">
              <w:rPr>
                <w:rFonts w:eastAsia="Calibri" w:cstheme="minorHAnsi"/>
                <w:color w:val="1E1E1E" w:themeColor="background2"/>
                <w:sz w:val="21"/>
                <w:szCs w:val="21"/>
                <w:lang w:val="en-GB"/>
              </w:rPr>
              <w:t xml:space="preserve"> target</w:t>
            </w:r>
            <w:r w:rsidR="00C20370" w:rsidRPr="00AF43A2">
              <w:rPr>
                <w:rFonts w:eastAsia="Calibri" w:cstheme="minorHAnsi"/>
                <w:color w:val="1E1E1E" w:themeColor="background2"/>
                <w:sz w:val="21"/>
                <w:szCs w:val="21"/>
                <w:lang w:val="en-GB"/>
              </w:rPr>
              <w:t>ing</w:t>
            </w:r>
            <w:r w:rsidRPr="00AF43A2">
              <w:rPr>
                <w:rFonts w:eastAsia="Calibri" w:cstheme="minorHAnsi"/>
                <w:color w:val="1E1E1E" w:themeColor="background2"/>
                <w:sz w:val="21"/>
                <w:szCs w:val="21"/>
                <w:lang w:val="en-GB"/>
              </w:rPr>
              <w:t xml:space="preserve"> communities to identify new HIV cases and follow them up to ensure that KPs are fully engaged in HIV prevention, care and treatment services. </w:t>
            </w:r>
            <w:r w:rsidRPr="00AF43A2">
              <w:rPr>
                <w:rFonts w:eastAsia="Calibri" w:cstheme="minorHAnsi"/>
                <w:b/>
                <w:i/>
                <w:color w:val="1E1E1E" w:themeColor="background2"/>
                <w:sz w:val="21"/>
                <w:szCs w:val="21"/>
                <w:lang w:val="en-GB"/>
              </w:rPr>
              <w:t>Partnerships</w:t>
            </w:r>
            <w:r w:rsidRPr="00AF43A2">
              <w:rPr>
                <w:rFonts w:eastAsia="Calibri" w:cstheme="minorHAnsi"/>
                <w:color w:val="1E1E1E" w:themeColor="background2"/>
                <w:sz w:val="21"/>
                <w:szCs w:val="21"/>
                <w:lang w:val="en-GB"/>
              </w:rPr>
              <w:t xml:space="preserve"> </w:t>
            </w:r>
            <w:r w:rsidRPr="00AF43A2">
              <w:rPr>
                <w:rFonts w:eastAsia="Calibri" w:cstheme="minorHAnsi"/>
                <w:b/>
                <w:i/>
                <w:color w:val="1E1E1E" w:themeColor="background2"/>
                <w:sz w:val="21"/>
                <w:szCs w:val="21"/>
                <w:lang w:val="en-GB"/>
              </w:rPr>
              <w:t>between AIDS Centres and local NGOs</w:t>
            </w:r>
            <w:r w:rsidRPr="00AF43A2">
              <w:rPr>
                <w:rFonts w:eastAsia="Calibri" w:cstheme="minorHAnsi"/>
                <w:color w:val="1E1E1E" w:themeColor="background2"/>
                <w:sz w:val="21"/>
                <w:szCs w:val="21"/>
                <w:lang w:val="en-GB"/>
              </w:rPr>
              <w:t xml:space="preserve"> play a key role: NGOs </w:t>
            </w:r>
            <w:r w:rsidR="00C20370" w:rsidRPr="00AF43A2">
              <w:rPr>
                <w:rFonts w:eastAsia="Calibri" w:cstheme="minorHAnsi"/>
                <w:color w:val="1E1E1E" w:themeColor="background2"/>
                <w:sz w:val="21"/>
                <w:szCs w:val="21"/>
                <w:lang w:val="en-GB"/>
              </w:rPr>
              <w:t xml:space="preserve">will </w:t>
            </w:r>
            <w:r w:rsidRPr="00AF43A2">
              <w:rPr>
                <w:rFonts w:eastAsia="Calibri" w:cstheme="minorHAnsi"/>
                <w:color w:val="1E1E1E" w:themeColor="background2"/>
                <w:sz w:val="21"/>
                <w:szCs w:val="21"/>
                <w:lang w:val="en-GB"/>
              </w:rPr>
              <w:t>employ</w:t>
            </w:r>
            <w:r w:rsidR="00C20370" w:rsidRPr="00AF43A2">
              <w:rPr>
                <w:rFonts w:eastAsia="Calibri" w:cstheme="minorHAnsi"/>
                <w:color w:val="1E1E1E" w:themeColor="background2"/>
                <w:sz w:val="21"/>
                <w:szCs w:val="21"/>
                <w:lang w:val="en-GB"/>
              </w:rPr>
              <w:t xml:space="preserve"> p</w:t>
            </w:r>
            <w:r w:rsidRPr="00AF43A2">
              <w:rPr>
                <w:rFonts w:eastAsia="Calibri" w:cstheme="minorHAnsi"/>
                <w:color w:val="1E1E1E" w:themeColor="background2"/>
                <w:sz w:val="21"/>
                <w:szCs w:val="21"/>
                <w:lang w:val="en-GB"/>
              </w:rPr>
              <w:t xml:space="preserve">eer </w:t>
            </w:r>
            <w:r w:rsidR="00C20370" w:rsidRPr="00AF43A2">
              <w:rPr>
                <w:rFonts w:eastAsia="Calibri" w:cstheme="minorHAnsi"/>
                <w:color w:val="1E1E1E" w:themeColor="background2"/>
                <w:sz w:val="21"/>
                <w:szCs w:val="21"/>
                <w:lang w:val="en-GB"/>
              </w:rPr>
              <w:t>counsellors</w:t>
            </w:r>
            <w:r w:rsidRPr="00AF43A2">
              <w:rPr>
                <w:rFonts w:eastAsia="Calibri" w:cstheme="minorHAnsi"/>
                <w:color w:val="1E1E1E" w:themeColor="background2"/>
                <w:sz w:val="21"/>
                <w:szCs w:val="21"/>
                <w:lang w:val="en-GB"/>
              </w:rPr>
              <w:t xml:space="preserve"> to help PLHIV access treatment and care and ensure proper ART adherence.</w:t>
            </w:r>
            <w:r w:rsidRPr="00AF43A2">
              <w:rPr>
                <w:rFonts w:eastAsia="Calibri" w:cstheme="minorHAnsi"/>
                <w:b/>
                <w:i/>
                <w:color w:val="1E1E1E" w:themeColor="background2"/>
                <w:sz w:val="21"/>
                <w:szCs w:val="21"/>
                <w:lang w:val="en-GB"/>
              </w:rPr>
              <w:t xml:space="preserve"> </w:t>
            </w:r>
            <w:r w:rsidR="00150DC6" w:rsidRPr="00AF43A2">
              <w:rPr>
                <w:color w:val="1E1E1E" w:themeColor="background2"/>
                <w:sz w:val="21"/>
                <w:szCs w:val="21"/>
              </w:rPr>
              <w:t xml:space="preserve">NGO peer </w:t>
            </w:r>
            <w:r w:rsidR="00C20370" w:rsidRPr="00AF43A2">
              <w:rPr>
                <w:rFonts w:eastAsia="Calibri" w:cstheme="minorHAnsi"/>
                <w:color w:val="1E1E1E" w:themeColor="background2"/>
                <w:sz w:val="21"/>
                <w:szCs w:val="21"/>
                <w:lang w:val="en-GB"/>
              </w:rPr>
              <w:t xml:space="preserve">counsellors </w:t>
            </w:r>
            <w:r w:rsidR="00150DC6" w:rsidRPr="00AF43A2">
              <w:rPr>
                <w:color w:val="1E1E1E" w:themeColor="background2"/>
                <w:sz w:val="21"/>
                <w:szCs w:val="21"/>
              </w:rPr>
              <w:t>will motivate clients for self-testing with rapid o</w:t>
            </w:r>
            <w:r w:rsidR="00150DC6" w:rsidRPr="0004771A">
              <w:rPr>
                <w:color w:val="1E1E1E" w:themeColor="background2"/>
                <w:sz w:val="21"/>
                <w:szCs w:val="21"/>
              </w:rPr>
              <w:t>ral tests. In case of positive results</w:t>
            </w:r>
            <w:r w:rsidR="002A4889" w:rsidRPr="0004771A">
              <w:rPr>
                <w:color w:val="1E1E1E" w:themeColor="background2"/>
                <w:sz w:val="21"/>
                <w:szCs w:val="21"/>
              </w:rPr>
              <w:t>,</w:t>
            </w:r>
            <w:r w:rsidR="00150DC6" w:rsidRPr="0004771A">
              <w:rPr>
                <w:color w:val="1E1E1E" w:themeColor="background2"/>
                <w:sz w:val="21"/>
                <w:szCs w:val="21"/>
              </w:rPr>
              <w:t xml:space="preserve"> the partners would be referred to NGOs working with PLHIV for services of treatment, care and support for PLHIV. </w:t>
            </w:r>
            <w:r w:rsidR="0004771A" w:rsidRPr="0004771A">
              <w:t xml:space="preserve">Currently, more than half (52%) of the peer counsellors working with PLHIV are women: working with female outreach workers has shown to increase access to clients, fostered trust, better counseling on safe behaviours, reproductive health, HIV/STI prevention, testing and ART adherence. </w:t>
            </w:r>
            <w:r w:rsidRPr="0004771A">
              <w:rPr>
                <w:rFonts w:eastAsia="Calibri" w:cstheme="minorHAnsi"/>
                <w:b/>
                <w:i/>
                <w:color w:val="1E1E1E" w:themeColor="background2"/>
                <w:sz w:val="21"/>
                <w:szCs w:val="21"/>
                <w:lang w:val="en-GB"/>
              </w:rPr>
              <w:t>Specific activities include:</w:t>
            </w:r>
          </w:p>
          <w:p w14:paraId="417418FD" w14:textId="77777777" w:rsidR="00084391" w:rsidRPr="00AF43A2" w:rsidRDefault="00084391" w:rsidP="000A0528">
            <w:pPr>
              <w:spacing w:after="0" w:line="240" w:lineRule="auto"/>
              <w:ind w:firstLine="284"/>
              <w:jc w:val="both"/>
              <w:rPr>
                <w:rFonts w:eastAsia="Calibri" w:cstheme="minorHAnsi"/>
                <w:b/>
                <w:color w:val="1E1E1E" w:themeColor="background2"/>
                <w:sz w:val="21"/>
                <w:szCs w:val="21"/>
                <w:lang w:val="en-GB"/>
              </w:rPr>
            </w:pPr>
            <w:r w:rsidRPr="00AF43A2">
              <w:rPr>
                <w:rFonts w:eastAsia="Calibri" w:cstheme="minorHAnsi"/>
                <w:b/>
                <w:i/>
                <w:color w:val="1E1E1E" w:themeColor="background2"/>
                <w:sz w:val="21"/>
                <w:szCs w:val="21"/>
                <w:lang w:val="en-GB"/>
              </w:rPr>
              <w:t>1) Annual capacity building on ART adherence support for staff of NGOs providing service to KPs and their partner health-care institutions</w:t>
            </w:r>
            <w:r w:rsidRPr="00AF43A2">
              <w:rPr>
                <w:rFonts w:eastAsia="Calibri" w:cstheme="minorHAnsi"/>
                <w:i/>
                <w:color w:val="1E1E1E" w:themeColor="background2"/>
                <w:sz w:val="21"/>
                <w:szCs w:val="21"/>
                <w:lang w:val="en-GB"/>
              </w:rPr>
              <w:t>,</w:t>
            </w:r>
            <w:r w:rsidRPr="00AF43A2">
              <w:rPr>
                <w:rFonts w:eastAsia="Calibri" w:cstheme="minorHAnsi"/>
                <w:color w:val="1E1E1E" w:themeColor="background2"/>
                <w:sz w:val="21"/>
                <w:szCs w:val="21"/>
                <w:lang w:val="en-GB"/>
              </w:rPr>
              <w:t xml:space="preserve"> in 3 Regions with the highest </w:t>
            </w:r>
            <w:r w:rsidRPr="00AF43A2">
              <w:rPr>
                <w:rFonts w:eastAsia="Calibri" w:cstheme="minorHAnsi"/>
                <w:color w:val="1E1E1E" w:themeColor="background2"/>
                <w:sz w:val="21"/>
                <w:szCs w:val="21"/>
                <w:lang w:val="en-GB"/>
              </w:rPr>
              <w:lastRenderedPageBreak/>
              <w:t>number of PLHIV and ART patients.</w:t>
            </w:r>
            <w:r w:rsidRPr="00AF43A2">
              <w:rPr>
                <w:rFonts w:eastAsia="Calibri" w:cstheme="minorHAnsi"/>
                <w:b/>
                <w:color w:val="1E1E1E" w:themeColor="background2"/>
                <w:sz w:val="21"/>
                <w:szCs w:val="21"/>
                <w:lang w:val="en-GB"/>
              </w:rPr>
              <w:t xml:space="preserve"> </w:t>
            </w:r>
            <w:r w:rsidRPr="00AF43A2">
              <w:rPr>
                <w:rFonts w:eastAsia="Calibri" w:cstheme="minorHAnsi"/>
                <w:color w:val="1E1E1E" w:themeColor="background2"/>
                <w:sz w:val="21"/>
                <w:szCs w:val="21"/>
                <w:lang w:val="en-GB"/>
              </w:rPr>
              <w:t>An existing module will be used, as well as workshops and webinars</w:t>
            </w:r>
          </w:p>
          <w:p w14:paraId="1DEF6845" w14:textId="407ACD45"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2) Development and implementation of innovative tools for counselling, psychosocial and adherence support for PLHIV</w:t>
            </w:r>
            <w:r w:rsidRPr="00AF43A2">
              <w:rPr>
                <w:rFonts w:eastAsia="Calibri" w:cstheme="minorHAnsi"/>
                <w:color w:val="1E1E1E" w:themeColor="background2"/>
                <w:sz w:val="21"/>
                <w:szCs w:val="21"/>
                <w:lang w:val="en-GB"/>
              </w:rPr>
              <w:t xml:space="preserve">. These tools include: </w:t>
            </w:r>
            <w:r w:rsidRPr="00AF43A2">
              <w:rPr>
                <w:rFonts w:eastAsia="Calibri" w:cstheme="minorHAnsi"/>
                <w:i/>
                <w:color w:val="1E1E1E" w:themeColor="background2"/>
                <w:sz w:val="21"/>
                <w:szCs w:val="21"/>
                <w:lang w:val="en-GB"/>
              </w:rPr>
              <w:t>i) an Internet bot for PLHIV</w:t>
            </w:r>
            <w:r w:rsidRPr="00AF43A2">
              <w:rPr>
                <w:rFonts w:eastAsia="Calibri" w:cstheme="minorHAnsi"/>
                <w:color w:val="1E1E1E" w:themeColor="background2"/>
                <w:sz w:val="21"/>
                <w:szCs w:val="21"/>
                <w:lang w:val="en-GB"/>
              </w:rPr>
              <w:t xml:space="preserve"> on where to receive information and support; ii) a website linked to the internet bot</w:t>
            </w:r>
            <w:r w:rsidR="00336BAE">
              <w:rPr>
                <w:rFonts w:eastAsia="Calibri" w:cstheme="minorHAnsi"/>
                <w:color w:val="1E1E1E" w:themeColor="background2"/>
                <w:sz w:val="21"/>
                <w:szCs w:val="21"/>
                <w:lang w:val="en-GB"/>
              </w:rPr>
              <w:t>,</w:t>
            </w:r>
            <w:r w:rsidRPr="00AF43A2">
              <w:rPr>
                <w:rFonts w:eastAsia="Calibri" w:cstheme="minorHAnsi"/>
                <w:color w:val="1E1E1E" w:themeColor="background2"/>
                <w:sz w:val="21"/>
                <w:szCs w:val="21"/>
                <w:lang w:val="en-GB"/>
              </w:rPr>
              <w:t xml:space="preserve"> with region-specific information on ART and other services available to PLHIV; iii) Internet applications to support ART adherence; timing of medical examinations; and reporting ART side effects and interruption of ARV drugs; and iv) an </w:t>
            </w:r>
            <w:r w:rsidRPr="00AF43A2">
              <w:rPr>
                <w:rFonts w:eastAsia="Calibri" w:cstheme="minorHAnsi"/>
                <w:i/>
                <w:color w:val="1E1E1E" w:themeColor="background2"/>
                <w:sz w:val="21"/>
                <w:szCs w:val="21"/>
                <w:lang w:val="en-GB"/>
              </w:rPr>
              <w:t>on-line chat system</w:t>
            </w:r>
            <w:r w:rsidRPr="00AF43A2">
              <w:rPr>
                <w:rFonts w:eastAsia="Calibri" w:cstheme="minorHAnsi"/>
                <w:color w:val="1E1E1E" w:themeColor="background2"/>
                <w:sz w:val="21"/>
                <w:szCs w:val="21"/>
                <w:lang w:val="en-GB"/>
              </w:rPr>
              <w:t xml:space="preserve"> with medical and social support staff, both physicians and peer </w:t>
            </w:r>
            <w:r w:rsidR="00A45EC2">
              <w:rPr>
                <w:rFonts w:eastAsia="Calibri" w:cstheme="minorHAnsi"/>
                <w:color w:val="1E1E1E" w:themeColor="background2"/>
                <w:sz w:val="21"/>
                <w:szCs w:val="21"/>
                <w:lang w:val="en-GB"/>
              </w:rPr>
              <w:t>counsellors</w:t>
            </w:r>
            <w:r w:rsidRPr="00AF43A2">
              <w:rPr>
                <w:rFonts w:eastAsia="Calibri" w:cstheme="minorHAnsi"/>
                <w:color w:val="1E1E1E" w:themeColor="background2"/>
                <w:sz w:val="21"/>
                <w:szCs w:val="21"/>
                <w:lang w:val="en-GB"/>
              </w:rPr>
              <w:t>.</w:t>
            </w:r>
            <w:r w:rsidR="00DF07C1" w:rsidRPr="00AF43A2">
              <w:rPr>
                <w:rFonts w:eastAsia="Calibri" w:cstheme="minorHAnsi"/>
                <w:color w:val="1E1E1E" w:themeColor="background2"/>
                <w:sz w:val="21"/>
                <w:szCs w:val="21"/>
                <w:lang w:val="en-GB"/>
              </w:rPr>
              <w:t xml:space="preserve"> This will also allow addressing issues related to (self) stigma.</w:t>
            </w:r>
          </w:p>
          <w:p w14:paraId="047FE80D" w14:textId="05BC2E63" w:rsidR="00084391" w:rsidRPr="00AF43A2" w:rsidRDefault="00084391" w:rsidP="000A0528">
            <w:pPr>
              <w:spacing w:after="0" w:line="240" w:lineRule="auto"/>
              <w:ind w:firstLine="284"/>
              <w:jc w:val="both"/>
              <w:rPr>
                <w:color w:val="1E1E1E" w:themeColor="background2"/>
                <w:sz w:val="21"/>
                <w:szCs w:val="21"/>
              </w:rPr>
            </w:pPr>
            <w:r w:rsidRPr="00AF43A2">
              <w:rPr>
                <w:rFonts w:eastAsia="Calibri" w:cstheme="minorHAnsi"/>
                <w:b/>
                <w:i/>
                <w:color w:val="1E1E1E" w:themeColor="background2"/>
                <w:sz w:val="21"/>
                <w:szCs w:val="21"/>
                <w:lang w:val="en-GB"/>
              </w:rPr>
              <w:t>3) Provision of Adherence and social support for PLHIV who show poor adherence and retention</w:t>
            </w:r>
            <w:r w:rsidR="00336BAE">
              <w:rPr>
                <w:rFonts w:eastAsia="Calibri" w:cstheme="minorHAnsi"/>
                <w:b/>
                <w:i/>
                <w:color w:val="1E1E1E" w:themeColor="background2"/>
                <w:sz w:val="21"/>
                <w:szCs w:val="21"/>
                <w:lang w:val="en-GB"/>
              </w:rPr>
              <w:t xml:space="preserve"> in 3 priority regions </w:t>
            </w:r>
            <w:r w:rsidR="00336BAE" w:rsidRPr="004557FC">
              <w:rPr>
                <w:rFonts w:eastAsia="Calibri" w:cstheme="minorHAnsi"/>
                <w:color w:val="1E1E1E" w:themeColor="background2"/>
                <w:sz w:val="21"/>
                <w:szCs w:val="21"/>
                <w:lang w:val="en-GB"/>
              </w:rPr>
              <w:t>(Karaganda, Nur-Sultan</w:t>
            </w:r>
            <w:r w:rsidR="00336BAE">
              <w:rPr>
                <w:rFonts w:eastAsia="Calibri" w:cstheme="minorHAnsi"/>
                <w:color w:val="1E1E1E" w:themeColor="background2"/>
                <w:sz w:val="21"/>
                <w:szCs w:val="21"/>
                <w:lang w:val="en-GB"/>
              </w:rPr>
              <w:t xml:space="preserve"> city</w:t>
            </w:r>
            <w:r w:rsidR="00336BAE" w:rsidRPr="004557FC">
              <w:rPr>
                <w:rFonts w:eastAsia="Calibri" w:cstheme="minorHAnsi"/>
                <w:color w:val="1E1E1E" w:themeColor="background2"/>
                <w:sz w:val="21"/>
                <w:szCs w:val="21"/>
                <w:lang w:val="en-GB"/>
              </w:rPr>
              <w:t xml:space="preserve"> and Almaty region)</w:t>
            </w:r>
            <w:r w:rsidRPr="00AF43A2">
              <w:rPr>
                <w:rFonts w:eastAsia="Calibri" w:cstheme="minorHAnsi"/>
                <w:b/>
                <w:i/>
                <w:color w:val="1E1E1E" w:themeColor="background2"/>
                <w:sz w:val="21"/>
                <w:szCs w:val="21"/>
                <w:lang w:val="en-GB"/>
              </w:rPr>
              <w:t>.</w:t>
            </w:r>
            <w:r w:rsidRPr="00AF43A2">
              <w:rPr>
                <w:rFonts w:eastAsia="Calibri" w:cstheme="minorHAnsi"/>
                <w:color w:val="1E1E1E" w:themeColor="background2"/>
                <w:sz w:val="21"/>
                <w:szCs w:val="21"/>
                <w:lang w:val="en-GB"/>
              </w:rPr>
              <w:t xml:space="preserve"> This involves using the tools developed under Activity (2), and will be integrated in existing service packages of NGOs and AIDS Centres.</w:t>
            </w:r>
            <w:r w:rsidRPr="00AF43A2">
              <w:rPr>
                <w:rFonts w:eastAsia="Calibri" w:cstheme="minorHAnsi"/>
                <w:b/>
                <w:color w:val="1E1E1E" w:themeColor="background2"/>
                <w:sz w:val="21"/>
                <w:szCs w:val="21"/>
                <w:lang w:val="en-GB"/>
              </w:rPr>
              <w:t xml:space="preserve"> </w:t>
            </w:r>
            <w:r w:rsidRPr="00AF43A2">
              <w:rPr>
                <w:rFonts w:eastAsia="Calibri" w:cstheme="minorHAnsi"/>
                <w:color w:val="1E1E1E" w:themeColor="background2"/>
                <w:sz w:val="21"/>
                <w:szCs w:val="21"/>
                <w:lang w:val="en-GB"/>
              </w:rPr>
              <w:t>A total of</w:t>
            </w:r>
            <w:r w:rsidRPr="00AF43A2">
              <w:rPr>
                <w:rFonts w:eastAsia="Calibri" w:cstheme="minorHAnsi"/>
                <w:b/>
                <w:i/>
                <w:color w:val="1E1E1E" w:themeColor="background2"/>
                <w:sz w:val="21"/>
                <w:szCs w:val="21"/>
                <w:lang w:val="en-GB"/>
              </w:rPr>
              <w:t xml:space="preserve"> 26 Peer </w:t>
            </w:r>
            <w:r w:rsidR="009F791F" w:rsidRPr="00AF43A2">
              <w:rPr>
                <w:rFonts w:eastAsia="Calibri" w:cstheme="minorHAnsi"/>
                <w:b/>
                <w:i/>
                <w:color w:val="1E1E1E" w:themeColor="background2"/>
                <w:sz w:val="21"/>
                <w:szCs w:val="21"/>
                <w:lang w:val="en-GB"/>
              </w:rPr>
              <w:t>counsellors</w:t>
            </w:r>
            <w:r w:rsidRPr="00AF43A2">
              <w:rPr>
                <w:rFonts w:eastAsia="Calibri" w:cstheme="minorHAnsi"/>
                <w:b/>
                <w:i/>
                <w:color w:val="1E1E1E" w:themeColor="background2"/>
                <w:sz w:val="21"/>
                <w:szCs w:val="21"/>
                <w:lang w:val="en-GB"/>
              </w:rPr>
              <w:t xml:space="preserve"> </w:t>
            </w:r>
            <w:r w:rsidRPr="00AF43A2">
              <w:rPr>
                <w:rFonts w:eastAsia="Calibri" w:cstheme="minorHAnsi"/>
                <w:color w:val="1E1E1E" w:themeColor="background2"/>
                <w:sz w:val="21"/>
                <w:szCs w:val="21"/>
                <w:lang w:val="en-GB"/>
              </w:rPr>
              <w:t xml:space="preserve">will provide: 1) Psychosocial support; 2) Mediation between clients and </w:t>
            </w:r>
            <w:r w:rsidR="00794501" w:rsidRPr="00AF43A2">
              <w:rPr>
                <w:rFonts w:eastAsia="Calibri" w:cstheme="minorHAnsi"/>
                <w:color w:val="1E1E1E" w:themeColor="background2"/>
                <w:sz w:val="21"/>
                <w:szCs w:val="21"/>
                <w:lang w:val="en-GB"/>
              </w:rPr>
              <w:t xml:space="preserve">government </w:t>
            </w:r>
            <w:r w:rsidRPr="00AF43A2">
              <w:rPr>
                <w:rFonts w:eastAsia="Calibri" w:cstheme="minorHAnsi"/>
                <w:color w:val="1E1E1E" w:themeColor="background2"/>
                <w:sz w:val="21"/>
                <w:szCs w:val="21"/>
                <w:lang w:val="en-GB"/>
              </w:rPr>
              <w:t xml:space="preserve">AIDS Centres; 3) Accompany ART patients to health facilities for diagnostic and other medical services; 4) Social support; 5) Support in HIV testing </w:t>
            </w:r>
            <w:r w:rsidR="009F791F" w:rsidRPr="00AF43A2">
              <w:rPr>
                <w:rFonts w:eastAsia="Calibri" w:cstheme="minorHAnsi"/>
                <w:color w:val="1E1E1E" w:themeColor="background2"/>
                <w:sz w:val="21"/>
                <w:szCs w:val="21"/>
                <w:lang w:val="en-GB"/>
              </w:rPr>
              <w:t>and</w:t>
            </w:r>
            <w:r w:rsidRPr="00AF43A2">
              <w:rPr>
                <w:rFonts w:eastAsia="Calibri" w:cstheme="minorHAnsi"/>
                <w:color w:val="1E1E1E" w:themeColor="background2"/>
                <w:sz w:val="21"/>
                <w:szCs w:val="21"/>
                <w:lang w:val="en-GB"/>
              </w:rPr>
              <w:t xml:space="preserve"> counselling for sexual and drug-use partners; 6) Provide information and education material, referral to other NGOs</w:t>
            </w:r>
            <w:r w:rsidR="00794501" w:rsidRPr="00AF43A2">
              <w:rPr>
                <w:rFonts w:eastAsia="Calibri" w:cstheme="minorHAnsi"/>
                <w:color w:val="1E1E1E" w:themeColor="background2"/>
                <w:sz w:val="21"/>
                <w:szCs w:val="21"/>
                <w:lang w:val="en-GB"/>
              </w:rPr>
              <w:t>; including to street lawyers and other legal support</w:t>
            </w:r>
            <w:r w:rsidRPr="00AF43A2">
              <w:rPr>
                <w:rFonts w:eastAsia="Calibri" w:cstheme="minorHAnsi"/>
                <w:color w:val="1E1E1E" w:themeColor="background2"/>
                <w:sz w:val="21"/>
                <w:szCs w:val="21"/>
                <w:lang w:val="en-GB"/>
              </w:rPr>
              <w:t>.</w:t>
            </w:r>
            <w:r w:rsidR="009F791F" w:rsidRPr="00AF43A2">
              <w:rPr>
                <w:rFonts w:eastAsia="Calibri" w:cstheme="minorHAnsi"/>
                <w:color w:val="1E1E1E" w:themeColor="background2"/>
                <w:sz w:val="21"/>
                <w:szCs w:val="21"/>
                <w:lang w:val="en-GB"/>
              </w:rPr>
              <w:t xml:space="preserve"> </w:t>
            </w:r>
            <w:r w:rsidR="009F791F" w:rsidRPr="00AF43A2">
              <w:rPr>
                <w:color w:val="1E1E1E" w:themeColor="background2"/>
                <w:sz w:val="21"/>
                <w:szCs w:val="21"/>
              </w:rPr>
              <w:t>The new grant will be used to introduce new approaches for the work of NGOs with PLHIV, with remuneration based on successful identification, enrolment in ART and reduction of the viral load of PLHIV clients.</w:t>
            </w:r>
          </w:p>
          <w:p w14:paraId="61FC81CA" w14:textId="0DBD4F67" w:rsidR="00C20860" w:rsidRPr="00AF43A2" w:rsidRDefault="00C20860"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It is important to mention that the planned expansion of OST</w:t>
            </w:r>
            <w:r w:rsidR="002A4889" w:rsidRPr="00AF43A2">
              <w:rPr>
                <w:rFonts w:eastAsia="Calibri" w:cstheme="minorHAnsi"/>
                <w:color w:val="1E1E1E" w:themeColor="background2"/>
                <w:sz w:val="21"/>
                <w:szCs w:val="21"/>
                <w:lang w:val="en-GB"/>
              </w:rPr>
              <w:t xml:space="preserve"> services will contribute to ART adherence among HIV-infected PWID. However, this will require further scaling up of OST by Government during and after the next G</w:t>
            </w:r>
            <w:r w:rsidR="009877E7" w:rsidRPr="00AF43A2">
              <w:rPr>
                <w:rFonts w:eastAsia="Calibri" w:cstheme="minorHAnsi"/>
                <w:color w:val="1E1E1E" w:themeColor="background2"/>
                <w:sz w:val="21"/>
                <w:szCs w:val="21"/>
                <w:lang w:val="en-GB"/>
              </w:rPr>
              <w:t xml:space="preserve">lobal </w:t>
            </w:r>
            <w:r w:rsidR="002A4889" w:rsidRPr="00AF43A2">
              <w:rPr>
                <w:rFonts w:eastAsia="Calibri" w:cstheme="minorHAnsi"/>
                <w:color w:val="1E1E1E" w:themeColor="background2"/>
                <w:sz w:val="21"/>
                <w:szCs w:val="21"/>
                <w:lang w:val="en-GB"/>
              </w:rPr>
              <w:t>F</w:t>
            </w:r>
            <w:r w:rsidR="009877E7" w:rsidRPr="00AF43A2">
              <w:rPr>
                <w:rFonts w:eastAsia="Calibri" w:cstheme="minorHAnsi"/>
                <w:color w:val="1E1E1E" w:themeColor="background2"/>
                <w:sz w:val="21"/>
                <w:szCs w:val="21"/>
                <w:lang w:val="en-GB"/>
              </w:rPr>
              <w:t>und</w:t>
            </w:r>
            <w:r w:rsidR="002A4889" w:rsidRPr="00AF43A2">
              <w:rPr>
                <w:rFonts w:eastAsia="Calibri" w:cstheme="minorHAnsi"/>
                <w:color w:val="1E1E1E" w:themeColor="background2"/>
                <w:sz w:val="21"/>
                <w:szCs w:val="21"/>
                <w:lang w:val="en-GB"/>
              </w:rPr>
              <w:t xml:space="preserve"> grant (2021-2023). </w:t>
            </w:r>
          </w:p>
          <w:p w14:paraId="39F5EB0D" w14:textId="2F846069" w:rsidR="00084391" w:rsidRPr="00AF43A2" w:rsidRDefault="00084391" w:rsidP="000A0528">
            <w:pPr>
              <w:spacing w:after="0" w:line="240" w:lineRule="auto"/>
              <w:ind w:firstLine="284"/>
              <w:jc w:val="both"/>
              <w:rPr>
                <w:rFonts w:eastAsia="Calibri" w:cstheme="minorHAnsi"/>
                <w:b/>
                <w:color w:val="1E1E1E" w:themeColor="background2"/>
                <w:sz w:val="21"/>
                <w:szCs w:val="21"/>
                <w:lang w:val="en-GB"/>
              </w:rPr>
            </w:pPr>
            <w:r w:rsidRPr="00AF43A2">
              <w:rPr>
                <w:rFonts w:eastAsia="Calibri" w:cstheme="minorHAnsi"/>
                <w:color w:val="1E1E1E" w:themeColor="background2"/>
                <w:sz w:val="21"/>
                <w:szCs w:val="21"/>
                <w:lang w:val="en-GB"/>
              </w:rPr>
              <w:t>If the approach</w:t>
            </w:r>
            <w:r w:rsidR="009F791F" w:rsidRPr="00AF43A2">
              <w:rPr>
                <w:rFonts w:eastAsia="Calibri" w:cstheme="minorHAnsi"/>
                <w:color w:val="1E1E1E" w:themeColor="background2"/>
                <w:sz w:val="21"/>
                <w:szCs w:val="21"/>
                <w:lang w:val="en-GB"/>
              </w:rPr>
              <w:t xml:space="preserve"> of using peer counsellors</w:t>
            </w:r>
            <w:r w:rsidRPr="00AF43A2">
              <w:rPr>
                <w:rFonts w:eastAsia="Calibri" w:cstheme="minorHAnsi"/>
                <w:color w:val="1E1E1E" w:themeColor="background2"/>
                <w:sz w:val="21"/>
                <w:szCs w:val="21"/>
                <w:lang w:val="en-GB"/>
              </w:rPr>
              <w:t xml:space="preserve"> is successful in these 3 regions, Government will support the further expansion of the approach to additional regions with ART Adherence problems.</w:t>
            </w:r>
          </w:p>
          <w:p w14:paraId="2A4731A2" w14:textId="77777777" w:rsidR="00084391" w:rsidRPr="00AF43A2" w:rsidRDefault="00084391" w:rsidP="000A0528">
            <w:pPr>
              <w:spacing w:after="0" w:line="240" w:lineRule="auto"/>
              <w:jc w:val="both"/>
              <w:rPr>
                <w:rFonts w:eastAsia="Calibri" w:cstheme="minorHAnsi"/>
                <w:b/>
                <w:color w:val="1E1E1E" w:themeColor="background2"/>
                <w:sz w:val="8"/>
                <w:szCs w:val="8"/>
                <w:lang w:val="en-GB"/>
              </w:rPr>
            </w:pPr>
          </w:p>
          <w:p w14:paraId="0847DA83" w14:textId="72A383CB"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 xml:space="preserve">Intervention 3.2 ART </w:t>
            </w:r>
            <w:r w:rsidR="00336BAE">
              <w:rPr>
                <w:rFonts w:eastAsia="Calibri" w:cstheme="minorHAnsi"/>
                <w:b/>
                <w:i/>
                <w:color w:val="1E1E1E" w:themeColor="background2"/>
                <w:sz w:val="21"/>
                <w:szCs w:val="21"/>
                <w:lang w:val="en-GB"/>
              </w:rPr>
              <w:t xml:space="preserve">and other medical support </w:t>
            </w:r>
            <w:r w:rsidRPr="00AF43A2">
              <w:rPr>
                <w:rFonts w:eastAsia="Calibri" w:cstheme="minorHAnsi"/>
                <w:b/>
                <w:i/>
                <w:color w:val="1E1E1E" w:themeColor="background2"/>
                <w:sz w:val="21"/>
                <w:szCs w:val="21"/>
                <w:lang w:val="en-GB"/>
              </w:rPr>
              <w:t>for undocumented migrants</w:t>
            </w:r>
            <w:r w:rsidRPr="00AF43A2">
              <w:rPr>
                <w:rFonts w:eastAsia="Calibri" w:cstheme="minorHAnsi"/>
                <w:color w:val="1E1E1E" w:themeColor="background2"/>
                <w:sz w:val="21"/>
                <w:szCs w:val="21"/>
                <w:lang w:val="en-GB"/>
              </w:rPr>
              <w:t xml:space="preserve"> –</w:t>
            </w:r>
            <w:r w:rsidR="007B392E" w:rsidRPr="00AF43A2">
              <w:rPr>
                <w:rFonts w:eastAsia="Calibri" w:cstheme="minorHAnsi"/>
                <w:color w:val="1E1E1E" w:themeColor="background2"/>
                <w:sz w:val="21"/>
                <w:szCs w:val="21"/>
                <w:lang w:val="en-GB"/>
              </w:rPr>
              <w:t xml:space="preserve"> The grant will support procurement of ARV drugs for 17</w:t>
            </w:r>
            <w:r w:rsidR="00534629" w:rsidRPr="00AF43A2">
              <w:rPr>
                <w:rFonts w:eastAsia="Calibri" w:cstheme="minorHAnsi"/>
                <w:color w:val="1E1E1E" w:themeColor="background2"/>
                <w:sz w:val="21"/>
                <w:szCs w:val="21"/>
                <w:lang w:val="en-GB"/>
              </w:rPr>
              <w:t>1</w:t>
            </w:r>
            <w:r w:rsidR="007B392E" w:rsidRPr="00AF43A2">
              <w:rPr>
                <w:rFonts w:eastAsia="Calibri" w:cstheme="minorHAnsi"/>
                <w:color w:val="1E1E1E" w:themeColor="background2"/>
                <w:sz w:val="21"/>
                <w:szCs w:val="21"/>
                <w:lang w:val="en-GB"/>
              </w:rPr>
              <w:t xml:space="preserve"> undocumented migrants living with HIV: Government laws do not allow providing free health services to this vulnerable population. Hence the grant will </w:t>
            </w:r>
            <w:r w:rsidR="00794501" w:rsidRPr="00AF43A2">
              <w:rPr>
                <w:rFonts w:eastAsia="Calibri" w:cstheme="minorHAnsi"/>
                <w:color w:val="1E1E1E" w:themeColor="background2"/>
                <w:sz w:val="21"/>
                <w:szCs w:val="21"/>
                <w:lang w:val="en-GB"/>
              </w:rPr>
              <w:t>provide for legal support for their documentation to legalise their status</w:t>
            </w:r>
            <w:r w:rsidR="007B392E" w:rsidRPr="00AF43A2">
              <w:rPr>
                <w:rFonts w:eastAsia="Calibri" w:cstheme="minorHAnsi"/>
                <w:color w:val="1E1E1E" w:themeColor="background2"/>
                <w:sz w:val="21"/>
                <w:szCs w:val="21"/>
                <w:lang w:val="en-GB"/>
              </w:rPr>
              <w:t xml:space="preserve">, with a view to facilitating coverage of these migrants by the State. </w:t>
            </w:r>
            <w:r w:rsidR="00336BAE">
              <w:rPr>
                <w:rFonts w:eastAsia="Calibri" w:cstheme="minorHAnsi"/>
                <w:color w:val="1E1E1E" w:themeColor="background2"/>
                <w:sz w:val="21"/>
                <w:szCs w:val="21"/>
                <w:lang w:val="en-GB"/>
              </w:rPr>
              <w:t>As part of additional medical services in relation to ART, s</w:t>
            </w:r>
            <w:r w:rsidR="00512463">
              <w:rPr>
                <w:rFonts w:eastAsia="Calibri" w:cstheme="minorHAnsi"/>
                <w:color w:val="1E1E1E" w:themeColor="background2"/>
                <w:sz w:val="21"/>
                <w:szCs w:val="21"/>
                <w:lang w:val="en-GB"/>
              </w:rPr>
              <w:t xml:space="preserve">pecial attention will be given to gender-related vulnerabilities of these undocumented migrants. </w:t>
            </w:r>
            <w:r w:rsidR="007B392E" w:rsidRPr="00AF43A2">
              <w:rPr>
                <w:rFonts w:eastAsia="Calibri" w:cstheme="minorHAnsi"/>
                <w:color w:val="1E1E1E" w:themeColor="background2"/>
                <w:sz w:val="21"/>
                <w:szCs w:val="21"/>
                <w:lang w:val="en-GB"/>
              </w:rPr>
              <w:t>The State is expected to cover 51 patients in 2022 and 12</w:t>
            </w:r>
            <w:r w:rsidR="00534629" w:rsidRPr="00AF43A2">
              <w:rPr>
                <w:rFonts w:eastAsia="Calibri" w:cstheme="minorHAnsi"/>
                <w:color w:val="1E1E1E" w:themeColor="background2"/>
                <w:sz w:val="21"/>
                <w:szCs w:val="21"/>
                <w:lang w:val="en-GB"/>
              </w:rPr>
              <w:t>0</w:t>
            </w:r>
            <w:r w:rsidR="007B392E" w:rsidRPr="00AF43A2">
              <w:rPr>
                <w:rFonts w:eastAsia="Calibri" w:cstheme="minorHAnsi"/>
                <w:color w:val="1E1E1E" w:themeColor="background2"/>
                <w:sz w:val="21"/>
                <w:szCs w:val="21"/>
                <w:lang w:val="en-GB"/>
              </w:rPr>
              <w:t xml:space="preserve"> of these patients by 2022 and 2023, assuming their status will have been legalised. </w:t>
            </w:r>
          </w:p>
          <w:p w14:paraId="0E3C64BA" w14:textId="77777777" w:rsidR="00A520EB" w:rsidRPr="00AF43A2" w:rsidRDefault="00A520EB" w:rsidP="000A0528">
            <w:pPr>
              <w:spacing w:after="0" w:line="240" w:lineRule="auto"/>
              <w:ind w:firstLine="284"/>
              <w:jc w:val="both"/>
              <w:rPr>
                <w:rFonts w:eastAsia="Calibri" w:cstheme="minorHAnsi"/>
                <w:color w:val="1E1E1E" w:themeColor="background2"/>
                <w:sz w:val="8"/>
                <w:szCs w:val="8"/>
                <w:lang w:val="en-GB"/>
              </w:rPr>
            </w:pPr>
          </w:p>
          <w:p w14:paraId="2DB68525" w14:textId="5DEC59B0" w:rsidR="00E773FA" w:rsidRPr="00AF43A2" w:rsidRDefault="00A520EB"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 xml:space="preserve">Intervention </w:t>
            </w:r>
            <w:r w:rsidR="00716FBE" w:rsidRPr="00AF43A2">
              <w:rPr>
                <w:rFonts w:eastAsia="Calibri" w:cstheme="minorHAnsi"/>
                <w:b/>
                <w:i/>
                <w:color w:val="1E1E1E" w:themeColor="background2"/>
                <w:sz w:val="21"/>
                <w:szCs w:val="21"/>
                <w:lang w:val="en-GB"/>
              </w:rPr>
              <w:t>3.3</w:t>
            </w:r>
            <w:r w:rsidRPr="00AF43A2">
              <w:rPr>
                <w:rFonts w:eastAsia="Calibri" w:cstheme="minorHAnsi"/>
                <w:b/>
                <w:i/>
                <w:color w:val="1E1E1E" w:themeColor="background2"/>
                <w:sz w:val="21"/>
                <w:szCs w:val="21"/>
                <w:lang w:val="en-GB"/>
              </w:rPr>
              <w:t xml:space="preserve">: Strengthening </w:t>
            </w:r>
            <w:r w:rsidR="006B2D46" w:rsidRPr="00AF43A2">
              <w:rPr>
                <w:rFonts w:eastAsia="Calibri" w:cstheme="minorHAnsi"/>
                <w:b/>
                <w:i/>
                <w:color w:val="1E1E1E" w:themeColor="background2"/>
                <w:sz w:val="21"/>
                <w:szCs w:val="21"/>
                <w:lang w:val="en-GB"/>
              </w:rPr>
              <w:t xml:space="preserve">effective patient monitoring and VL testing </w:t>
            </w:r>
            <w:r w:rsidRPr="00AF43A2">
              <w:rPr>
                <w:rFonts w:eastAsia="Calibri" w:cstheme="minorHAnsi"/>
                <w:color w:val="1E1E1E" w:themeColor="background2"/>
                <w:sz w:val="21"/>
                <w:szCs w:val="21"/>
                <w:lang w:val="en-GB"/>
              </w:rPr>
              <w:t>– One of the key findings of a recent assessment of the HIV laboratory system in Kazakhstan</w:t>
            </w:r>
            <w:r w:rsidRPr="00AF43A2">
              <w:rPr>
                <w:rFonts w:eastAsia="Calibri" w:cstheme="minorHAnsi"/>
                <w:color w:val="1E1E1E" w:themeColor="background2"/>
                <w:sz w:val="21"/>
                <w:szCs w:val="21"/>
                <w:vertAlign w:val="superscript"/>
                <w:lang w:val="en-GB"/>
              </w:rPr>
              <w:footnoteReference w:id="9"/>
            </w:r>
            <w:r w:rsidRPr="00AF43A2">
              <w:rPr>
                <w:rFonts w:eastAsia="Calibri" w:cstheme="minorHAnsi"/>
                <w:color w:val="1E1E1E" w:themeColor="background2"/>
                <w:sz w:val="21"/>
                <w:szCs w:val="21"/>
                <w:lang w:val="en-GB"/>
              </w:rPr>
              <w:t xml:space="preserve"> was that many different types of laboratory equipment were used, and that a lot of lab equipment was outdated with “significant wear and tear”. Another key finding was that the laboratory network for viral load (VL) testing was not fully optimised, resulting in some labs with significant underuse and other labs with insufficient capacity. </w:t>
            </w:r>
            <w:r w:rsidRPr="00AF43A2">
              <w:rPr>
                <w:rFonts w:eastAsia="Calibri" w:cstheme="minorHAnsi"/>
                <w:b/>
                <w:i/>
                <w:color w:val="1E1E1E" w:themeColor="background2"/>
                <w:sz w:val="21"/>
                <w:szCs w:val="21"/>
                <w:lang w:val="en-GB"/>
              </w:rPr>
              <w:t>Key recommendations</w:t>
            </w:r>
            <w:r w:rsidRPr="00AF43A2">
              <w:rPr>
                <w:rFonts w:eastAsia="Calibri" w:cstheme="minorHAnsi"/>
                <w:color w:val="1E1E1E" w:themeColor="background2"/>
                <w:sz w:val="21"/>
                <w:szCs w:val="21"/>
                <w:lang w:val="en-GB"/>
              </w:rPr>
              <w:t xml:space="preserve"> in this context included: i) Procurement of standardised and automated equipment </w:t>
            </w:r>
            <w:r w:rsidRPr="00AF43A2">
              <w:rPr>
                <w:color w:val="1E1E1E" w:themeColor="background2"/>
                <w:sz w:val="21"/>
                <w:szCs w:val="21"/>
              </w:rPr>
              <w:t>to ensure unification of all laboratories for the procurement of tests from the same supplier</w:t>
            </w:r>
            <w:r w:rsidRPr="00AF43A2">
              <w:rPr>
                <w:rFonts w:eastAsia="Calibri" w:cstheme="minorHAnsi"/>
                <w:color w:val="1E1E1E" w:themeColor="background2"/>
                <w:sz w:val="21"/>
                <w:szCs w:val="21"/>
                <w:lang w:val="en-GB"/>
              </w:rPr>
              <w:t>; ii) Use of high-throughput automated instruments in high-volume sites and promote additional capacity to provide other testing such as EID and STI; and iii) Equipment built on a single platform with similar technological framework</w:t>
            </w:r>
            <w:r w:rsidR="00F76A50" w:rsidRPr="00AF43A2">
              <w:rPr>
                <w:rFonts w:eastAsia="Calibri" w:cstheme="minorHAnsi"/>
                <w:color w:val="1E1E1E" w:themeColor="background2"/>
                <w:sz w:val="21"/>
                <w:szCs w:val="21"/>
                <w:lang w:val="en-GB"/>
              </w:rPr>
              <w:t>.</w:t>
            </w:r>
          </w:p>
          <w:p w14:paraId="05A94AEF" w14:textId="246608BD" w:rsidR="00A520EB" w:rsidRPr="00AF43A2" w:rsidRDefault="00E773FA"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As mentioned under Intervention 3.1, special attention is needed to strengthen ART adherence with a view to achieving the 9</w:t>
            </w:r>
            <w:r w:rsidR="00F76A50" w:rsidRPr="00AF43A2">
              <w:rPr>
                <w:rFonts w:eastAsia="Calibri" w:cstheme="minorHAnsi"/>
                <w:color w:val="1E1E1E" w:themeColor="background2"/>
                <w:sz w:val="21"/>
                <w:szCs w:val="21"/>
                <w:lang w:val="en-GB"/>
              </w:rPr>
              <w:t>5</w:t>
            </w:r>
            <w:r w:rsidRPr="00AF43A2">
              <w:rPr>
                <w:rFonts w:eastAsia="Calibri" w:cstheme="minorHAnsi"/>
                <w:color w:val="1E1E1E" w:themeColor="background2"/>
                <w:sz w:val="21"/>
                <w:szCs w:val="21"/>
                <w:lang w:val="en-GB"/>
              </w:rPr>
              <w:t>-9</w:t>
            </w:r>
            <w:r w:rsidR="00F76A50" w:rsidRPr="00AF43A2">
              <w:rPr>
                <w:rFonts w:eastAsia="Calibri" w:cstheme="minorHAnsi"/>
                <w:color w:val="1E1E1E" w:themeColor="background2"/>
                <w:sz w:val="21"/>
                <w:szCs w:val="21"/>
                <w:lang w:val="en-GB"/>
              </w:rPr>
              <w:t>5</w:t>
            </w:r>
            <w:r w:rsidRPr="00AF43A2">
              <w:rPr>
                <w:rFonts w:eastAsia="Calibri" w:cstheme="minorHAnsi"/>
                <w:color w:val="1E1E1E" w:themeColor="background2"/>
                <w:sz w:val="21"/>
                <w:szCs w:val="21"/>
                <w:lang w:val="en-GB"/>
              </w:rPr>
              <w:t>-9</w:t>
            </w:r>
            <w:r w:rsidR="00F76A50" w:rsidRPr="00AF43A2">
              <w:rPr>
                <w:rFonts w:eastAsia="Calibri" w:cstheme="minorHAnsi"/>
                <w:color w:val="1E1E1E" w:themeColor="background2"/>
                <w:sz w:val="21"/>
                <w:szCs w:val="21"/>
                <w:lang w:val="en-GB"/>
              </w:rPr>
              <w:t>5</w:t>
            </w:r>
            <w:r w:rsidRPr="00AF43A2">
              <w:rPr>
                <w:rFonts w:eastAsia="Calibri" w:cstheme="minorHAnsi"/>
                <w:color w:val="1E1E1E" w:themeColor="background2"/>
                <w:sz w:val="21"/>
                <w:szCs w:val="21"/>
                <w:lang w:val="en-GB"/>
              </w:rPr>
              <w:t xml:space="preserve"> goals. </w:t>
            </w:r>
            <w:r w:rsidR="00823D91" w:rsidRPr="00AF43A2">
              <w:rPr>
                <w:rFonts w:eastAsia="Calibri" w:cstheme="minorHAnsi"/>
                <w:color w:val="1E1E1E" w:themeColor="background2"/>
                <w:sz w:val="21"/>
                <w:szCs w:val="21"/>
                <w:lang w:val="en-GB"/>
              </w:rPr>
              <w:t xml:space="preserve">In this context, </w:t>
            </w:r>
            <w:r w:rsidRPr="00AF43A2">
              <w:rPr>
                <w:rFonts w:eastAsia="Calibri" w:cstheme="minorHAnsi"/>
                <w:color w:val="1E1E1E" w:themeColor="background2"/>
                <w:sz w:val="21"/>
                <w:szCs w:val="21"/>
                <w:lang w:val="en-GB"/>
              </w:rPr>
              <w:t>regular treatment monitoring</w:t>
            </w:r>
            <w:r w:rsidR="00823D91" w:rsidRPr="00AF43A2">
              <w:rPr>
                <w:rFonts w:eastAsia="Calibri" w:cstheme="minorHAnsi"/>
                <w:color w:val="1E1E1E" w:themeColor="background2"/>
                <w:sz w:val="21"/>
                <w:szCs w:val="21"/>
                <w:lang w:val="en-GB"/>
              </w:rPr>
              <w:t xml:space="preserve"> (VL testing)</w:t>
            </w:r>
            <w:r w:rsidRPr="00AF43A2">
              <w:rPr>
                <w:rFonts w:eastAsia="Calibri" w:cstheme="minorHAnsi"/>
                <w:color w:val="1E1E1E" w:themeColor="background2"/>
                <w:sz w:val="21"/>
                <w:szCs w:val="21"/>
                <w:lang w:val="en-GB"/>
              </w:rPr>
              <w:t xml:space="preserve"> is </w:t>
            </w:r>
            <w:r w:rsidR="00823D91" w:rsidRPr="00AF43A2">
              <w:rPr>
                <w:rFonts w:eastAsia="Calibri" w:cstheme="minorHAnsi"/>
                <w:color w:val="1E1E1E" w:themeColor="background2"/>
                <w:sz w:val="21"/>
                <w:szCs w:val="21"/>
                <w:lang w:val="en-GB"/>
              </w:rPr>
              <w:t>essential. In</w:t>
            </w:r>
            <w:r w:rsidR="00F76A50" w:rsidRPr="00AF43A2">
              <w:rPr>
                <w:rFonts w:eastAsia="Calibri" w:cstheme="minorHAnsi"/>
                <w:color w:val="1E1E1E" w:themeColor="background2"/>
                <w:sz w:val="21"/>
                <w:szCs w:val="21"/>
                <w:lang w:val="en-GB"/>
              </w:rPr>
              <w:t xml:space="preserve"> many r</w:t>
            </w:r>
            <w:r w:rsidR="00823D91" w:rsidRPr="00AF43A2">
              <w:rPr>
                <w:rFonts w:eastAsia="Calibri" w:cstheme="minorHAnsi"/>
                <w:color w:val="1E1E1E" w:themeColor="background2"/>
                <w:sz w:val="21"/>
                <w:szCs w:val="21"/>
                <w:lang w:val="en-GB"/>
              </w:rPr>
              <w:t>egions, however</w:t>
            </w:r>
            <w:r w:rsidR="00F76A50" w:rsidRPr="00AF43A2">
              <w:rPr>
                <w:rFonts w:eastAsia="Calibri" w:cstheme="minorHAnsi"/>
                <w:color w:val="1E1E1E" w:themeColor="background2"/>
                <w:sz w:val="21"/>
                <w:szCs w:val="21"/>
                <w:lang w:val="en-GB"/>
              </w:rPr>
              <w:t>,</w:t>
            </w:r>
            <w:r w:rsidR="00823D91" w:rsidRPr="00AF43A2">
              <w:rPr>
                <w:rFonts w:eastAsia="Calibri" w:cstheme="minorHAnsi"/>
                <w:color w:val="1E1E1E" w:themeColor="background2"/>
                <w:sz w:val="21"/>
                <w:szCs w:val="21"/>
                <w:lang w:val="en-GB"/>
              </w:rPr>
              <w:t xml:space="preserve"> outdated and </w:t>
            </w:r>
            <w:r w:rsidR="00F76A50" w:rsidRPr="00AF43A2">
              <w:rPr>
                <w:rFonts w:eastAsia="Calibri" w:cstheme="minorHAnsi"/>
                <w:color w:val="1E1E1E" w:themeColor="background2"/>
                <w:sz w:val="21"/>
                <w:szCs w:val="21"/>
                <w:lang w:val="en-GB"/>
              </w:rPr>
              <w:t>inadequate</w:t>
            </w:r>
            <w:r w:rsidR="00823D91" w:rsidRPr="00AF43A2">
              <w:rPr>
                <w:rFonts w:eastAsia="Calibri" w:cstheme="minorHAnsi"/>
                <w:color w:val="1E1E1E" w:themeColor="background2"/>
                <w:sz w:val="21"/>
                <w:szCs w:val="21"/>
                <w:lang w:val="en-GB"/>
              </w:rPr>
              <w:t xml:space="preserve"> lab equipment for VL testing is seriously hampering effective treatment monitoring and needs urgent replacement</w:t>
            </w:r>
            <w:r w:rsidR="00F76A50" w:rsidRPr="00AF43A2">
              <w:rPr>
                <w:rFonts w:eastAsia="Calibri" w:cstheme="minorHAnsi"/>
                <w:color w:val="1E1E1E" w:themeColor="background2"/>
                <w:sz w:val="21"/>
                <w:szCs w:val="21"/>
                <w:lang w:val="en-GB"/>
              </w:rPr>
              <w:t>. I</w:t>
            </w:r>
            <w:proofErr w:type="spellStart"/>
            <w:r w:rsidR="00F76A50" w:rsidRPr="00AF43A2">
              <w:rPr>
                <w:rFonts w:cstheme="minorHAnsi"/>
                <w:color w:val="1E1E1E" w:themeColor="background2"/>
                <w:sz w:val="21"/>
              </w:rPr>
              <w:t>n</w:t>
            </w:r>
            <w:proofErr w:type="spellEnd"/>
            <w:r w:rsidR="00F76A50" w:rsidRPr="00AF43A2">
              <w:rPr>
                <w:rFonts w:cstheme="minorHAnsi"/>
                <w:color w:val="1E1E1E" w:themeColor="background2"/>
                <w:sz w:val="21"/>
              </w:rPr>
              <w:t xml:space="preserve"> this regard, the Global Fund </w:t>
            </w:r>
            <w:r w:rsidR="00F76A50" w:rsidRPr="00AF43A2">
              <w:rPr>
                <w:rFonts w:cstheme="minorHAnsi"/>
                <w:b/>
                <w:i/>
                <w:color w:val="1E1E1E" w:themeColor="background2"/>
                <w:sz w:val="21"/>
              </w:rPr>
              <w:t>Portfolio Analysis</w:t>
            </w:r>
            <w:r w:rsidR="00F76A50" w:rsidRPr="00AF43A2">
              <w:rPr>
                <w:rFonts w:cstheme="minorHAnsi"/>
                <w:color w:val="1E1E1E" w:themeColor="background2"/>
                <w:sz w:val="21"/>
              </w:rPr>
              <w:t xml:space="preserve"> also emphasised the need to</w:t>
            </w:r>
            <w:r w:rsidR="00F76A50" w:rsidRPr="00AF43A2">
              <w:rPr>
                <w:rFonts w:eastAsia="Calibri" w:cstheme="minorHAnsi"/>
                <w:color w:val="1E1E1E" w:themeColor="background2"/>
                <w:sz w:val="21"/>
                <w:szCs w:val="21"/>
                <w:lang w:val="en-GB"/>
              </w:rPr>
              <w:t xml:space="preserve"> further strengthen VL testing services, including the </w:t>
            </w:r>
            <w:r w:rsidR="00F76A50" w:rsidRPr="00AF43A2">
              <w:rPr>
                <w:rFonts w:eastAsia="Calibri" w:cstheme="minorHAnsi"/>
                <w:b/>
                <w:i/>
                <w:color w:val="1E1E1E" w:themeColor="background2"/>
                <w:sz w:val="21"/>
                <w:szCs w:val="21"/>
                <w:lang w:val="en-GB"/>
              </w:rPr>
              <w:t>unification of VL testing technologies</w:t>
            </w:r>
            <w:r w:rsidR="00F76A50" w:rsidRPr="00AF43A2">
              <w:rPr>
                <w:rFonts w:eastAsia="Calibri" w:cstheme="minorHAnsi"/>
                <w:color w:val="1E1E1E" w:themeColor="background2"/>
                <w:sz w:val="21"/>
                <w:szCs w:val="21"/>
                <w:lang w:val="en-GB"/>
              </w:rPr>
              <w:t xml:space="preserve"> used. </w:t>
            </w:r>
            <w:r w:rsidR="00A520EB" w:rsidRPr="00AF43A2">
              <w:rPr>
                <w:rFonts w:eastAsia="Calibri" w:cstheme="minorHAnsi"/>
                <w:b/>
                <w:i/>
                <w:color w:val="1E1E1E" w:themeColor="background2"/>
                <w:sz w:val="21"/>
                <w:szCs w:val="21"/>
                <w:lang w:val="en-GB"/>
              </w:rPr>
              <w:t>Specific activities</w:t>
            </w:r>
            <w:r w:rsidR="00A520EB" w:rsidRPr="00AF43A2">
              <w:rPr>
                <w:rFonts w:eastAsia="Calibri" w:cstheme="minorHAnsi"/>
                <w:color w:val="1E1E1E" w:themeColor="background2"/>
                <w:sz w:val="21"/>
                <w:szCs w:val="21"/>
                <w:lang w:val="en-GB"/>
              </w:rPr>
              <w:t xml:space="preserve"> </w:t>
            </w:r>
            <w:r w:rsidR="00F76A50" w:rsidRPr="00AF43A2">
              <w:rPr>
                <w:rFonts w:eastAsia="Calibri" w:cstheme="minorHAnsi"/>
                <w:color w:val="1E1E1E" w:themeColor="background2"/>
                <w:sz w:val="21"/>
                <w:szCs w:val="21"/>
                <w:lang w:val="en-GB"/>
              </w:rPr>
              <w:t xml:space="preserve">in this regard </w:t>
            </w:r>
            <w:r w:rsidR="00A520EB" w:rsidRPr="00AF43A2">
              <w:rPr>
                <w:rFonts w:eastAsia="Calibri" w:cstheme="minorHAnsi"/>
                <w:color w:val="1E1E1E" w:themeColor="background2"/>
                <w:sz w:val="21"/>
                <w:szCs w:val="21"/>
                <w:lang w:val="en-GB"/>
              </w:rPr>
              <w:t>include:</w:t>
            </w:r>
          </w:p>
          <w:p w14:paraId="6793958D" w14:textId="65CEFD9F" w:rsidR="00B05117" w:rsidRPr="00AF43A2" w:rsidRDefault="00B05117" w:rsidP="000A0528">
            <w:pPr>
              <w:spacing w:after="0" w:line="240" w:lineRule="auto"/>
              <w:ind w:firstLine="284"/>
              <w:jc w:val="both"/>
              <w:rPr>
                <w:rFonts w:ascii="Arial" w:eastAsia="Calibri" w:hAnsi="Arial" w:cs="Calibri"/>
                <w:color w:val="1E1E1E" w:themeColor="background2"/>
                <w:sz w:val="21"/>
                <w:szCs w:val="21"/>
                <w:lang w:val="en-GB"/>
              </w:rPr>
            </w:pPr>
            <w:r w:rsidRPr="00AF43A2">
              <w:rPr>
                <w:rFonts w:ascii="Arial" w:eastAsia="Calibri" w:hAnsi="Arial" w:cs="Calibri"/>
                <w:b/>
                <w:i/>
                <w:color w:val="1E1E1E" w:themeColor="background2"/>
                <w:sz w:val="21"/>
                <w:szCs w:val="21"/>
                <w:lang w:val="en-GB"/>
              </w:rPr>
              <w:t>1) Procurement of 1</w:t>
            </w:r>
            <w:r w:rsidR="005E0C64" w:rsidRPr="00AF43A2">
              <w:rPr>
                <w:rFonts w:ascii="Arial" w:eastAsia="Calibri" w:hAnsi="Arial" w:cs="Calibri"/>
                <w:b/>
                <w:i/>
                <w:color w:val="1E1E1E" w:themeColor="background2"/>
                <w:sz w:val="21"/>
                <w:szCs w:val="21"/>
                <w:lang w:val="en-GB"/>
              </w:rPr>
              <w:t>5</w:t>
            </w:r>
            <w:r w:rsidRPr="00AF43A2">
              <w:rPr>
                <w:rFonts w:ascii="Arial" w:eastAsia="Calibri" w:hAnsi="Arial" w:cs="Calibri"/>
                <w:b/>
                <w:i/>
                <w:color w:val="1E1E1E" w:themeColor="background2"/>
                <w:sz w:val="21"/>
                <w:szCs w:val="21"/>
                <w:lang w:val="en-GB"/>
              </w:rPr>
              <w:t xml:space="preserve"> closed-type PCR Platforms with automated Nucleic Acid isolation</w:t>
            </w:r>
            <w:r w:rsidRPr="00AF43A2">
              <w:rPr>
                <w:rFonts w:ascii="Arial" w:eastAsia="Calibri" w:hAnsi="Arial" w:cs="Calibri"/>
                <w:b/>
                <w:color w:val="1E1E1E" w:themeColor="background2"/>
                <w:sz w:val="21"/>
                <w:szCs w:val="21"/>
                <w:lang w:val="en-GB"/>
              </w:rPr>
              <w:t xml:space="preserve"> – </w:t>
            </w:r>
            <w:r w:rsidRPr="00AF43A2">
              <w:rPr>
                <w:rFonts w:ascii="Arial" w:eastAsia="Times New Roman" w:hAnsi="Arial" w:cs="Arial"/>
                <w:color w:val="1E1E1E" w:themeColor="background2"/>
                <w:sz w:val="21"/>
                <w:szCs w:val="21"/>
              </w:rPr>
              <w:t xml:space="preserve">According to current legislation, each Region procures its own machines and test systems from regional public budgets. This results in different types of PCR machines in all Regions, with some ensuring 50 ml sensitivity and others 1000 ml sensitivity. Currently, most regional laboratories use Russian VL test systems and </w:t>
            </w:r>
            <w:r w:rsidRPr="00AF43A2">
              <w:rPr>
                <w:rFonts w:ascii="Arial" w:eastAsia="Calibri" w:hAnsi="Arial" w:cs="Calibri"/>
                <w:color w:val="1E1E1E" w:themeColor="background2"/>
                <w:sz w:val="21"/>
                <w:szCs w:val="21"/>
                <w:lang w:val="en-GB"/>
              </w:rPr>
              <w:t xml:space="preserve">open-type PCR equipment with manual analysis </w:t>
            </w:r>
            <w:r w:rsidRPr="00AF43A2">
              <w:rPr>
                <w:rFonts w:ascii="Arial" w:eastAsia="Times New Roman" w:hAnsi="Arial" w:cs="Arial"/>
                <w:color w:val="1E1E1E" w:themeColor="background2"/>
                <w:sz w:val="21"/>
                <w:szCs w:val="21"/>
              </w:rPr>
              <w:t xml:space="preserve">that are not </w:t>
            </w:r>
            <w:r w:rsidRPr="00AF43A2">
              <w:rPr>
                <w:rFonts w:ascii="Arial" w:eastAsia="Times New Roman" w:hAnsi="Arial" w:cs="Arial"/>
                <w:color w:val="1E1E1E" w:themeColor="background2"/>
                <w:sz w:val="21"/>
                <w:szCs w:val="21"/>
              </w:rPr>
              <w:lastRenderedPageBreak/>
              <w:t xml:space="preserve">WHO pre-qualified. Despite the low cost of both machines and tests, they provide </w:t>
            </w:r>
            <w:r w:rsidRPr="00AF43A2">
              <w:rPr>
                <w:rFonts w:ascii="Arial" w:eastAsia="Times New Roman" w:hAnsi="Arial" w:cs="Arial"/>
                <w:b/>
                <w:i/>
                <w:color w:val="1E1E1E" w:themeColor="background2"/>
                <w:sz w:val="21"/>
                <w:szCs w:val="21"/>
              </w:rPr>
              <w:t xml:space="preserve">poor value for money, </w:t>
            </w:r>
            <w:r w:rsidRPr="00AF43A2">
              <w:rPr>
                <w:rFonts w:ascii="Arial" w:eastAsia="Times New Roman" w:hAnsi="Arial" w:cs="Arial"/>
                <w:color w:val="1E1E1E" w:themeColor="background2"/>
                <w:sz w:val="21"/>
                <w:szCs w:val="21"/>
              </w:rPr>
              <w:t xml:space="preserve">as they are characterised by low sensitivity; excessive manual labour to perform the tests; and high risk of incorrect results. In addition, some Regions witness stockouts of tests. </w:t>
            </w:r>
            <w:r w:rsidRPr="00AF43A2">
              <w:rPr>
                <w:rFonts w:ascii="Arial" w:eastAsia="Calibri" w:hAnsi="Arial" w:cs="Calibri"/>
                <w:color w:val="1E1E1E" w:themeColor="background2"/>
                <w:sz w:val="21"/>
                <w:szCs w:val="21"/>
                <w:lang w:val="en-GB"/>
              </w:rPr>
              <w:t>This significantly limits lab capacity with an ever-increasing number of PLHIV.</w:t>
            </w:r>
          </w:p>
          <w:p w14:paraId="23DD3949" w14:textId="77777777" w:rsidR="00B05117" w:rsidRPr="00AF43A2" w:rsidRDefault="00B05117" w:rsidP="000A0528">
            <w:pPr>
              <w:spacing w:after="0" w:line="240" w:lineRule="auto"/>
              <w:ind w:firstLine="284"/>
              <w:jc w:val="both"/>
              <w:rPr>
                <w:rFonts w:ascii="Arial" w:eastAsia="Calibri" w:hAnsi="Arial" w:cs="Calibri"/>
                <w:color w:val="1E1E1E" w:themeColor="background2"/>
                <w:sz w:val="21"/>
                <w:szCs w:val="21"/>
                <w:lang w:val="en-GB"/>
              </w:rPr>
            </w:pPr>
            <w:r w:rsidRPr="00AF43A2">
              <w:rPr>
                <w:rFonts w:ascii="Arial" w:eastAsia="Calibri" w:hAnsi="Arial" w:cs="Calibri"/>
                <w:color w:val="1E1E1E" w:themeColor="background2"/>
                <w:sz w:val="21"/>
                <w:szCs w:val="21"/>
                <w:lang w:val="en-GB"/>
              </w:rPr>
              <w:t>In this context, additional automatic PCR equipment is urgently needed, but is hampered by current procurement rules. I</w:t>
            </w:r>
            <w:r w:rsidRPr="00AF43A2">
              <w:rPr>
                <w:rFonts w:ascii="Arial" w:eastAsia="Times New Roman" w:hAnsi="Arial" w:cs="Arial"/>
                <w:color w:val="1E1E1E" w:themeColor="background2"/>
                <w:sz w:val="21"/>
                <w:szCs w:val="21"/>
              </w:rPr>
              <w:t xml:space="preserve">f a one-time national procurement is made with Global Fund support, the MOH will ensure procurement of tests and systems from the national budget going forward, which will reduce the risk of stock-outs, increase quality of treatment (standard 50 ml) and reduce costs for the test systems. Previous experience with the central procurement of </w:t>
            </w:r>
            <w:proofErr w:type="spellStart"/>
            <w:r w:rsidRPr="00AF43A2">
              <w:rPr>
                <w:rFonts w:ascii="Arial" w:eastAsia="Times New Roman" w:hAnsi="Arial" w:cs="Arial"/>
                <w:color w:val="1E1E1E" w:themeColor="background2"/>
                <w:sz w:val="21"/>
                <w:szCs w:val="21"/>
              </w:rPr>
              <w:t>Xpert</w:t>
            </w:r>
            <w:proofErr w:type="spellEnd"/>
            <w:r w:rsidRPr="00AF43A2">
              <w:rPr>
                <w:rFonts w:ascii="Arial" w:eastAsia="Times New Roman" w:hAnsi="Arial" w:cs="Arial"/>
                <w:color w:val="1E1E1E" w:themeColor="background2"/>
                <w:sz w:val="21"/>
                <w:szCs w:val="21"/>
              </w:rPr>
              <w:t xml:space="preserve"> cartridges for TB saw access increase substantially. In the current context of poor VL testing, central procurement of the laboratory equipment will contribute to medium and long-term programmatic sustainability and value for money.</w:t>
            </w:r>
          </w:p>
          <w:p w14:paraId="7B5CB6CB" w14:textId="028B0DC5" w:rsidR="00B05117" w:rsidRPr="00AF43A2" w:rsidRDefault="00B05117" w:rsidP="000A0528">
            <w:pPr>
              <w:spacing w:after="0" w:line="240" w:lineRule="auto"/>
              <w:ind w:firstLine="284"/>
              <w:jc w:val="both"/>
              <w:rPr>
                <w:rFonts w:ascii="Arial" w:eastAsia="Times New Roman" w:hAnsi="Arial" w:cs="Arial"/>
                <w:color w:val="1E1E1E" w:themeColor="background2"/>
                <w:sz w:val="21"/>
                <w:szCs w:val="21"/>
              </w:rPr>
            </w:pPr>
            <w:r w:rsidRPr="00AF43A2">
              <w:rPr>
                <w:rFonts w:ascii="Arial" w:eastAsia="Times New Roman" w:hAnsi="Arial" w:cs="Arial"/>
                <w:color w:val="1E1E1E" w:themeColor="background2"/>
                <w:sz w:val="21"/>
                <w:szCs w:val="21"/>
              </w:rPr>
              <w:t>Every year, Regional AIDS Centres carry out more than 42,000 tests for HV. In the case of regional procurement of varying types of automated platforms, the State will spend annually spend about KZT 1.1 billion (approx. USD 2.7 million) for the procurement of PCR reagents. On the other hand, central procurement of high-quality VL test systems and reagents will achieve a discount of up to 30%, and will save about KZT 330 million (approx. USD 820,000) each year, which can be directed to other needs.</w:t>
            </w:r>
          </w:p>
          <w:p w14:paraId="1AB73C25" w14:textId="1BB08063" w:rsidR="00B05117" w:rsidRPr="00AF43A2" w:rsidRDefault="00B05117" w:rsidP="000A0528">
            <w:pPr>
              <w:spacing w:after="0" w:line="240" w:lineRule="auto"/>
              <w:ind w:firstLine="284"/>
              <w:jc w:val="both"/>
              <w:rPr>
                <w:rFonts w:ascii="Arial" w:eastAsia="Calibri" w:hAnsi="Arial" w:cs="Calibri"/>
                <w:color w:val="1E1E1E" w:themeColor="background2"/>
                <w:sz w:val="21"/>
                <w:szCs w:val="21"/>
                <w:lang w:val="en-GB"/>
              </w:rPr>
            </w:pPr>
            <w:r w:rsidRPr="00AF43A2">
              <w:rPr>
                <w:rFonts w:ascii="Arial" w:eastAsia="Calibri" w:hAnsi="Arial" w:cs="Calibri"/>
                <w:b/>
                <w:i/>
                <w:color w:val="1E1E1E" w:themeColor="background2"/>
                <w:sz w:val="21"/>
                <w:szCs w:val="21"/>
                <w:lang w:val="en-GB"/>
              </w:rPr>
              <w:t xml:space="preserve">2) Procurement of viral load (VL) </w:t>
            </w:r>
            <w:r w:rsidR="000548BE" w:rsidRPr="00AF43A2">
              <w:rPr>
                <w:rFonts w:ascii="Arial" w:eastAsia="Calibri" w:hAnsi="Arial" w:cs="Calibri"/>
                <w:b/>
                <w:i/>
                <w:color w:val="1E1E1E" w:themeColor="background2"/>
                <w:sz w:val="21"/>
                <w:szCs w:val="21"/>
                <w:lang w:val="en-GB"/>
              </w:rPr>
              <w:t>PCR kits for the new</w:t>
            </w:r>
            <w:r w:rsidRPr="00AF43A2">
              <w:rPr>
                <w:rFonts w:ascii="Arial" w:eastAsia="Calibri" w:hAnsi="Arial" w:cs="Calibri"/>
                <w:b/>
                <w:i/>
                <w:color w:val="1E1E1E" w:themeColor="background2"/>
                <w:sz w:val="21"/>
                <w:szCs w:val="21"/>
                <w:lang w:val="en-GB"/>
              </w:rPr>
              <w:t xml:space="preserve"> </w:t>
            </w:r>
            <w:r w:rsidR="000548BE" w:rsidRPr="00AF43A2">
              <w:rPr>
                <w:rFonts w:ascii="Arial" w:eastAsia="Calibri" w:hAnsi="Arial" w:cs="Calibri"/>
                <w:b/>
                <w:i/>
                <w:color w:val="1E1E1E" w:themeColor="background2"/>
                <w:sz w:val="21"/>
                <w:szCs w:val="21"/>
                <w:lang w:val="en-GB"/>
              </w:rPr>
              <w:t xml:space="preserve">PCR platforms </w:t>
            </w:r>
            <w:r w:rsidR="000548BE" w:rsidRPr="00AF43A2">
              <w:rPr>
                <w:rFonts w:ascii="Arial" w:eastAsia="Calibri" w:hAnsi="Arial" w:cs="Calibri"/>
                <w:color w:val="1E1E1E" w:themeColor="background2"/>
                <w:sz w:val="21"/>
                <w:szCs w:val="21"/>
                <w:lang w:val="en-GB"/>
              </w:rPr>
              <w:t>(see previous)</w:t>
            </w:r>
            <w:r w:rsidRPr="00AF43A2">
              <w:rPr>
                <w:rFonts w:ascii="Arial" w:eastAsia="Calibri" w:hAnsi="Arial" w:cs="Calibri"/>
                <w:color w:val="1E1E1E" w:themeColor="background2"/>
                <w:sz w:val="21"/>
                <w:szCs w:val="21"/>
                <w:lang w:val="en-GB"/>
              </w:rPr>
              <w:t xml:space="preserve"> – To date, procurement of lab equipment </w:t>
            </w:r>
            <w:r w:rsidRPr="00AF43A2">
              <w:rPr>
                <w:rFonts w:ascii="Arial" w:eastAsia="Calibri" w:hAnsi="Arial" w:cs="Calibri"/>
                <w:color w:val="000000"/>
                <w:sz w:val="21"/>
                <w:szCs w:val="21"/>
                <w:lang w:val="en-GB"/>
              </w:rPr>
              <w:t xml:space="preserve">and consumables has been done locally. As a result, there is no unification of VL equipment and tests in Regional AIDS </w:t>
            </w:r>
            <w:r w:rsidRPr="00AF43A2">
              <w:rPr>
                <w:rFonts w:ascii="Arial" w:eastAsia="Calibri" w:hAnsi="Arial" w:cs="Calibri"/>
                <w:color w:val="1E1E1E" w:themeColor="background2"/>
                <w:sz w:val="21"/>
                <w:szCs w:val="21"/>
                <w:lang w:val="en-GB"/>
              </w:rPr>
              <w:t xml:space="preserve">Centres; while the systematic lack of funding leads to interruptions in VL monitoring. In this context, central procurement of </w:t>
            </w:r>
            <w:r w:rsidR="000548BE" w:rsidRPr="00AF43A2">
              <w:rPr>
                <w:rFonts w:ascii="Arial" w:eastAsia="Calibri" w:hAnsi="Arial" w:cs="Calibri"/>
                <w:color w:val="1E1E1E" w:themeColor="background2"/>
                <w:sz w:val="21"/>
                <w:szCs w:val="21"/>
                <w:lang w:val="en-GB"/>
              </w:rPr>
              <w:t xml:space="preserve">PCR test kits for </w:t>
            </w:r>
            <w:r w:rsidRPr="00AF43A2">
              <w:rPr>
                <w:rFonts w:ascii="Arial" w:eastAsia="Calibri" w:hAnsi="Arial" w:cs="Calibri"/>
                <w:color w:val="1E1E1E" w:themeColor="background2"/>
                <w:sz w:val="21"/>
                <w:szCs w:val="21"/>
                <w:lang w:val="en-GB"/>
              </w:rPr>
              <w:t xml:space="preserve">VL testing by the State is considered, but this new procedure will take many months. In this connection, partial support for the procurement of PCR </w:t>
            </w:r>
            <w:r w:rsidR="000548BE" w:rsidRPr="00AF43A2">
              <w:rPr>
                <w:rFonts w:ascii="Arial" w:eastAsia="Calibri" w:hAnsi="Arial" w:cs="Calibri"/>
                <w:color w:val="1E1E1E" w:themeColor="background2"/>
                <w:sz w:val="21"/>
                <w:szCs w:val="21"/>
                <w:lang w:val="en-GB"/>
              </w:rPr>
              <w:t>kits</w:t>
            </w:r>
            <w:r w:rsidRPr="00AF43A2">
              <w:rPr>
                <w:rFonts w:ascii="Arial" w:eastAsia="Calibri" w:hAnsi="Arial" w:cs="Calibri"/>
                <w:color w:val="1E1E1E" w:themeColor="background2"/>
                <w:sz w:val="21"/>
                <w:szCs w:val="21"/>
                <w:lang w:val="en-GB"/>
              </w:rPr>
              <w:t xml:space="preserve"> is requested</w:t>
            </w:r>
            <w:r w:rsidR="000548BE" w:rsidRPr="00AF43A2">
              <w:rPr>
                <w:rFonts w:ascii="Arial" w:eastAsia="Calibri" w:hAnsi="Arial" w:cs="Calibri"/>
                <w:color w:val="1E1E1E" w:themeColor="background2"/>
                <w:sz w:val="21"/>
                <w:szCs w:val="21"/>
                <w:lang w:val="en-GB"/>
              </w:rPr>
              <w:t xml:space="preserve"> </w:t>
            </w:r>
            <w:r w:rsidR="000548BE" w:rsidRPr="00AF43A2">
              <w:rPr>
                <w:rFonts w:ascii="Arial" w:eastAsia="Calibri" w:hAnsi="Arial" w:cs="Calibri"/>
                <w:b/>
                <w:i/>
                <w:color w:val="1E1E1E" w:themeColor="background2"/>
                <w:sz w:val="21"/>
                <w:szCs w:val="21"/>
                <w:lang w:val="en-GB"/>
              </w:rPr>
              <w:t>to bridge part of</w:t>
            </w:r>
            <w:r w:rsidRPr="00AF43A2">
              <w:rPr>
                <w:rFonts w:ascii="Arial" w:eastAsia="Calibri" w:hAnsi="Arial" w:cs="Calibri"/>
                <w:b/>
                <w:i/>
                <w:color w:val="1E1E1E" w:themeColor="background2"/>
                <w:sz w:val="21"/>
                <w:szCs w:val="21"/>
                <w:lang w:val="en-GB"/>
              </w:rPr>
              <w:t xml:space="preserve"> 2021 </w:t>
            </w:r>
            <w:r w:rsidRPr="00AF43A2">
              <w:rPr>
                <w:rFonts w:ascii="Arial" w:eastAsia="Calibri" w:hAnsi="Arial" w:cs="Calibri"/>
                <w:color w:val="1E1E1E" w:themeColor="background2"/>
                <w:sz w:val="21"/>
                <w:szCs w:val="21"/>
                <w:lang w:val="en-GB"/>
              </w:rPr>
              <w:t>(200 test kits; 30% of annual need)</w:t>
            </w:r>
            <w:r w:rsidR="000548BE" w:rsidRPr="00AF43A2">
              <w:rPr>
                <w:rFonts w:ascii="Arial" w:eastAsia="Calibri" w:hAnsi="Arial" w:cs="Calibri"/>
                <w:color w:val="1E1E1E" w:themeColor="background2"/>
                <w:sz w:val="21"/>
                <w:szCs w:val="21"/>
                <w:lang w:val="en-GB"/>
              </w:rPr>
              <w:t>, since the 2021 MOH budget has already been submitted and cannot include these PCR kits for the new PCR machines</w:t>
            </w:r>
            <w:r w:rsidRPr="00AF43A2">
              <w:rPr>
                <w:rFonts w:ascii="Arial" w:eastAsia="Calibri" w:hAnsi="Arial" w:cs="Calibri"/>
                <w:color w:val="1E1E1E" w:themeColor="background2"/>
                <w:sz w:val="21"/>
                <w:szCs w:val="21"/>
                <w:lang w:val="en-GB"/>
              </w:rPr>
              <w:t>.</w:t>
            </w:r>
          </w:p>
          <w:p w14:paraId="5DFDF600" w14:textId="66D756FB" w:rsidR="00A520EB" w:rsidRPr="00AF43A2" w:rsidRDefault="00A520EB"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 xml:space="preserve">3) </w:t>
            </w:r>
            <w:r w:rsidR="002E0025" w:rsidRPr="00AF43A2">
              <w:rPr>
                <w:rFonts w:eastAsia="Calibri" w:cstheme="minorHAnsi"/>
                <w:b/>
                <w:i/>
                <w:color w:val="1E1E1E" w:themeColor="background2"/>
                <w:sz w:val="21"/>
                <w:szCs w:val="21"/>
                <w:lang w:val="en-GB"/>
              </w:rPr>
              <w:t>Technical</w:t>
            </w:r>
            <w:r w:rsidRPr="00AF43A2">
              <w:rPr>
                <w:rFonts w:eastAsia="Calibri" w:cstheme="minorHAnsi"/>
                <w:b/>
                <w:i/>
                <w:color w:val="1E1E1E" w:themeColor="background2"/>
                <w:sz w:val="21"/>
                <w:szCs w:val="21"/>
                <w:lang w:val="en-GB"/>
              </w:rPr>
              <w:t xml:space="preserve"> support for Laboratory Diagnostics</w:t>
            </w:r>
            <w:r w:rsidRPr="00AF43A2">
              <w:rPr>
                <w:rFonts w:eastAsia="Calibri" w:cstheme="minorHAnsi"/>
                <w:b/>
                <w:color w:val="1E1E1E" w:themeColor="background2"/>
                <w:sz w:val="21"/>
                <w:szCs w:val="21"/>
                <w:lang w:val="en-GB"/>
              </w:rPr>
              <w:t xml:space="preserve"> </w:t>
            </w:r>
            <w:r w:rsidRPr="00D63D93">
              <w:rPr>
                <w:rFonts w:eastAsia="Calibri" w:cstheme="minorHAnsi"/>
                <w:color w:val="1E1E1E" w:themeColor="background2"/>
                <w:sz w:val="21"/>
                <w:szCs w:val="21"/>
                <w:lang w:val="en-GB"/>
              </w:rPr>
              <w:t>–</w:t>
            </w:r>
            <w:r w:rsidRPr="00AF43A2">
              <w:rPr>
                <w:rFonts w:eastAsia="Calibri" w:cstheme="minorHAnsi"/>
                <w:color w:val="1E1E1E" w:themeColor="background2"/>
                <w:sz w:val="21"/>
                <w:szCs w:val="21"/>
                <w:lang w:val="en-GB"/>
              </w:rPr>
              <w:t xml:space="preserve"> As a result of the completion of the ICAP project, the AIDS service lost international </w:t>
            </w:r>
            <w:r w:rsidR="002E0025" w:rsidRPr="00AF43A2">
              <w:rPr>
                <w:rFonts w:eastAsia="Calibri" w:cstheme="minorHAnsi"/>
                <w:color w:val="1E1E1E" w:themeColor="background2"/>
                <w:sz w:val="21"/>
                <w:szCs w:val="21"/>
                <w:lang w:val="en-GB"/>
              </w:rPr>
              <w:t xml:space="preserve">technical </w:t>
            </w:r>
            <w:r w:rsidRPr="00AF43A2">
              <w:rPr>
                <w:rFonts w:eastAsia="Calibri" w:cstheme="minorHAnsi"/>
                <w:color w:val="1E1E1E" w:themeColor="background2"/>
                <w:sz w:val="21"/>
                <w:szCs w:val="21"/>
                <w:lang w:val="en-GB"/>
              </w:rPr>
              <w:t xml:space="preserve">support </w:t>
            </w:r>
            <w:r w:rsidR="002E0025" w:rsidRPr="00AF43A2">
              <w:rPr>
                <w:rFonts w:eastAsia="Calibri" w:cstheme="minorHAnsi"/>
                <w:color w:val="1E1E1E" w:themeColor="background2"/>
                <w:sz w:val="21"/>
                <w:szCs w:val="21"/>
                <w:lang w:val="en-GB"/>
              </w:rPr>
              <w:t xml:space="preserve">for </w:t>
            </w:r>
            <w:r w:rsidRPr="00AF43A2">
              <w:rPr>
                <w:rFonts w:eastAsia="Calibri" w:cstheme="minorHAnsi"/>
                <w:color w:val="1E1E1E" w:themeColor="background2"/>
                <w:sz w:val="21"/>
                <w:szCs w:val="21"/>
                <w:lang w:val="en-GB"/>
              </w:rPr>
              <w:t>laboratory diagnostics</w:t>
            </w:r>
            <w:r w:rsidR="002E0025" w:rsidRPr="00AF43A2">
              <w:rPr>
                <w:rFonts w:eastAsia="Calibri" w:cstheme="minorHAnsi"/>
                <w:color w:val="1E1E1E" w:themeColor="background2"/>
                <w:sz w:val="21"/>
                <w:szCs w:val="21"/>
                <w:lang w:val="en-GB"/>
              </w:rPr>
              <w:t xml:space="preserve"> regarding</w:t>
            </w:r>
            <w:r w:rsidRPr="00AF43A2">
              <w:rPr>
                <w:rFonts w:eastAsia="Calibri" w:cstheme="minorHAnsi"/>
                <w:color w:val="1E1E1E" w:themeColor="background2"/>
                <w:sz w:val="21"/>
                <w:szCs w:val="21"/>
                <w:lang w:val="en-GB"/>
              </w:rPr>
              <w:t xml:space="preserve">: i) coordination between </w:t>
            </w:r>
            <w:r w:rsidR="001D3332" w:rsidRPr="00AF43A2">
              <w:rPr>
                <w:rFonts w:eastAsia="Calibri" w:cstheme="minorHAnsi"/>
                <w:color w:val="1E1E1E" w:themeColor="background2"/>
                <w:sz w:val="21"/>
                <w:szCs w:val="21"/>
                <w:lang w:val="en-GB"/>
              </w:rPr>
              <w:t>KNCDID</w:t>
            </w:r>
            <w:r w:rsidRPr="00AF43A2">
              <w:rPr>
                <w:rFonts w:eastAsia="Calibri" w:cstheme="minorHAnsi"/>
                <w:color w:val="1E1E1E" w:themeColor="background2"/>
                <w:sz w:val="21"/>
                <w:szCs w:val="21"/>
                <w:lang w:val="en-GB"/>
              </w:rPr>
              <w:t xml:space="preserve"> and Global Fund on HIV diagnostics, ART monitoring and biosafety; ii) development of quality standards for the lab system; iii) monitoring of AIDS laboratories; iv) assistance to external quality assurance; v) communication with labs in EECA region. Currently, </w:t>
            </w:r>
            <w:r w:rsidR="001D3332" w:rsidRPr="00AF43A2">
              <w:rPr>
                <w:rFonts w:eastAsia="Calibri" w:cstheme="minorHAnsi"/>
                <w:color w:val="1E1E1E" w:themeColor="background2"/>
                <w:sz w:val="21"/>
                <w:szCs w:val="21"/>
                <w:lang w:val="en-GB"/>
              </w:rPr>
              <w:t>KNCDID</w:t>
            </w:r>
            <w:r w:rsidRPr="00AF43A2">
              <w:rPr>
                <w:rFonts w:eastAsia="Calibri" w:cstheme="minorHAnsi"/>
                <w:color w:val="1E1E1E" w:themeColor="background2"/>
                <w:sz w:val="21"/>
                <w:szCs w:val="21"/>
                <w:lang w:val="en-GB"/>
              </w:rPr>
              <w:t xml:space="preserve"> staffing does not provide for such a position; hence short-term support in 2021 is needed from the Global Fund to ensure continuity till January 2022.</w:t>
            </w:r>
          </w:p>
          <w:p w14:paraId="47969214" w14:textId="77777777" w:rsidR="00084391" w:rsidRPr="00AF43A2" w:rsidRDefault="00084391" w:rsidP="000A0528">
            <w:pPr>
              <w:spacing w:after="0" w:line="240" w:lineRule="auto"/>
              <w:jc w:val="both"/>
              <w:rPr>
                <w:rFonts w:eastAsia="Calibri" w:cstheme="minorHAnsi"/>
                <w:color w:val="1E1E1E" w:themeColor="background2"/>
                <w:sz w:val="21"/>
                <w:szCs w:val="21"/>
                <w:lang w:val="en-GB"/>
              </w:rPr>
            </w:pPr>
          </w:p>
          <w:p w14:paraId="766EF5D5" w14:textId="6F6C92BE" w:rsidR="00084391" w:rsidRPr="00AF43A2" w:rsidRDefault="00084391" w:rsidP="000A0528">
            <w:pPr>
              <w:spacing w:after="0" w:line="240" w:lineRule="auto"/>
              <w:jc w:val="both"/>
              <w:rPr>
                <w:rFonts w:eastAsia="Calibri" w:cstheme="minorHAnsi"/>
                <w:color w:val="1E1E1E" w:themeColor="background2"/>
                <w:sz w:val="21"/>
                <w:szCs w:val="21"/>
                <w:lang w:val="en-GB"/>
              </w:rPr>
            </w:pPr>
            <w:r w:rsidRPr="00AF43A2">
              <w:rPr>
                <w:rFonts w:eastAsia="Calibri" w:cstheme="minorHAnsi"/>
                <w:b/>
                <w:color w:val="1E1E1E" w:themeColor="background2"/>
                <w:sz w:val="21"/>
                <w:szCs w:val="21"/>
                <w:lang w:val="en-GB"/>
              </w:rPr>
              <w:t xml:space="preserve">3. </w:t>
            </w:r>
            <w:r w:rsidRPr="00AF43A2">
              <w:rPr>
                <w:rFonts w:eastAsia="Calibri" w:cstheme="minorHAnsi"/>
                <w:b/>
                <w:color w:val="1E1E1E" w:themeColor="background2"/>
                <w:sz w:val="21"/>
                <w:szCs w:val="21"/>
                <w:u w:val="single"/>
                <w:lang w:val="en-GB"/>
              </w:rPr>
              <w:t>Strengthening systems-related sustainability</w:t>
            </w:r>
            <w:r w:rsidRPr="00AF43A2">
              <w:rPr>
                <w:rFonts w:eastAsia="Calibri" w:cstheme="minorHAnsi"/>
                <w:color w:val="1E1E1E" w:themeColor="background2"/>
                <w:sz w:val="21"/>
                <w:szCs w:val="21"/>
                <w:lang w:val="en-GB"/>
              </w:rPr>
              <w:t xml:space="preserve"> is a key aspect of sustainability. Civil society organisations play a key role in HIV prevention among KPs, as they focus on the communities where KPs live and work, and they are often more trusted by KPs than State institutions. Similarly, resilient health systems are essential to providing care, support and treatment to PLHIV, including KPs with HIV. Effective coordination, linkages and referral systems between community and State health systems are crucial for an effective continuum of care. In this regard, the Grant will support the following interventions: i) strengthening of the institutional capacity of NGO service providers; ii) Social mobilisation, building community linkages and coordination; </w:t>
            </w:r>
            <w:r w:rsidR="005937E4" w:rsidRPr="00AF43A2">
              <w:rPr>
                <w:rFonts w:eastAsia="Calibri" w:cstheme="minorHAnsi"/>
                <w:color w:val="1E1E1E" w:themeColor="background2"/>
                <w:sz w:val="21"/>
                <w:szCs w:val="21"/>
                <w:lang w:val="en-GB"/>
              </w:rPr>
              <w:t xml:space="preserve">and </w:t>
            </w:r>
            <w:r w:rsidRPr="00AF43A2">
              <w:rPr>
                <w:rFonts w:eastAsia="Calibri" w:cstheme="minorHAnsi"/>
                <w:color w:val="1E1E1E" w:themeColor="background2"/>
                <w:sz w:val="21"/>
                <w:szCs w:val="21"/>
                <w:lang w:val="en-GB"/>
              </w:rPr>
              <w:t>iii) Strengthening the integration and digitalisation of health information systems</w:t>
            </w:r>
            <w:r w:rsidR="005937E4" w:rsidRPr="00AF43A2">
              <w:rPr>
                <w:rFonts w:eastAsia="Calibri" w:cstheme="minorHAnsi"/>
                <w:color w:val="1E1E1E" w:themeColor="background2"/>
                <w:sz w:val="21"/>
                <w:szCs w:val="21"/>
                <w:lang w:val="en-GB"/>
              </w:rPr>
              <w:t>.</w:t>
            </w:r>
          </w:p>
          <w:p w14:paraId="19D9F427" w14:textId="77777777" w:rsidR="00084391" w:rsidRPr="00AF43A2" w:rsidRDefault="00084391" w:rsidP="000A0528">
            <w:pPr>
              <w:spacing w:after="0" w:line="240" w:lineRule="auto"/>
              <w:jc w:val="both"/>
              <w:rPr>
                <w:rFonts w:eastAsia="Calibri" w:cstheme="minorHAnsi"/>
                <w:color w:val="1E1E1E" w:themeColor="background2"/>
                <w:sz w:val="8"/>
                <w:szCs w:val="8"/>
                <w:lang w:val="en-GB"/>
              </w:rPr>
            </w:pPr>
          </w:p>
          <w:p w14:paraId="597834BD" w14:textId="176D4524"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r w:rsidRPr="00AF43A2">
              <w:rPr>
                <w:rFonts w:eastAsia="Calibri" w:cstheme="minorHAnsi"/>
                <w:b/>
                <w:i/>
                <w:color w:val="1E1E1E" w:themeColor="background2"/>
                <w:sz w:val="21"/>
                <w:szCs w:val="21"/>
                <w:lang w:val="en-GB"/>
              </w:rPr>
              <w:t>Intervention 6.1</w:t>
            </w:r>
            <w:r w:rsidRPr="00AF43A2">
              <w:rPr>
                <w:rFonts w:eastAsia="Calibri" w:cstheme="minorHAnsi"/>
                <w:color w:val="1E1E1E" w:themeColor="background2"/>
                <w:sz w:val="21"/>
                <w:szCs w:val="21"/>
                <w:lang w:val="en-GB"/>
              </w:rPr>
              <w:t xml:space="preserve">: </w:t>
            </w:r>
            <w:r w:rsidRPr="00AF43A2">
              <w:rPr>
                <w:rFonts w:eastAsia="Calibri" w:cstheme="minorHAnsi"/>
                <w:b/>
                <w:i/>
                <w:color w:val="1E1E1E" w:themeColor="background2"/>
                <w:sz w:val="21"/>
                <w:szCs w:val="21"/>
                <w:lang w:val="en-GB"/>
              </w:rPr>
              <w:t>Institutional capacity building, planning and leadership development</w:t>
            </w:r>
            <w:r w:rsidRPr="00AF43A2">
              <w:rPr>
                <w:rFonts w:eastAsia="Calibri" w:cstheme="minorHAnsi"/>
                <w:color w:val="1E1E1E" w:themeColor="background2"/>
                <w:sz w:val="21"/>
                <w:szCs w:val="21"/>
                <w:lang w:val="en-GB"/>
              </w:rPr>
              <w:t xml:space="preserve"> – While considerable investments have been made to strengthen civil society, the number and capacity of NGO HIV service providers remain limited, especially for MSM and TG. Strengthening their institutional capacity will contribute to: i) improved service delivery; ii) better coordination and collaboration with State institutions; and iii) improved networking and partnerships at the national and local level with authorities and decision makers, with a view to facilitating mobilisation of resources from authorities (e.g. social contracting). </w:t>
            </w:r>
            <w:r w:rsidRPr="00AF43A2">
              <w:rPr>
                <w:rFonts w:eastAsia="Calibri" w:cstheme="minorHAnsi"/>
                <w:b/>
                <w:i/>
                <w:color w:val="1E1E1E" w:themeColor="background2"/>
                <w:sz w:val="21"/>
                <w:szCs w:val="21"/>
                <w:lang w:val="en-GB"/>
              </w:rPr>
              <w:t>Specific activities</w:t>
            </w:r>
            <w:r w:rsidRPr="00AF43A2">
              <w:rPr>
                <w:rFonts w:eastAsia="Calibri" w:cstheme="minorHAnsi"/>
                <w:color w:val="1E1E1E" w:themeColor="background2"/>
                <w:sz w:val="21"/>
                <w:szCs w:val="21"/>
                <w:lang w:val="en-GB"/>
              </w:rPr>
              <w:t xml:space="preserve"> include</w:t>
            </w:r>
            <w:r w:rsidR="003A4216">
              <w:rPr>
                <w:rFonts w:eastAsia="Calibri" w:cstheme="minorHAnsi"/>
                <w:color w:val="1E1E1E" w:themeColor="background2"/>
                <w:sz w:val="21"/>
                <w:szCs w:val="21"/>
                <w:lang w:val="en-GB"/>
              </w:rPr>
              <w:t xml:space="preserve"> i</w:t>
            </w:r>
            <w:r w:rsidRPr="00AF43A2">
              <w:rPr>
                <w:rFonts w:eastAsia="Calibri" w:cstheme="minorHAnsi"/>
                <w:color w:val="1E1E1E" w:themeColor="background2"/>
                <w:sz w:val="21"/>
                <w:szCs w:val="21"/>
                <w:lang w:val="en-GB"/>
              </w:rPr>
              <w:t>nstitutional capacity strengthening throughout the 3 years of the grant through: i) webinars</w:t>
            </w:r>
            <w:r w:rsidR="0059448C">
              <w:rPr>
                <w:rFonts w:eastAsia="Calibri" w:cstheme="minorHAnsi"/>
                <w:color w:val="1E1E1E" w:themeColor="background2"/>
                <w:sz w:val="21"/>
                <w:szCs w:val="21"/>
                <w:lang w:val="en-GB"/>
              </w:rPr>
              <w:t xml:space="preserve"> (available to all 17 Regions)</w:t>
            </w:r>
            <w:r w:rsidRPr="00AF43A2">
              <w:rPr>
                <w:rFonts w:eastAsia="Calibri" w:cstheme="minorHAnsi"/>
                <w:color w:val="1E1E1E" w:themeColor="background2"/>
                <w:sz w:val="21"/>
                <w:szCs w:val="21"/>
                <w:lang w:val="en-GB"/>
              </w:rPr>
              <w:t>; ii) training workshops and iii) on-site mentoring to strengthen NGO systems</w:t>
            </w:r>
            <w:r w:rsidR="0059448C">
              <w:rPr>
                <w:rFonts w:eastAsia="Calibri" w:cstheme="minorHAnsi"/>
                <w:color w:val="1E1E1E" w:themeColor="background2"/>
                <w:sz w:val="21"/>
                <w:szCs w:val="21"/>
                <w:lang w:val="en-GB"/>
              </w:rPr>
              <w:t xml:space="preserve"> in 8 priority Regions</w:t>
            </w:r>
            <w:r w:rsidRPr="00AF43A2">
              <w:rPr>
                <w:rFonts w:eastAsia="Calibri" w:cstheme="minorHAnsi"/>
                <w:color w:val="1E1E1E" w:themeColor="background2"/>
                <w:sz w:val="21"/>
                <w:szCs w:val="21"/>
                <w:lang w:val="en-GB"/>
              </w:rPr>
              <w:t xml:space="preserve">. The focus will be on strengthening NGO </w:t>
            </w:r>
            <w:r w:rsidRPr="00AF43A2">
              <w:rPr>
                <w:rFonts w:eastAsia="Calibri" w:cstheme="minorHAnsi"/>
                <w:b/>
                <w:i/>
                <w:color w:val="1E1E1E" w:themeColor="background2"/>
                <w:sz w:val="21"/>
                <w:szCs w:val="21"/>
                <w:lang w:val="en-GB"/>
              </w:rPr>
              <w:t>systems</w:t>
            </w:r>
            <w:r w:rsidRPr="00AF43A2">
              <w:rPr>
                <w:rFonts w:eastAsia="Calibri" w:cstheme="minorHAnsi"/>
                <w:color w:val="1E1E1E" w:themeColor="background2"/>
                <w:sz w:val="21"/>
                <w:szCs w:val="21"/>
                <w:lang w:val="en-GB"/>
              </w:rPr>
              <w:t xml:space="preserve"> – rather than merely staff training – in 8 regions where the grant will support programmes for KPs and PLHIV</w:t>
            </w:r>
            <w:r w:rsidR="00EA6921" w:rsidRPr="00AF43A2">
              <w:rPr>
                <w:rFonts w:eastAsia="Calibri" w:cstheme="minorHAnsi"/>
                <w:color w:val="1E1E1E" w:themeColor="background2"/>
                <w:sz w:val="21"/>
                <w:szCs w:val="21"/>
                <w:lang w:val="en-GB"/>
              </w:rPr>
              <w:t xml:space="preserve"> (Karaganda (MSM/TG, PWID, PLHIV), Nur-Sultan (MSM/TG, PWID, PLHIV), Shymkent (MSM/TG), Aktobe (MSM/TG), Pavlodar (MSM/TG), East-Kazakhstan (MSM/TG), Kostanay (PWID) and Almaty </w:t>
            </w:r>
            <w:r w:rsidR="00EA6921" w:rsidRPr="00AF43A2">
              <w:rPr>
                <w:rFonts w:eastAsia="Calibri" w:cstheme="minorHAnsi"/>
                <w:i/>
                <w:color w:val="1E1E1E" w:themeColor="background2"/>
                <w:sz w:val="21"/>
                <w:szCs w:val="21"/>
                <w:lang w:val="en-GB"/>
              </w:rPr>
              <w:t>Region</w:t>
            </w:r>
            <w:r w:rsidR="00EA6921" w:rsidRPr="00AF43A2">
              <w:rPr>
                <w:rFonts w:eastAsia="Calibri" w:cstheme="minorHAnsi"/>
                <w:color w:val="1E1E1E" w:themeColor="background2"/>
                <w:sz w:val="21"/>
                <w:szCs w:val="21"/>
                <w:lang w:val="en-GB"/>
              </w:rPr>
              <w:t xml:space="preserve"> (PLHIV).</w:t>
            </w:r>
          </w:p>
          <w:p w14:paraId="738C15D1" w14:textId="77777777"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p>
          <w:p w14:paraId="602DE6FD" w14:textId="099279EF"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Intervention 6.2</w:t>
            </w:r>
            <w:r w:rsidRPr="00AF43A2">
              <w:rPr>
                <w:rFonts w:eastAsia="Calibri" w:cstheme="minorHAnsi"/>
                <w:color w:val="1E1E1E" w:themeColor="background2"/>
                <w:sz w:val="21"/>
                <w:szCs w:val="21"/>
                <w:lang w:val="en-GB"/>
              </w:rPr>
              <w:t xml:space="preserve">: </w:t>
            </w:r>
            <w:r w:rsidRPr="00AF43A2">
              <w:rPr>
                <w:rFonts w:eastAsia="Calibri" w:cstheme="minorHAnsi"/>
                <w:b/>
                <w:i/>
                <w:color w:val="1E1E1E" w:themeColor="background2"/>
                <w:sz w:val="21"/>
                <w:szCs w:val="21"/>
                <w:lang w:val="en-GB"/>
              </w:rPr>
              <w:t>Social mobilisation, building community linkages and coordination –</w:t>
            </w:r>
            <w:r w:rsidRPr="00AF43A2">
              <w:rPr>
                <w:rFonts w:eastAsia="Calibri" w:cstheme="minorHAnsi"/>
                <w:color w:val="1E1E1E" w:themeColor="background2"/>
                <w:sz w:val="21"/>
                <w:szCs w:val="21"/>
                <w:lang w:val="en-GB"/>
              </w:rPr>
              <w:t xml:space="preserve"> In addition to strengthening </w:t>
            </w:r>
            <w:r w:rsidRPr="00AF43A2">
              <w:rPr>
                <w:rFonts w:eastAsia="Calibri" w:cstheme="minorHAnsi"/>
                <w:i/>
                <w:color w:val="1E1E1E" w:themeColor="background2"/>
                <w:sz w:val="21"/>
                <w:szCs w:val="21"/>
                <w:lang w:val="en-GB"/>
              </w:rPr>
              <w:t>institutional capacity of NGOs</w:t>
            </w:r>
            <w:r w:rsidRPr="00AF43A2">
              <w:rPr>
                <w:rFonts w:eastAsia="Calibri" w:cstheme="minorHAnsi"/>
                <w:color w:val="1E1E1E" w:themeColor="background2"/>
                <w:sz w:val="21"/>
                <w:szCs w:val="21"/>
                <w:lang w:val="en-GB"/>
              </w:rPr>
              <w:t xml:space="preserve">, </w:t>
            </w:r>
            <w:r w:rsidRPr="00AF43A2">
              <w:rPr>
                <w:rFonts w:eastAsia="Calibri" w:cstheme="minorHAnsi"/>
                <w:b/>
                <w:i/>
                <w:color w:val="1E1E1E" w:themeColor="background2"/>
                <w:sz w:val="21"/>
                <w:szCs w:val="21"/>
                <w:lang w:val="en-GB"/>
              </w:rPr>
              <w:t xml:space="preserve">strengthening </w:t>
            </w:r>
            <w:r w:rsidR="001B60CA" w:rsidRPr="00AF43A2">
              <w:rPr>
                <w:rFonts w:eastAsia="Calibri" w:cstheme="minorHAnsi"/>
                <w:b/>
                <w:i/>
                <w:color w:val="1E1E1E" w:themeColor="background2"/>
                <w:sz w:val="21"/>
                <w:szCs w:val="21"/>
                <w:lang w:val="en-GB"/>
              </w:rPr>
              <w:t xml:space="preserve">partnerships and </w:t>
            </w:r>
            <w:r w:rsidRPr="00AF43A2">
              <w:rPr>
                <w:rFonts w:eastAsia="Calibri" w:cstheme="minorHAnsi"/>
                <w:b/>
                <w:i/>
                <w:color w:val="1E1E1E" w:themeColor="background2"/>
                <w:sz w:val="21"/>
                <w:szCs w:val="21"/>
                <w:lang w:val="en-GB"/>
              </w:rPr>
              <w:t xml:space="preserve">linkages between civil </w:t>
            </w:r>
            <w:r w:rsidRPr="004557FC">
              <w:rPr>
                <w:rFonts w:eastAsia="Calibri" w:cstheme="minorHAnsi"/>
                <w:b/>
                <w:i/>
                <w:color w:val="1E1E1E" w:themeColor="background2"/>
                <w:sz w:val="21"/>
                <w:szCs w:val="21"/>
                <w:lang w:val="en-GB"/>
              </w:rPr>
              <w:t>society and Government</w:t>
            </w:r>
            <w:r w:rsidRPr="004557FC">
              <w:rPr>
                <w:rFonts w:eastAsia="Calibri" w:cstheme="minorHAnsi"/>
                <w:color w:val="1E1E1E" w:themeColor="background2"/>
                <w:sz w:val="21"/>
                <w:szCs w:val="21"/>
                <w:lang w:val="en-GB"/>
              </w:rPr>
              <w:t xml:space="preserve"> institutions is key to effective collaboration </w:t>
            </w:r>
            <w:r w:rsidRPr="0004163B">
              <w:rPr>
                <w:rFonts w:eastAsia="Calibri" w:cstheme="minorHAnsi"/>
                <w:color w:val="1E1E1E" w:themeColor="background2"/>
                <w:sz w:val="21"/>
                <w:szCs w:val="21"/>
                <w:lang w:val="en-GB"/>
              </w:rPr>
              <w:lastRenderedPageBreak/>
              <w:t>and partnerships, and thus contributes to the sustainability of services and referral networks</w:t>
            </w:r>
            <w:r w:rsidR="001B60CA" w:rsidRPr="0004163B">
              <w:rPr>
                <w:rFonts w:eastAsia="Calibri" w:cstheme="minorHAnsi"/>
                <w:color w:val="1E1E1E" w:themeColor="background2"/>
                <w:sz w:val="21"/>
                <w:szCs w:val="21"/>
                <w:lang w:val="en-GB"/>
              </w:rPr>
              <w:t xml:space="preserve"> </w:t>
            </w:r>
            <w:r w:rsidR="001B60CA" w:rsidRPr="0004163B">
              <w:rPr>
                <w:rFonts w:eastAsia="Calibri" w:cstheme="minorHAnsi"/>
                <w:i/>
                <w:color w:val="1E1E1E" w:themeColor="background2"/>
                <w:sz w:val="21"/>
                <w:szCs w:val="21"/>
                <w:lang w:val="en-GB"/>
              </w:rPr>
              <w:t>(</w:t>
            </w:r>
            <w:r w:rsidR="007B19B4" w:rsidRPr="0004163B">
              <w:rPr>
                <w:rFonts w:eastAsia="Calibri" w:cstheme="minorHAnsi"/>
                <w:i/>
                <w:color w:val="1E1E1E" w:themeColor="background2"/>
                <w:sz w:val="21"/>
                <w:szCs w:val="21"/>
                <w:lang w:val="en-GB"/>
              </w:rPr>
              <w:t xml:space="preserve">see </w:t>
            </w:r>
            <w:r w:rsidR="007B19B4" w:rsidRPr="0004163B">
              <w:rPr>
                <w:rFonts w:cstheme="minorHAnsi"/>
                <w:bCs/>
                <w:i/>
                <w:iCs/>
                <w:color w:val="1E1E1E" w:themeColor="background2"/>
                <w:sz w:val="21"/>
              </w:rPr>
              <w:t>“Assessment of Readiness of the Republic of Kazakhstan to Ensure the Sustainability of HIV-related Services with Funding from the State Budget;</w:t>
            </w:r>
            <w:r w:rsidR="007B19B4" w:rsidRPr="0004163B">
              <w:rPr>
                <w:rFonts w:eastAsia="Calibri" w:cstheme="minorHAnsi"/>
                <w:i/>
                <w:color w:val="1E1E1E" w:themeColor="background2"/>
                <w:sz w:val="21"/>
                <w:szCs w:val="21"/>
                <w:lang w:val="en-GB"/>
              </w:rPr>
              <w:t xml:space="preserve"> </w:t>
            </w:r>
            <w:r w:rsidR="00F279ED" w:rsidRPr="004557FC">
              <w:rPr>
                <w:rFonts w:eastAsia="Calibri" w:cstheme="minorHAnsi"/>
                <w:i/>
                <w:color w:val="1E1E1E" w:themeColor="background2"/>
                <w:sz w:val="21"/>
                <w:szCs w:val="21"/>
                <w:lang w:val="en-GB"/>
              </w:rPr>
              <w:t>p.</w:t>
            </w:r>
            <w:r w:rsidR="004557FC" w:rsidRPr="004557FC">
              <w:rPr>
                <w:rFonts w:eastAsia="Calibri" w:cstheme="minorHAnsi"/>
                <w:i/>
                <w:color w:val="1E1E1E" w:themeColor="background2"/>
                <w:sz w:val="21"/>
                <w:szCs w:val="21"/>
                <w:lang w:val="en-GB"/>
              </w:rPr>
              <w:t>21</w:t>
            </w:r>
            <w:r w:rsidR="001B60CA" w:rsidRPr="004557FC">
              <w:rPr>
                <w:rFonts w:eastAsia="Calibri" w:cstheme="minorHAnsi"/>
                <w:i/>
                <w:color w:val="1E1E1E" w:themeColor="background2"/>
                <w:sz w:val="21"/>
                <w:szCs w:val="21"/>
                <w:lang w:val="en-GB"/>
              </w:rPr>
              <w:t>)</w:t>
            </w:r>
            <w:r w:rsidRPr="004557FC">
              <w:rPr>
                <w:rFonts w:eastAsia="Calibri" w:cstheme="minorHAnsi"/>
                <w:color w:val="1E1E1E" w:themeColor="background2"/>
                <w:sz w:val="21"/>
                <w:szCs w:val="21"/>
                <w:lang w:val="en-GB"/>
              </w:rPr>
              <w:t xml:space="preserve">. Such Government-NGO partnerships are the basis for: i) National and local </w:t>
            </w:r>
            <w:r w:rsidRPr="004557FC">
              <w:rPr>
                <w:rFonts w:eastAsia="Calibri" w:cstheme="minorHAnsi"/>
                <w:i/>
                <w:color w:val="1E1E1E" w:themeColor="background2"/>
                <w:sz w:val="21"/>
                <w:szCs w:val="21"/>
                <w:lang w:val="en-GB"/>
              </w:rPr>
              <w:t>resource mobilisation and social contracting</w:t>
            </w:r>
            <w:r w:rsidRPr="004557FC">
              <w:rPr>
                <w:rFonts w:eastAsia="Calibri" w:cstheme="minorHAnsi"/>
                <w:color w:val="1E1E1E" w:themeColor="background2"/>
                <w:sz w:val="21"/>
                <w:szCs w:val="21"/>
                <w:lang w:val="en-GB"/>
              </w:rPr>
              <w:t xml:space="preserve">; ii) Effective </w:t>
            </w:r>
            <w:r w:rsidRPr="004557FC">
              <w:rPr>
                <w:rFonts w:eastAsia="Calibri" w:cstheme="minorHAnsi"/>
                <w:i/>
                <w:color w:val="1E1E1E" w:themeColor="background2"/>
                <w:sz w:val="21"/>
                <w:szCs w:val="21"/>
                <w:lang w:val="en-GB"/>
              </w:rPr>
              <w:t xml:space="preserve">referral networks </w:t>
            </w:r>
            <w:r w:rsidRPr="004557FC">
              <w:rPr>
                <w:rFonts w:eastAsia="Calibri" w:cstheme="minorHAnsi"/>
                <w:color w:val="1E1E1E" w:themeColor="background2"/>
                <w:sz w:val="21"/>
                <w:szCs w:val="21"/>
                <w:lang w:val="en-GB"/>
              </w:rPr>
              <w:t>for HIV/STI prevention, treatment and care between government and NGO service providers;</w:t>
            </w:r>
            <w:r w:rsidR="00335EBE" w:rsidRPr="004557FC">
              <w:rPr>
                <w:rFonts w:eastAsia="Calibri" w:cstheme="minorHAnsi"/>
                <w:color w:val="1E1E1E" w:themeColor="background2"/>
                <w:sz w:val="21"/>
                <w:szCs w:val="21"/>
                <w:lang w:val="en-GB"/>
              </w:rPr>
              <w:t xml:space="preserve"> including continuity of services, such as post</w:t>
            </w:r>
            <w:r w:rsidR="00335EBE" w:rsidRPr="00AF43A2">
              <w:rPr>
                <w:rFonts w:eastAsia="Calibri" w:cstheme="minorHAnsi"/>
                <w:color w:val="1E1E1E" w:themeColor="background2"/>
                <w:sz w:val="21"/>
                <w:szCs w:val="21"/>
                <w:lang w:val="en-GB"/>
              </w:rPr>
              <w:t>-release programmes;</w:t>
            </w:r>
            <w:r w:rsidRPr="00AF43A2">
              <w:rPr>
                <w:rFonts w:eastAsia="Calibri" w:cstheme="minorHAnsi"/>
                <w:color w:val="1E1E1E" w:themeColor="background2"/>
                <w:sz w:val="21"/>
                <w:szCs w:val="21"/>
                <w:lang w:val="en-GB"/>
              </w:rPr>
              <w:t xml:space="preserve"> iii) </w:t>
            </w:r>
            <w:r w:rsidRPr="00AF43A2">
              <w:rPr>
                <w:rFonts w:eastAsia="Calibri" w:cstheme="minorHAnsi"/>
                <w:i/>
                <w:color w:val="1E1E1E" w:themeColor="background2"/>
                <w:sz w:val="21"/>
                <w:szCs w:val="21"/>
                <w:lang w:val="en-GB"/>
              </w:rPr>
              <w:t xml:space="preserve">Joint </w:t>
            </w:r>
            <w:r w:rsidR="0059448C">
              <w:rPr>
                <w:rFonts w:eastAsia="Calibri" w:cstheme="minorHAnsi"/>
                <w:i/>
                <w:color w:val="1E1E1E" w:themeColor="background2"/>
                <w:sz w:val="21"/>
                <w:szCs w:val="21"/>
                <w:lang w:val="en-GB"/>
              </w:rPr>
              <w:t>sensitisation</w:t>
            </w:r>
            <w:r w:rsidRPr="00AF43A2">
              <w:rPr>
                <w:rFonts w:eastAsia="Calibri" w:cstheme="minorHAnsi"/>
                <w:i/>
                <w:color w:val="1E1E1E" w:themeColor="background2"/>
                <w:sz w:val="21"/>
                <w:szCs w:val="21"/>
                <w:lang w:val="en-GB"/>
              </w:rPr>
              <w:t xml:space="preserve"> and planning</w:t>
            </w:r>
            <w:r w:rsidRPr="00AF43A2">
              <w:rPr>
                <w:rFonts w:eastAsia="Calibri" w:cstheme="minorHAnsi"/>
                <w:color w:val="1E1E1E" w:themeColor="background2"/>
                <w:sz w:val="21"/>
                <w:szCs w:val="21"/>
                <w:lang w:val="en-GB"/>
              </w:rPr>
              <w:t xml:space="preserve"> for sustainable local HIV/STI responses and related health and social problems; iv) Joint programmes by government and NGOs on HIV/STIs, TB, harm reduction, and other diseases such as Hepatitis B and C. </w:t>
            </w:r>
            <w:r w:rsidRPr="00AF43A2">
              <w:rPr>
                <w:rFonts w:eastAsia="Calibri" w:cstheme="minorHAnsi"/>
                <w:b/>
                <w:i/>
                <w:color w:val="1E1E1E" w:themeColor="background2"/>
                <w:sz w:val="21"/>
                <w:szCs w:val="21"/>
                <w:lang w:val="en-GB"/>
              </w:rPr>
              <w:t>Specific activities</w:t>
            </w:r>
            <w:r w:rsidRPr="00AF43A2">
              <w:rPr>
                <w:rFonts w:eastAsia="Calibri" w:cstheme="minorHAnsi"/>
                <w:color w:val="1E1E1E" w:themeColor="background2"/>
                <w:sz w:val="21"/>
                <w:szCs w:val="21"/>
                <w:lang w:val="en-GB"/>
              </w:rPr>
              <w:t xml:space="preserve"> include </w:t>
            </w:r>
            <w:r w:rsidRPr="00AF43A2">
              <w:rPr>
                <w:rFonts w:eastAsia="Calibri" w:cstheme="minorHAnsi"/>
                <w:b/>
                <w:i/>
                <w:color w:val="1E1E1E" w:themeColor="background2"/>
                <w:sz w:val="21"/>
                <w:szCs w:val="21"/>
                <w:lang w:val="en-GB"/>
              </w:rPr>
              <w:t xml:space="preserve">ongoing </w:t>
            </w:r>
            <w:r w:rsidR="0059448C">
              <w:rPr>
                <w:rFonts w:eastAsia="Calibri" w:cstheme="minorHAnsi"/>
                <w:b/>
                <w:i/>
                <w:color w:val="1E1E1E" w:themeColor="background2"/>
                <w:sz w:val="21"/>
                <w:szCs w:val="21"/>
                <w:lang w:val="en-GB"/>
              </w:rPr>
              <w:t>sensitisation</w:t>
            </w:r>
            <w:r w:rsidRPr="00AF43A2">
              <w:rPr>
                <w:rFonts w:eastAsia="Calibri" w:cstheme="minorHAnsi"/>
                <w:b/>
                <w:i/>
                <w:color w:val="1E1E1E" w:themeColor="background2"/>
                <w:sz w:val="21"/>
                <w:szCs w:val="21"/>
                <w:lang w:val="en-GB"/>
              </w:rPr>
              <w:t xml:space="preserve"> and community-mobilisation to strengthen partnerships between </w:t>
            </w:r>
            <w:r w:rsidRPr="00AF43A2">
              <w:rPr>
                <w:rFonts w:eastAsia="Calibri" w:cstheme="minorHAnsi"/>
                <w:color w:val="1E1E1E" w:themeColor="background2"/>
                <w:sz w:val="21"/>
                <w:szCs w:val="21"/>
                <w:lang w:val="en-GB"/>
              </w:rPr>
              <w:t>1) national and 2) regional and akimat government sectors, Ministries and NGOs providing services to KPs</w:t>
            </w:r>
            <w:r w:rsidR="00335EBE" w:rsidRPr="00AF43A2">
              <w:rPr>
                <w:rFonts w:eastAsia="Calibri" w:cstheme="minorHAnsi"/>
                <w:color w:val="1E1E1E" w:themeColor="background2"/>
                <w:sz w:val="21"/>
                <w:szCs w:val="21"/>
                <w:lang w:val="en-GB"/>
              </w:rPr>
              <w:t>; as well as other sta</w:t>
            </w:r>
            <w:r w:rsidR="00F279ED">
              <w:rPr>
                <w:rFonts w:eastAsia="Calibri" w:cstheme="minorHAnsi"/>
                <w:color w:val="1E1E1E" w:themeColor="background2"/>
                <w:sz w:val="21"/>
                <w:szCs w:val="21"/>
                <w:lang w:val="en-GB"/>
              </w:rPr>
              <w:t>k</w:t>
            </w:r>
            <w:r w:rsidR="00335EBE" w:rsidRPr="00AF43A2">
              <w:rPr>
                <w:rFonts w:eastAsia="Calibri" w:cstheme="minorHAnsi"/>
                <w:color w:val="1E1E1E" w:themeColor="background2"/>
                <w:sz w:val="21"/>
                <w:szCs w:val="21"/>
                <w:lang w:val="en-GB"/>
              </w:rPr>
              <w:t>eholders, such as Prison authorities</w:t>
            </w:r>
            <w:r w:rsidRPr="00AF43A2">
              <w:rPr>
                <w:rFonts w:eastAsia="Calibri" w:cstheme="minorHAnsi"/>
                <w:color w:val="1E1E1E" w:themeColor="background2"/>
                <w:sz w:val="21"/>
                <w:szCs w:val="21"/>
                <w:lang w:val="en-GB"/>
              </w:rPr>
              <w:t>.</w:t>
            </w:r>
            <w:r w:rsidR="00E264A8" w:rsidRPr="00AF43A2">
              <w:rPr>
                <w:rFonts w:eastAsia="Calibri" w:cstheme="minorHAnsi"/>
                <w:color w:val="1E1E1E" w:themeColor="background2"/>
                <w:sz w:val="21"/>
                <w:szCs w:val="21"/>
                <w:lang w:val="en-GB"/>
              </w:rPr>
              <w:t xml:space="preserve"> In addition, </w:t>
            </w:r>
            <w:r w:rsidR="00CB09AD" w:rsidRPr="00AF43A2">
              <w:rPr>
                <w:rFonts w:eastAsia="Calibri" w:cstheme="minorHAnsi"/>
                <w:color w:val="1E1E1E" w:themeColor="background2"/>
                <w:sz w:val="21"/>
                <w:szCs w:val="21"/>
                <w:lang w:val="en-GB"/>
              </w:rPr>
              <w:t>this will strengthen civil society capacity for community-based monitoring.</w:t>
            </w:r>
          </w:p>
          <w:p w14:paraId="5C035FAF" w14:textId="77777777" w:rsidR="00084391" w:rsidRPr="00AF43A2" w:rsidRDefault="00084391" w:rsidP="000A0528">
            <w:pPr>
              <w:spacing w:after="0" w:line="240" w:lineRule="auto"/>
              <w:jc w:val="both"/>
              <w:rPr>
                <w:rFonts w:eastAsia="Calibri" w:cstheme="minorHAnsi"/>
                <w:color w:val="1E1E1E" w:themeColor="background2"/>
                <w:sz w:val="8"/>
                <w:szCs w:val="8"/>
                <w:lang w:val="en-GB"/>
              </w:rPr>
            </w:pPr>
          </w:p>
          <w:p w14:paraId="087AAC5F" w14:textId="5192E35B"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r w:rsidRPr="00AF43A2">
              <w:rPr>
                <w:rFonts w:eastAsia="Calibri" w:cstheme="minorHAnsi"/>
                <w:b/>
                <w:i/>
                <w:color w:val="1E1E1E" w:themeColor="background2"/>
                <w:sz w:val="21"/>
                <w:szCs w:val="21"/>
                <w:lang w:val="en-GB"/>
              </w:rPr>
              <w:t>Intervention 7.1</w:t>
            </w:r>
            <w:r w:rsidRPr="00AF43A2">
              <w:rPr>
                <w:rFonts w:eastAsia="Calibri" w:cstheme="minorHAnsi"/>
                <w:color w:val="1E1E1E" w:themeColor="background2"/>
                <w:sz w:val="21"/>
                <w:szCs w:val="21"/>
                <w:lang w:val="en-GB"/>
              </w:rPr>
              <w:t xml:space="preserve">: </w:t>
            </w:r>
            <w:r w:rsidRPr="00AF43A2">
              <w:rPr>
                <w:rFonts w:eastAsia="Calibri" w:cstheme="minorHAnsi"/>
                <w:b/>
                <w:i/>
                <w:color w:val="1E1E1E" w:themeColor="background2"/>
                <w:sz w:val="21"/>
                <w:szCs w:val="21"/>
                <w:lang w:val="en-GB"/>
              </w:rPr>
              <w:t>Strengthening Health Management and Information Systems and M&amp;E –</w:t>
            </w:r>
            <w:r w:rsidRPr="00AF43A2">
              <w:rPr>
                <w:rFonts w:eastAsia="Calibri" w:cstheme="minorHAnsi"/>
                <w:color w:val="1E1E1E" w:themeColor="background2"/>
                <w:sz w:val="21"/>
                <w:szCs w:val="21"/>
                <w:lang w:val="en-GB"/>
              </w:rPr>
              <w:t xml:space="preserve"> Currently, Kazakhstan is strengthening the availability and effectiveness of medical care through the integration of information systems, </w:t>
            </w:r>
            <w:r w:rsidRPr="004557FC">
              <w:rPr>
                <w:rFonts w:eastAsia="Calibri" w:cstheme="minorHAnsi"/>
                <w:color w:val="1E1E1E" w:themeColor="background2"/>
                <w:sz w:val="21"/>
                <w:szCs w:val="21"/>
                <w:lang w:val="en-GB"/>
              </w:rPr>
              <w:t xml:space="preserve">the use of mobile digital applications, the introduction of electronic health passports and the transition to paperless </w:t>
            </w:r>
            <w:r w:rsidR="00183C77" w:rsidRPr="004557FC">
              <w:rPr>
                <w:rFonts w:eastAsia="Calibri" w:cstheme="minorHAnsi"/>
                <w:color w:val="1E1E1E" w:themeColor="background2"/>
                <w:sz w:val="21"/>
                <w:szCs w:val="21"/>
                <w:lang w:val="en-GB"/>
              </w:rPr>
              <w:t xml:space="preserve">hospitals. </w:t>
            </w:r>
            <w:r w:rsidR="00CB1AC0" w:rsidRPr="004557FC">
              <w:rPr>
                <w:rFonts w:eastAsia="Calibri" w:cstheme="minorHAnsi"/>
                <w:color w:val="1E1E1E" w:themeColor="background2"/>
                <w:sz w:val="21"/>
                <w:szCs w:val="21"/>
                <w:lang w:val="en-GB"/>
              </w:rPr>
              <w:t xml:space="preserve">The E-health Care programme is part of </w:t>
            </w:r>
            <w:r w:rsidR="00183C77" w:rsidRPr="004557FC">
              <w:rPr>
                <w:rFonts w:eastAsia="Calibri" w:cstheme="minorHAnsi"/>
                <w:color w:val="1E1E1E" w:themeColor="background2"/>
                <w:sz w:val="21"/>
                <w:szCs w:val="21"/>
                <w:lang w:val="en-GB"/>
              </w:rPr>
              <w:t xml:space="preserve">the </w:t>
            </w:r>
            <w:r w:rsidR="00CB1AC0" w:rsidRPr="004557FC">
              <w:rPr>
                <w:rFonts w:eastAsia="Calibri" w:cstheme="minorHAnsi"/>
                <w:color w:val="1E1E1E" w:themeColor="background2"/>
                <w:sz w:val="21"/>
                <w:szCs w:val="21"/>
                <w:lang w:val="en-GB"/>
              </w:rPr>
              <w:t>Government</w:t>
            </w:r>
            <w:r w:rsidR="00183C77" w:rsidRPr="004557FC">
              <w:rPr>
                <w:rFonts w:eastAsia="Calibri" w:cstheme="minorHAnsi"/>
                <w:color w:val="1E1E1E" w:themeColor="background2"/>
                <w:sz w:val="21"/>
                <w:szCs w:val="21"/>
                <w:lang w:val="en-GB"/>
              </w:rPr>
              <w:t>’s</w:t>
            </w:r>
            <w:r w:rsidR="00CB1AC0" w:rsidRPr="004557FC">
              <w:rPr>
                <w:rFonts w:eastAsia="Calibri" w:cstheme="minorHAnsi"/>
                <w:color w:val="1E1E1E" w:themeColor="background2"/>
                <w:sz w:val="21"/>
                <w:szCs w:val="21"/>
                <w:lang w:val="en-GB"/>
              </w:rPr>
              <w:t xml:space="preserve"> </w:t>
            </w:r>
            <w:r w:rsidR="00CB1AC0" w:rsidRPr="004557FC">
              <w:rPr>
                <w:rFonts w:eastAsia="Calibri" w:cstheme="minorHAnsi"/>
                <w:i/>
                <w:color w:val="1E1E1E" w:themeColor="background2"/>
                <w:sz w:val="21"/>
                <w:szCs w:val="21"/>
                <w:lang w:val="en-GB"/>
              </w:rPr>
              <w:t>“Digital Kazakhstan”</w:t>
            </w:r>
            <w:r w:rsidR="00CB1AC0" w:rsidRPr="004557FC">
              <w:rPr>
                <w:rFonts w:eastAsia="Calibri" w:cstheme="minorHAnsi"/>
                <w:color w:val="1E1E1E" w:themeColor="background2"/>
                <w:sz w:val="21"/>
                <w:szCs w:val="21"/>
                <w:lang w:val="en-GB"/>
              </w:rPr>
              <w:t xml:space="preserve"> </w:t>
            </w:r>
            <w:r w:rsidR="00183C77" w:rsidRPr="004557FC">
              <w:rPr>
                <w:rFonts w:eastAsia="Calibri" w:cstheme="minorHAnsi"/>
                <w:color w:val="1E1E1E" w:themeColor="background2"/>
                <w:sz w:val="21"/>
                <w:szCs w:val="21"/>
                <w:lang w:val="en-GB"/>
              </w:rPr>
              <w:t xml:space="preserve">programme, </w:t>
            </w:r>
            <w:r w:rsidR="00CB1AC0" w:rsidRPr="004557FC">
              <w:rPr>
                <w:rFonts w:eastAsia="Calibri" w:cstheme="minorHAnsi"/>
                <w:color w:val="1E1E1E" w:themeColor="background2"/>
                <w:sz w:val="21"/>
                <w:szCs w:val="21"/>
                <w:lang w:val="en-GB"/>
              </w:rPr>
              <w:t>which aims to increase living standards of citizens, using digital techniques</w:t>
            </w:r>
            <w:r w:rsidR="00183C77" w:rsidRPr="004557FC">
              <w:rPr>
                <w:rStyle w:val="af"/>
                <w:rFonts w:eastAsia="Calibri" w:cstheme="minorHAnsi"/>
                <w:color w:val="1E1E1E" w:themeColor="background2"/>
                <w:sz w:val="21"/>
                <w:szCs w:val="21"/>
              </w:rPr>
              <w:footnoteReference w:id="10"/>
            </w:r>
            <w:r w:rsidRPr="004557FC">
              <w:rPr>
                <w:rFonts w:eastAsia="Calibri" w:cstheme="minorHAnsi"/>
                <w:color w:val="1E1E1E" w:themeColor="background2"/>
                <w:sz w:val="21"/>
                <w:szCs w:val="21"/>
                <w:lang w:val="en-GB"/>
              </w:rPr>
              <w:t xml:space="preserve">. In this context, a </w:t>
            </w:r>
            <w:r w:rsidRPr="004557FC">
              <w:rPr>
                <w:rFonts w:eastAsia="Calibri" w:cstheme="minorHAnsi"/>
                <w:b/>
                <w:i/>
                <w:color w:val="1E1E1E" w:themeColor="background2"/>
                <w:sz w:val="21"/>
                <w:szCs w:val="21"/>
                <w:lang w:val="en-GB"/>
              </w:rPr>
              <w:t>Database of Individual Client Records</w:t>
            </w:r>
            <w:r w:rsidRPr="004557FC">
              <w:rPr>
                <w:rFonts w:eastAsia="Calibri" w:cstheme="minorHAnsi"/>
                <w:color w:val="1E1E1E" w:themeColor="background2"/>
                <w:sz w:val="21"/>
                <w:szCs w:val="21"/>
                <w:lang w:val="en-GB"/>
              </w:rPr>
              <w:t xml:space="preserve"> (DICR) was developed in 2020, which</w:t>
            </w:r>
            <w:r w:rsidRPr="00AF43A2">
              <w:rPr>
                <w:rFonts w:eastAsia="Calibri" w:cstheme="minorHAnsi"/>
                <w:color w:val="1E1E1E" w:themeColor="background2"/>
                <w:sz w:val="21"/>
                <w:szCs w:val="21"/>
                <w:lang w:val="en-GB"/>
              </w:rPr>
              <w:t xml:space="preserve"> allows getting data on all indicators, with automatic breakdowns by test result, gender, age groups and type/place of coverage of KPs with preventive programmes. In 2021 and 2022, the grant will support the further improvement and roll-out of the DICR system, by introducing a system for identifying customers by QR code to all government and non-governmental organisations providing HIV services. Specific activities in this regard include: i) the development of the QR code system; ii) procurement of tablet computers for outreach workers at NGOs and AIDS Centres (with government co-financing tablets for government-run service points); and iii) Capacity building of HIV service providers and outreach workers on the use of the DICR system, including the QR codes.</w:t>
            </w:r>
          </w:p>
          <w:p w14:paraId="65336C49" w14:textId="77777777"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p>
          <w:p w14:paraId="02A94C8F" w14:textId="77777777" w:rsidR="00084391" w:rsidRPr="00AF43A2" w:rsidRDefault="00084391" w:rsidP="000A0528">
            <w:pPr>
              <w:spacing w:after="0" w:line="240" w:lineRule="auto"/>
              <w:jc w:val="both"/>
              <w:rPr>
                <w:rFonts w:eastAsia="Calibri" w:cstheme="minorHAnsi"/>
                <w:color w:val="1E1E1E" w:themeColor="background2"/>
                <w:sz w:val="28"/>
                <w:szCs w:val="21"/>
                <w:lang w:val="en-GB"/>
              </w:rPr>
            </w:pPr>
            <w:r w:rsidRPr="00AF43A2">
              <w:rPr>
                <w:rFonts w:eastAsia="Calibri" w:cstheme="minorHAnsi"/>
                <w:b/>
                <w:color w:val="1E1E1E" w:themeColor="background2"/>
                <w:sz w:val="21"/>
                <w:szCs w:val="21"/>
                <w:lang w:val="en-GB"/>
              </w:rPr>
              <w:t xml:space="preserve">4. </w:t>
            </w:r>
            <w:r w:rsidRPr="00AF43A2">
              <w:rPr>
                <w:rFonts w:eastAsia="Calibri" w:cstheme="minorHAnsi"/>
                <w:b/>
                <w:color w:val="1E1E1E" w:themeColor="background2"/>
                <w:sz w:val="21"/>
                <w:szCs w:val="21"/>
                <w:u w:val="single"/>
                <w:lang w:val="en-GB"/>
              </w:rPr>
              <w:t>Strengthening human rights-related sustainability</w:t>
            </w:r>
            <w:r w:rsidRPr="00AF43A2">
              <w:rPr>
                <w:rFonts w:eastAsia="Calibri" w:cstheme="minorHAnsi"/>
                <w:color w:val="1E1E1E" w:themeColor="background2"/>
                <w:sz w:val="21"/>
                <w:szCs w:val="21"/>
                <w:lang w:val="en-GB"/>
              </w:rPr>
              <w:t xml:space="preserve"> – Human rights-related barriers to HIV services are among the most hard-to-change, structural factors hampering sustainability. Key examples affecting the sustainability of HIV services include: i) stigma and discrimination of PLHIV and KPs in the health-care system; ii) de-prioritising key services for KPs (such as the systematic opposition to OST and harm reduction services for PWID in prisons); and iii) harassment of KPs by law-enforcement agents. In this context, the grant will support the following </w:t>
            </w:r>
            <w:r w:rsidRPr="00AF43A2">
              <w:rPr>
                <w:rFonts w:eastAsia="Calibri" w:cstheme="minorHAnsi"/>
                <w:b/>
                <w:i/>
                <w:color w:val="1E1E1E" w:themeColor="background2"/>
                <w:sz w:val="21"/>
                <w:szCs w:val="21"/>
                <w:lang w:val="en-GB"/>
              </w:rPr>
              <w:t>two interventions</w:t>
            </w:r>
            <w:r w:rsidRPr="00AF43A2">
              <w:rPr>
                <w:rFonts w:eastAsia="Calibri" w:cstheme="minorHAnsi"/>
                <w:color w:val="1E1E1E" w:themeColor="background2"/>
                <w:sz w:val="21"/>
                <w:szCs w:val="21"/>
                <w:lang w:val="en-GB"/>
              </w:rPr>
              <w:t>:</w:t>
            </w:r>
          </w:p>
          <w:p w14:paraId="33EAB8B5" w14:textId="77777777" w:rsidR="00084391" w:rsidRPr="00AF43A2" w:rsidRDefault="00084391" w:rsidP="000A0528">
            <w:pPr>
              <w:spacing w:after="0" w:line="240" w:lineRule="auto"/>
              <w:jc w:val="both"/>
              <w:rPr>
                <w:rFonts w:eastAsia="Calibri" w:cstheme="minorHAnsi"/>
                <w:color w:val="1E1E1E" w:themeColor="background2"/>
                <w:sz w:val="8"/>
                <w:szCs w:val="8"/>
                <w:lang w:val="en-GB"/>
              </w:rPr>
            </w:pPr>
          </w:p>
          <w:p w14:paraId="2566BB99" w14:textId="77777777" w:rsidR="00CB09AD" w:rsidRPr="00AF43A2" w:rsidRDefault="00084391" w:rsidP="000A0528">
            <w:pPr>
              <w:tabs>
                <w:tab w:val="left" w:pos="284"/>
              </w:tabs>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Intervention 4.1: Stigma and discrimination reduction</w:t>
            </w:r>
            <w:r w:rsidRPr="00AF43A2">
              <w:rPr>
                <w:rFonts w:eastAsia="Calibri" w:cstheme="minorHAnsi"/>
                <w:color w:val="1E1E1E" w:themeColor="background2"/>
                <w:sz w:val="21"/>
                <w:szCs w:val="21"/>
                <w:lang w:val="en-GB"/>
              </w:rPr>
              <w:t xml:space="preserve"> – Stigma and discrimination of PLHIV and KPs remain a barrier to accessing HIV-related and other health services. In this context a Stigma Index study is being conducted in 2020. The results of the first such study in 2015 revealed that most often PLHIV in Kazakhstan faced some discrimination from health workers: 25% of PLHIV faced disclosure of information about their HIV status; one-third of PLHIV did not receive counselling on their reproductive capabilities; and 25% of PLHIV were advised by health-care workers not have children. Injecting drug use and having been to prison further exacerbated this stigma and discrimination.</w:t>
            </w:r>
          </w:p>
          <w:p w14:paraId="4FA16A39" w14:textId="1CBF91F1" w:rsidR="00CB09AD" w:rsidRPr="00AF43A2" w:rsidRDefault="00CB09AD" w:rsidP="000A0528">
            <w:pPr>
              <w:tabs>
                <w:tab w:val="left" w:pos="284"/>
              </w:tabs>
              <w:spacing w:after="0" w:line="240" w:lineRule="auto"/>
              <w:ind w:firstLine="284"/>
              <w:jc w:val="both"/>
              <w:rPr>
                <w:rFonts w:eastAsia="Calibri" w:cstheme="minorHAnsi"/>
                <w:color w:val="FF0000"/>
                <w:sz w:val="21"/>
                <w:szCs w:val="21"/>
                <w:lang w:val="en-GB"/>
              </w:rPr>
            </w:pPr>
            <w:r w:rsidRPr="00AF43A2">
              <w:rPr>
                <w:rFonts w:eastAsia="Calibri" w:cstheme="minorHAnsi"/>
                <w:color w:val="1E1E1E" w:themeColor="background2"/>
                <w:sz w:val="21"/>
                <w:szCs w:val="21"/>
                <w:lang w:val="en-GB"/>
              </w:rPr>
              <w:t xml:space="preserve">1) </w:t>
            </w:r>
            <w:r w:rsidR="00084391" w:rsidRPr="00AF43A2">
              <w:rPr>
                <w:rFonts w:eastAsia="Calibri" w:cstheme="minorHAnsi"/>
                <w:color w:val="1E1E1E" w:themeColor="background2"/>
                <w:sz w:val="21"/>
                <w:szCs w:val="21"/>
                <w:lang w:val="en-GB"/>
              </w:rPr>
              <w:t xml:space="preserve">In this regard, in 2021, the grant will support the development </w:t>
            </w:r>
            <w:r w:rsidR="00084391" w:rsidRPr="00AF43A2">
              <w:rPr>
                <w:rFonts w:eastAsia="Calibri" w:cstheme="minorHAnsi"/>
                <w:b/>
                <w:i/>
                <w:color w:val="1E1E1E" w:themeColor="background2"/>
                <w:sz w:val="21"/>
                <w:szCs w:val="21"/>
                <w:lang w:val="en-GB"/>
              </w:rPr>
              <w:t xml:space="preserve">National Strategic Plan to advocate for the protection of the rights of PLHIV </w:t>
            </w:r>
            <w:r w:rsidR="00084391" w:rsidRPr="00AF43A2">
              <w:rPr>
                <w:rFonts w:eastAsia="Calibri" w:cstheme="minorHAnsi"/>
                <w:color w:val="1E1E1E" w:themeColor="background2"/>
                <w:sz w:val="21"/>
                <w:szCs w:val="21"/>
                <w:lang w:val="en-GB"/>
              </w:rPr>
              <w:t xml:space="preserve">and combat HIV-related stigma </w:t>
            </w:r>
            <w:r w:rsidR="00FE58D8">
              <w:rPr>
                <w:rFonts w:eastAsia="Calibri" w:cstheme="minorHAnsi"/>
                <w:color w:val="1E1E1E" w:themeColor="background2"/>
                <w:sz w:val="21"/>
                <w:szCs w:val="21"/>
                <w:lang w:val="en-GB"/>
              </w:rPr>
              <w:t>and</w:t>
            </w:r>
            <w:r w:rsidR="00084391" w:rsidRPr="00AF43A2">
              <w:rPr>
                <w:rFonts w:eastAsia="Calibri" w:cstheme="minorHAnsi"/>
                <w:color w:val="1E1E1E" w:themeColor="background2"/>
                <w:sz w:val="21"/>
                <w:szCs w:val="21"/>
                <w:lang w:val="en-GB"/>
              </w:rPr>
              <w:t xml:space="preserve"> discrimination, based on the results of </w:t>
            </w:r>
            <w:r w:rsidR="00EF75D0">
              <w:rPr>
                <w:rFonts w:eastAsia="Calibri" w:cstheme="minorHAnsi"/>
                <w:color w:val="1E1E1E" w:themeColor="background2"/>
                <w:sz w:val="21"/>
                <w:szCs w:val="21"/>
                <w:lang w:val="en-GB"/>
              </w:rPr>
              <w:t>the Stigma Index</w:t>
            </w:r>
            <w:r w:rsidR="00084391" w:rsidRPr="00AF43A2">
              <w:rPr>
                <w:rFonts w:eastAsia="Calibri" w:cstheme="minorHAnsi"/>
                <w:color w:val="1E1E1E" w:themeColor="background2"/>
                <w:sz w:val="21"/>
                <w:szCs w:val="21"/>
                <w:lang w:val="en-GB"/>
              </w:rPr>
              <w:t xml:space="preserve"> study in 2020.</w:t>
            </w:r>
            <w:r w:rsidR="00512463">
              <w:rPr>
                <w:rFonts w:eastAsia="Calibri" w:cstheme="minorHAnsi"/>
                <w:color w:val="1E1E1E" w:themeColor="background2"/>
                <w:sz w:val="21"/>
                <w:szCs w:val="21"/>
                <w:lang w:val="en-GB"/>
              </w:rPr>
              <w:t xml:space="preserve"> Special attention will be given to the gender-related disparities and vulnerabilities facing PLHIV.</w:t>
            </w:r>
          </w:p>
          <w:p w14:paraId="4EBCB86B" w14:textId="5E853491" w:rsidR="00084391" w:rsidRPr="00AF43A2" w:rsidRDefault="00CB09AD" w:rsidP="000A0528">
            <w:pPr>
              <w:tabs>
                <w:tab w:val="left" w:pos="284"/>
              </w:tabs>
              <w:spacing w:after="0" w:line="240" w:lineRule="auto"/>
              <w:ind w:firstLine="284"/>
              <w:jc w:val="both"/>
              <w:rPr>
                <w:rFonts w:eastAsia="Calibri" w:cstheme="minorHAnsi"/>
                <w:color w:val="1E1E1E" w:themeColor="background2"/>
                <w:sz w:val="8"/>
                <w:szCs w:val="8"/>
                <w:lang w:val="en-GB"/>
              </w:rPr>
            </w:pPr>
            <w:r w:rsidRPr="00AF43A2">
              <w:rPr>
                <w:rFonts w:eastAsia="Calibri" w:cstheme="minorHAnsi"/>
                <w:color w:val="1E1E1E" w:themeColor="background2"/>
                <w:sz w:val="21"/>
                <w:szCs w:val="21"/>
                <w:lang w:val="en-GB"/>
              </w:rPr>
              <w:t xml:space="preserve">2) </w:t>
            </w:r>
            <w:r w:rsidR="00084391" w:rsidRPr="00AF43A2">
              <w:rPr>
                <w:rFonts w:eastAsia="Calibri" w:cstheme="minorHAnsi"/>
                <w:color w:val="1E1E1E" w:themeColor="background2"/>
                <w:sz w:val="21"/>
                <w:szCs w:val="21"/>
                <w:lang w:val="en-GB"/>
              </w:rPr>
              <w:t xml:space="preserve">In addition, in 2023, the grant will support a </w:t>
            </w:r>
            <w:r w:rsidR="00084391" w:rsidRPr="00AF43A2">
              <w:rPr>
                <w:rFonts w:eastAsia="Calibri" w:cstheme="minorHAnsi"/>
                <w:b/>
                <w:i/>
                <w:color w:val="1E1E1E" w:themeColor="background2"/>
                <w:sz w:val="21"/>
                <w:szCs w:val="21"/>
                <w:lang w:val="en-GB"/>
              </w:rPr>
              <w:t>follow-up Stigma Index study among 700 PLHIV</w:t>
            </w:r>
            <w:r w:rsidR="00084391" w:rsidRPr="00AF43A2">
              <w:rPr>
                <w:rFonts w:eastAsia="Calibri" w:cstheme="minorHAnsi"/>
                <w:color w:val="1E1E1E" w:themeColor="background2"/>
                <w:sz w:val="21"/>
                <w:szCs w:val="21"/>
                <w:lang w:val="en-GB"/>
              </w:rPr>
              <w:t xml:space="preserve"> to allow monitoring trends and further inform the national response to stigma and discrimination, including the adjustment of legislation and policies.</w:t>
            </w:r>
            <w:r w:rsidR="00754C4E">
              <w:rPr>
                <w:rFonts w:eastAsia="Calibri" w:cstheme="minorHAnsi"/>
                <w:color w:val="1E1E1E" w:themeColor="background2"/>
                <w:sz w:val="21"/>
                <w:szCs w:val="21"/>
                <w:lang w:val="en-GB"/>
              </w:rPr>
              <w:t xml:space="preserve"> Special attention will be given to gender-related </w:t>
            </w:r>
            <w:r w:rsidR="005F6938">
              <w:rPr>
                <w:rFonts w:eastAsia="Calibri" w:cstheme="minorHAnsi"/>
                <w:color w:val="1E1E1E" w:themeColor="background2"/>
                <w:sz w:val="21"/>
                <w:szCs w:val="21"/>
                <w:lang w:val="en-GB"/>
              </w:rPr>
              <w:t>stigma towards PLHIV.</w:t>
            </w:r>
          </w:p>
          <w:p w14:paraId="38FBC859" w14:textId="77777777" w:rsidR="00084391" w:rsidRPr="00AF43A2" w:rsidRDefault="00084391" w:rsidP="000A0528">
            <w:pPr>
              <w:tabs>
                <w:tab w:val="left" w:pos="284"/>
              </w:tabs>
              <w:spacing w:after="0" w:line="240" w:lineRule="auto"/>
              <w:jc w:val="both"/>
              <w:rPr>
                <w:rFonts w:eastAsia="Calibri" w:cstheme="minorHAnsi"/>
                <w:color w:val="1E1E1E" w:themeColor="background2"/>
                <w:sz w:val="8"/>
                <w:szCs w:val="8"/>
                <w:lang w:val="en-GB"/>
              </w:rPr>
            </w:pPr>
          </w:p>
          <w:p w14:paraId="2E41D241" w14:textId="51A2D987" w:rsidR="00084391" w:rsidRPr="00F279ED"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Intervention 4.2: HIV and HIV/TB- related legal services</w:t>
            </w:r>
            <w:r w:rsidRPr="00AF43A2">
              <w:rPr>
                <w:rFonts w:eastAsia="Calibri" w:cstheme="minorHAnsi"/>
                <w:color w:val="1E1E1E" w:themeColor="background2"/>
                <w:sz w:val="21"/>
                <w:szCs w:val="21"/>
                <w:lang w:val="en-GB"/>
              </w:rPr>
              <w:t xml:space="preserve"> – Legal support is a key service for PLHIV and KPs in cases when their human rights are violated or in cases of stigma, discrimination or abuse by law enforcement officials. In this regard, experiences with so-called </w:t>
            </w:r>
            <w:r w:rsidRPr="00AF43A2">
              <w:rPr>
                <w:rFonts w:eastAsia="Calibri" w:cstheme="minorHAnsi"/>
                <w:b/>
                <w:i/>
                <w:color w:val="1E1E1E" w:themeColor="background2"/>
                <w:sz w:val="21"/>
                <w:szCs w:val="21"/>
                <w:lang w:val="en-GB"/>
              </w:rPr>
              <w:t>“Street lawyers”</w:t>
            </w:r>
            <w:r w:rsidRPr="00AF43A2">
              <w:rPr>
                <w:rFonts w:eastAsia="Calibri" w:cstheme="minorHAnsi"/>
                <w:color w:val="1E1E1E" w:themeColor="background2"/>
                <w:sz w:val="21"/>
                <w:szCs w:val="21"/>
                <w:lang w:val="en-GB"/>
              </w:rPr>
              <w:t xml:space="preserve"> in Central Asia have shown their success in overcoming legal barriers to access to treatment and other violations of their rights. </w:t>
            </w:r>
            <w:r w:rsidRPr="00AF43A2">
              <w:rPr>
                <w:rFonts w:eastAsia="Calibri" w:cstheme="minorHAnsi"/>
                <w:i/>
                <w:color w:val="1E1E1E" w:themeColor="background2"/>
                <w:sz w:val="21"/>
                <w:szCs w:val="21"/>
                <w:lang w:val="en-GB"/>
              </w:rPr>
              <w:t>Street lawyers</w:t>
            </w:r>
            <w:r w:rsidRPr="00AF43A2">
              <w:rPr>
                <w:rFonts w:eastAsia="Calibri" w:cstheme="minorHAnsi"/>
                <w:color w:val="1E1E1E" w:themeColor="background2"/>
                <w:sz w:val="21"/>
                <w:szCs w:val="21"/>
                <w:lang w:val="en-GB"/>
              </w:rPr>
              <w:t xml:space="preserve"> provide community-based, </w:t>
            </w:r>
            <w:r w:rsidRPr="00AF43A2">
              <w:rPr>
                <w:rFonts w:eastAsia="Calibri" w:cstheme="minorHAnsi"/>
                <w:color w:val="1E1E1E" w:themeColor="background2"/>
                <w:sz w:val="21"/>
                <w:szCs w:val="21"/>
                <w:lang w:val="en-GB"/>
              </w:rPr>
              <w:lastRenderedPageBreak/>
              <w:t xml:space="preserve">low-threshold access to legal support for the most vulnerable populations, including PWID, MSM, TG people and sex workers. They can respond to the legal needs of entire communities through mediation, negotiations, education, legal advice and public campaigns. In addition, complex cases can be referred to professional lawyers. Without such legal support, it will be difficult to achieve the 90-90-90 test-treatment cascade goals. The grant will support the following specific activities: </w:t>
            </w:r>
            <w:r w:rsidRPr="00AF43A2">
              <w:rPr>
                <w:rFonts w:eastAsia="Calibri" w:cstheme="minorHAnsi"/>
                <w:b/>
                <w:i/>
                <w:color w:val="1E1E1E" w:themeColor="background2"/>
                <w:sz w:val="21"/>
                <w:szCs w:val="21"/>
                <w:lang w:val="en-GB"/>
              </w:rPr>
              <w:t>1) the recruitment and training of 1</w:t>
            </w:r>
            <w:r w:rsidR="00012782" w:rsidRPr="00AF43A2">
              <w:rPr>
                <w:rFonts w:eastAsia="Calibri" w:cstheme="minorHAnsi"/>
                <w:b/>
                <w:i/>
                <w:color w:val="1E1E1E" w:themeColor="background2"/>
                <w:sz w:val="21"/>
                <w:szCs w:val="21"/>
                <w:lang w:val="en-GB"/>
              </w:rPr>
              <w:t>7</w:t>
            </w:r>
            <w:r w:rsidRPr="00AF43A2">
              <w:rPr>
                <w:rFonts w:eastAsia="Calibri" w:cstheme="minorHAnsi"/>
                <w:b/>
                <w:i/>
                <w:color w:val="1E1E1E" w:themeColor="background2"/>
                <w:sz w:val="21"/>
                <w:szCs w:val="21"/>
                <w:lang w:val="en-GB"/>
              </w:rPr>
              <w:t xml:space="preserve"> Street lawyers</w:t>
            </w:r>
            <w:r w:rsidRPr="00AF43A2">
              <w:rPr>
                <w:rFonts w:eastAsia="Calibri" w:cstheme="minorHAnsi"/>
                <w:color w:val="1E1E1E" w:themeColor="background2"/>
                <w:sz w:val="21"/>
                <w:szCs w:val="21"/>
                <w:lang w:val="en-GB"/>
              </w:rPr>
              <w:t xml:space="preserve"> from among outreach and social workers from AIDS Centres and NGOs in </w:t>
            </w:r>
            <w:r w:rsidR="00012782" w:rsidRPr="00AF43A2">
              <w:rPr>
                <w:rFonts w:eastAsia="Calibri" w:cstheme="minorHAnsi"/>
                <w:color w:val="1E1E1E" w:themeColor="background2"/>
                <w:sz w:val="21"/>
                <w:szCs w:val="21"/>
                <w:lang w:val="en-GB"/>
              </w:rPr>
              <w:t>all 17</w:t>
            </w:r>
            <w:r w:rsidRPr="00AF43A2">
              <w:rPr>
                <w:rFonts w:eastAsia="Calibri" w:cstheme="minorHAnsi"/>
                <w:color w:val="1E1E1E" w:themeColor="background2"/>
                <w:sz w:val="21"/>
                <w:szCs w:val="21"/>
                <w:lang w:val="en-GB"/>
              </w:rPr>
              <w:t xml:space="preserve"> Regions and cities with high numbers of KPs living with HIV. This includes training and ongoing support through monthly online webinars by a legal expert. </w:t>
            </w:r>
            <w:r w:rsidRPr="00AF43A2">
              <w:rPr>
                <w:rFonts w:eastAsia="Calibri" w:cstheme="minorHAnsi"/>
                <w:b/>
                <w:i/>
                <w:color w:val="1E1E1E" w:themeColor="background2"/>
                <w:sz w:val="21"/>
                <w:szCs w:val="21"/>
                <w:lang w:val="en-GB"/>
              </w:rPr>
              <w:t xml:space="preserve">2) Provision of Legal assistance by </w:t>
            </w:r>
            <w:r w:rsidR="00012782" w:rsidRPr="00AF43A2">
              <w:rPr>
                <w:rFonts w:eastAsia="Calibri" w:cstheme="minorHAnsi"/>
                <w:b/>
                <w:i/>
                <w:color w:val="1E1E1E" w:themeColor="background2"/>
                <w:sz w:val="21"/>
                <w:szCs w:val="21"/>
                <w:lang w:val="en-GB"/>
              </w:rPr>
              <w:t>17</w:t>
            </w:r>
            <w:r w:rsidRPr="00AF43A2">
              <w:rPr>
                <w:rFonts w:eastAsia="Calibri" w:cstheme="minorHAnsi"/>
                <w:b/>
                <w:i/>
                <w:color w:val="1E1E1E" w:themeColor="background2"/>
                <w:sz w:val="21"/>
                <w:szCs w:val="21"/>
                <w:lang w:val="en-GB"/>
              </w:rPr>
              <w:t xml:space="preserve"> Street Lawyers to PLHIV and KPs in </w:t>
            </w:r>
            <w:r w:rsidR="00012782" w:rsidRPr="00AF43A2">
              <w:rPr>
                <w:rFonts w:eastAsia="Calibri" w:cstheme="minorHAnsi"/>
                <w:b/>
                <w:i/>
                <w:color w:val="1E1E1E" w:themeColor="background2"/>
                <w:sz w:val="21"/>
                <w:szCs w:val="21"/>
                <w:lang w:val="en-GB"/>
              </w:rPr>
              <w:t>all</w:t>
            </w:r>
            <w:r w:rsidRPr="00AF43A2">
              <w:rPr>
                <w:rFonts w:eastAsia="Calibri" w:cstheme="minorHAnsi"/>
                <w:b/>
                <w:i/>
                <w:color w:val="1E1E1E" w:themeColor="background2"/>
                <w:sz w:val="21"/>
                <w:szCs w:val="21"/>
                <w:lang w:val="en-GB"/>
              </w:rPr>
              <w:t xml:space="preserve"> Regions </w:t>
            </w:r>
            <w:r w:rsidRPr="00AF43A2">
              <w:rPr>
                <w:rFonts w:eastAsia="Calibri" w:cstheme="minorHAnsi"/>
                <w:color w:val="1E1E1E" w:themeColor="background2"/>
                <w:sz w:val="21"/>
                <w:szCs w:val="21"/>
                <w:lang w:val="en-GB"/>
              </w:rPr>
              <w:t xml:space="preserve">to address legal barriers to health-care access, cases of stigma </w:t>
            </w:r>
            <w:r w:rsidR="00012782" w:rsidRPr="00AF43A2">
              <w:rPr>
                <w:rFonts w:eastAsia="Calibri" w:cstheme="minorHAnsi"/>
                <w:color w:val="1E1E1E" w:themeColor="background2"/>
                <w:sz w:val="21"/>
                <w:szCs w:val="21"/>
                <w:lang w:val="en-GB"/>
              </w:rPr>
              <w:t>and</w:t>
            </w:r>
            <w:r w:rsidRPr="00AF43A2">
              <w:rPr>
                <w:rFonts w:eastAsia="Calibri" w:cstheme="minorHAnsi"/>
                <w:color w:val="1E1E1E" w:themeColor="background2"/>
                <w:sz w:val="21"/>
                <w:szCs w:val="21"/>
                <w:lang w:val="en-GB"/>
              </w:rPr>
              <w:t xml:space="preserve"> discrimination, and other human rights violations. </w:t>
            </w:r>
            <w:r w:rsidR="00754C4E">
              <w:rPr>
                <w:rFonts w:eastAsia="Calibri" w:cstheme="minorHAnsi"/>
                <w:color w:val="1E1E1E" w:themeColor="background2"/>
                <w:sz w:val="21"/>
                <w:szCs w:val="21"/>
                <w:lang w:val="en-GB"/>
              </w:rPr>
              <w:t xml:space="preserve">Special attention will be given to gender-specific legal barriers, e.g. the authority over their children of women who use drugs or engage in sex work. </w:t>
            </w:r>
            <w:r w:rsidRPr="00AF43A2">
              <w:rPr>
                <w:rFonts w:eastAsia="Calibri" w:cstheme="minorHAnsi"/>
                <w:color w:val="1E1E1E" w:themeColor="background2"/>
                <w:sz w:val="21"/>
                <w:szCs w:val="21"/>
                <w:lang w:val="en-GB"/>
              </w:rPr>
              <w:t xml:space="preserve">In addition, Shadow reports on cases of Human rights violations will be submitted to Government and UN agencies in 2022 and 2023. </w:t>
            </w:r>
            <w:r w:rsidRPr="00AF43A2">
              <w:rPr>
                <w:rFonts w:eastAsia="Calibri" w:cstheme="minorHAnsi"/>
                <w:b/>
                <w:i/>
                <w:color w:val="1E1E1E" w:themeColor="background2"/>
                <w:sz w:val="21"/>
                <w:szCs w:val="21"/>
                <w:lang w:val="en-GB"/>
              </w:rPr>
              <w:t xml:space="preserve">3) Legal support by </w:t>
            </w:r>
            <w:r w:rsidR="00CB09AD" w:rsidRPr="00AF43A2">
              <w:rPr>
                <w:rFonts w:eastAsia="Calibri" w:cstheme="minorHAnsi"/>
                <w:b/>
                <w:i/>
                <w:color w:val="1E1E1E" w:themeColor="background2"/>
                <w:sz w:val="21"/>
                <w:szCs w:val="21"/>
                <w:lang w:val="en-GB"/>
              </w:rPr>
              <w:t xml:space="preserve">9 </w:t>
            </w:r>
            <w:r w:rsidRPr="00AF43A2">
              <w:rPr>
                <w:rFonts w:eastAsia="Calibri" w:cstheme="minorHAnsi"/>
                <w:b/>
                <w:i/>
                <w:color w:val="1E1E1E" w:themeColor="background2"/>
                <w:sz w:val="21"/>
                <w:szCs w:val="21"/>
                <w:lang w:val="en-GB"/>
              </w:rPr>
              <w:t xml:space="preserve">professional lawyers </w:t>
            </w:r>
            <w:r w:rsidRPr="00AF43A2">
              <w:rPr>
                <w:rFonts w:eastAsia="Calibri" w:cstheme="minorHAnsi"/>
                <w:color w:val="1E1E1E" w:themeColor="background2"/>
                <w:sz w:val="21"/>
                <w:szCs w:val="21"/>
                <w:lang w:val="en-GB"/>
              </w:rPr>
              <w:t>will back up the work of street lawyers</w:t>
            </w:r>
            <w:r w:rsidR="00CB09AD" w:rsidRPr="00AF43A2">
              <w:rPr>
                <w:rFonts w:eastAsia="Calibri" w:cstheme="minorHAnsi"/>
                <w:color w:val="1E1E1E" w:themeColor="background2"/>
                <w:sz w:val="21"/>
                <w:szCs w:val="21"/>
                <w:lang w:val="en-GB"/>
              </w:rPr>
              <w:t xml:space="preserve"> in all regions</w:t>
            </w:r>
            <w:r w:rsidRPr="00AF43A2">
              <w:rPr>
                <w:rFonts w:eastAsia="Calibri" w:cstheme="minorHAnsi"/>
                <w:color w:val="1E1E1E" w:themeColor="background2"/>
                <w:sz w:val="21"/>
                <w:szCs w:val="21"/>
                <w:lang w:val="en-GB"/>
              </w:rPr>
              <w:t xml:space="preserve"> in complex cases</w:t>
            </w:r>
            <w:r w:rsidR="00120293" w:rsidRPr="00AF43A2">
              <w:rPr>
                <w:rFonts w:eastAsia="Calibri" w:cstheme="minorHAnsi"/>
                <w:color w:val="1E1E1E" w:themeColor="background2"/>
                <w:sz w:val="21"/>
                <w:szCs w:val="21"/>
                <w:lang w:val="en-GB"/>
              </w:rPr>
              <w:t>; and they will provide formal supervision, quality assurance and mentorship to street lawyers</w:t>
            </w:r>
            <w:r w:rsidRPr="00AF43A2">
              <w:rPr>
                <w:rFonts w:eastAsia="Calibri" w:cstheme="minorHAnsi"/>
                <w:color w:val="1E1E1E" w:themeColor="background2"/>
                <w:sz w:val="21"/>
                <w:szCs w:val="21"/>
                <w:lang w:val="en-GB"/>
              </w:rPr>
              <w:t xml:space="preserve">. As of </w:t>
            </w:r>
            <w:r w:rsidRPr="00F279ED">
              <w:rPr>
                <w:rFonts w:eastAsia="Calibri" w:cstheme="minorHAnsi"/>
                <w:color w:val="1E1E1E" w:themeColor="background2"/>
                <w:sz w:val="21"/>
                <w:szCs w:val="21"/>
                <w:lang w:val="en-GB"/>
              </w:rPr>
              <w:t>2024, the existing system of State-provided free-of-charge legal services will be used.</w:t>
            </w:r>
            <w:r w:rsidR="00120293" w:rsidRPr="00F279ED">
              <w:rPr>
                <w:color w:val="1E1E1E" w:themeColor="background2"/>
              </w:rPr>
              <w:t xml:space="preserve"> </w:t>
            </w:r>
          </w:p>
          <w:p w14:paraId="2E2BCBE0" w14:textId="77777777" w:rsidR="00084391" w:rsidRPr="00F279ED" w:rsidRDefault="00084391" w:rsidP="000A0528">
            <w:pPr>
              <w:spacing w:after="0" w:line="240" w:lineRule="auto"/>
              <w:jc w:val="both"/>
              <w:rPr>
                <w:rFonts w:eastAsia="Calibri" w:cstheme="minorHAnsi"/>
                <w:color w:val="1E1E1E" w:themeColor="background2"/>
                <w:sz w:val="21"/>
                <w:szCs w:val="21"/>
                <w:lang w:val="en-GB"/>
              </w:rPr>
            </w:pPr>
          </w:p>
          <w:p w14:paraId="6139160E" w14:textId="43052D84" w:rsidR="00084391" w:rsidRPr="00F279ED" w:rsidRDefault="00084391" w:rsidP="000A0528">
            <w:pPr>
              <w:spacing w:after="0" w:line="240" w:lineRule="auto"/>
              <w:jc w:val="both"/>
              <w:rPr>
                <w:rFonts w:eastAsia="Calibri" w:cstheme="minorHAnsi"/>
                <w:b/>
                <w:color w:val="1E1E1E" w:themeColor="background2"/>
                <w:szCs w:val="21"/>
                <w:lang w:val="en-GB"/>
              </w:rPr>
            </w:pPr>
            <w:r w:rsidRPr="00F279ED">
              <w:rPr>
                <w:rFonts w:eastAsia="Calibri" w:cstheme="minorHAnsi"/>
                <w:b/>
                <w:color w:val="1E1E1E" w:themeColor="background2"/>
                <w:szCs w:val="21"/>
                <w:lang w:val="en-GB"/>
              </w:rPr>
              <w:t xml:space="preserve">2. </w:t>
            </w:r>
            <w:r w:rsidR="00B96C13" w:rsidRPr="00B96C13">
              <w:rPr>
                <w:rFonts w:eastAsia="Calibri" w:cstheme="minorHAnsi"/>
                <w:b/>
                <w:color w:val="1E1E1E" w:themeColor="background2"/>
                <w:szCs w:val="21"/>
                <w:lang w:val="en-GB"/>
              </w:rPr>
              <w:t>ENSURING CONTINUITY</w:t>
            </w:r>
            <w:r w:rsidR="00B96C13">
              <w:rPr>
                <w:rFonts w:eastAsia="Calibri" w:cstheme="minorHAnsi"/>
                <w:b/>
                <w:color w:val="1E1E1E" w:themeColor="background2"/>
                <w:szCs w:val="21"/>
                <w:lang w:val="en-GB"/>
              </w:rPr>
              <w:t xml:space="preserve">, </w:t>
            </w:r>
            <w:r w:rsidR="00B96C13" w:rsidRPr="00B96C13">
              <w:rPr>
                <w:rFonts w:eastAsia="Calibri" w:cstheme="minorHAnsi"/>
                <w:b/>
                <w:color w:val="1E1E1E" w:themeColor="background2"/>
                <w:szCs w:val="21"/>
                <w:lang w:val="en-GB"/>
              </w:rPr>
              <w:t>QUALITY</w:t>
            </w:r>
            <w:r w:rsidR="00B96C13">
              <w:rPr>
                <w:rFonts w:eastAsia="Calibri" w:cstheme="minorHAnsi"/>
                <w:b/>
                <w:color w:val="1E1E1E" w:themeColor="background2"/>
                <w:szCs w:val="21"/>
                <w:lang w:val="en-GB"/>
              </w:rPr>
              <w:t xml:space="preserve"> AND </w:t>
            </w:r>
            <w:r w:rsidR="00B96C13" w:rsidRPr="00B96C13">
              <w:rPr>
                <w:rFonts w:eastAsia="Calibri" w:cstheme="minorHAnsi"/>
                <w:b/>
                <w:color w:val="1E1E1E" w:themeColor="background2"/>
                <w:szCs w:val="21"/>
                <w:lang w:val="en-GB"/>
              </w:rPr>
              <w:t>COVERAGE OF SERVICES</w:t>
            </w:r>
          </w:p>
          <w:p w14:paraId="66101470" w14:textId="7A341AEE" w:rsidR="00084391" w:rsidRPr="00AF43A2" w:rsidRDefault="00084391" w:rsidP="000A0528">
            <w:pPr>
              <w:spacing w:after="0" w:line="240" w:lineRule="auto"/>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As described above, the main focus of the funding request is to </w:t>
            </w:r>
            <w:r w:rsidRPr="000406D8">
              <w:rPr>
                <w:rFonts w:eastAsia="Calibri" w:cstheme="minorHAnsi"/>
                <w:b/>
                <w:i/>
                <w:color w:val="1E1E1E" w:themeColor="background2"/>
                <w:sz w:val="21"/>
                <w:szCs w:val="21"/>
                <w:lang w:val="en-GB"/>
              </w:rPr>
              <w:t xml:space="preserve">strengthen </w:t>
            </w:r>
            <w:r w:rsidR="002B6CAD">
              <w:rPr>
                <w:rFonts w:eastAsia="Calibri" w:cstheme="minorHAnsi"/>
                <w:b/>
                <w:i/>
                <w:color w:val="1E1E1E" w:themeColor="background2"/>
                <w:sz w:val="21"/>
                <w:szCs w:val="21"/>
                <w:lang w:val="en-GB"/>
              </w:rPr>
              <w:t xml:space="preserve">the </w:t>
            </w:r>
            <w:r w:rsidRPr="000406D8">
              <w:rPr>
                <w:rFonts w:eastAsia="Calibri" w:cstheme="minorHAnsi"/>
                <w:b/>
                <w:i/>
                <w:color w:val="1E1E1E" w:themeColor="background2"/>
                <w:sz w:val="21"/>
                <w:szCs w:val="21"/>
                <w:lang w:val="en-GB"/>
              </w:rPr>
              <w:t>sustainability</w:t>
            </w:r>
            <w:r w:rsidRPr="00AF43A2">
              <w:rPr>
                <w:rFonts w:eastAsia="Calibri" w:cstheme="minorHAnsi"/>
                <w:color w:val="1E1E1E" w:themeColor="background2"/>
                <w:sz w:val="21"/>
                <w:szCs w:val="21"/>
                <w:lang w:val="en-GB"/>
              </w:rPr>
              <w:t xml:space="preserve"> of the national response from a multi-dimensional perspective of financial, health and community </w:t>
            </w:r>
            <w:r w:rsidRPr="002B6CAD">
              <w:rPr>
                <w:rFonts w:eastAsia="Calibri" w:cstheme="minorHAnsi"/>
                <w:i/>
                <w:color w:val="1E1E1E" w:themeColor="background2"/>
                <w:sz w:val="21"/>
                <w:szCs w:val="21"/>
                <w:lang w:val="en-GB"/>
              </w:rPr>
              <w:t>systems</w:t>
            </w:r>
            <w:r w:rsidRPr="00AF43A2">
              <w:rPr>
                <w:rFonts w:eastAsia="Calibri" w:cstheme="minorHAnsi"/>
                <w:color w:val="1E1E1E" w:themeColor="background2"/>
                <w:sz w:val="21"/>
                <w:szCs w:val="21"/>
                <w:lang w:val="en-GB"/>
              </w:rPr>
              <w:t xml:space="preserve">, as well as sustainable </w:t>
            </w:r>
            <w:r w:rsidRPr="002B6CAD">
              <w:rPr>
                <w:rFonts w:eastAsia="Calibri" w:cstheme="minorHAnsi"/>
                <w:i/>
                <w:color w:val="1E1E1E" w:themeColor="background2"/>
                <w:sz w:val="21"/>
                <w:szCs w:val="21"/>
                <w:lang w:val="en-GB"/>
              </w:rPr>
              <w:t>programmatic</w:t>
            </w:r>
            <w:r w:rsidRPr="00AF43A2">
              <w:rPr>
                <w:rFonts w:eastAsia="Calibri" w:cstheme="minorHAnsi"/>
                <w:color w:val="1E1E1E" w:themeColor="background2"/>
                <w:sz w:val="21"/>
                <w:szCs w:val="21"/>
                <w:lang w:val="en-GB"/>
              </w:rPr>
              <w:t xml:space="preserve"> approaches and removing </w:t>
            </w:r>
            <w:r w:rsidRPr="002B6CAD">
              <w:rPr>
                <w:rFonts w:eastAsia="Calibri" w:cstheme="minorHAnsi"/>
                <w:i/>
                <w:color w:val="1E1E1E" w:themeColor="background2"/>
                <w:sz w:val="21"/>
                <w:szCs w:val="21"/>
                <w:lang w:val="en-GB"/>
              </w:rPr>
              <w:t>human rights</w:t>
            </w:r>
            <w:r w:rsidRPr="00AF43A2">
              <w:rPr>
                <w:rFonts w:eastAsia="Calibri" w:cstheme="minorHAnsi"/>
                <w:color w:val="1E1E1E" w:themeColor="background2"/>
                <w:sz w:val="21"/>
                <w:szCs w:val="21"/>
                <w:lang w:val="en-GB"/>
              </w:rPr>
              <w:t xml:space="preserve">-related barriers. In addition, the grant will also support the </w:t>
            </w:r>
            <w:r w:rsidRPr="00AF43A2">
              <w:rPr>
                <w:rFonts w:eastAsia="Calibri" w:cstheme="minorHAnsi"/>
                <w:b/>
                <w:i/>
                <w:color w:val="1E1E1E" w:themeColor="background2"/>
                <w:sz w:val="21"/>
                <w:szCs w:val="21"/>
                <w:lang w:val="en-GB"/>
              </w:rPr>
              <w:t>continuity of HIV services for key populations</w:t>
            </w:r>
            <w:r w:rsidRPr="00AF43A2">
              <w:rPr>
                <w:rFonts w:eastAsia="Calibri" w:cstheme="minorHAnsi"/>
                <w:color w:val="1E1E1E" w:themeColor="background2"/>
                <w:sz w:val="21"/>
                <w:szCs w:val="21"/>
                <w:lang w:val="en-GB"/>
              </w:rPr>
              <w:t xml:space="preserve"> – notably MSM, transgender (TG) people and PWID.</w:t>
            </w:r>
          </w:p>
          <w:p w14:paraId="11ED0879" w14:textId="6542ED63" w:rsidR="00084391" w:rsidRPr="004557FC"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Despite strong commitment and support from the Kazakh government – which finances 9</w:t>
            </w:r>
            <w:r w:rsidR="00F074E6">
              <w:rPr>
                <w:rFonts w:eastAsia="Calibri" w:cstheme="minorHAnsi"/>
                <w:color w:val="1E1E1E" w:themeColor="background2"/>
                <w:sz w:val="21"/>
                <w:szCs w:val="21"/>
                <w:lang w:val="en-GB"/>
              </w:rPr>
              <w:t>5</w:t>
            </w:r>
            <w:r w:rsidRPr="00AF43A2">
              <w:rPr>
                <w:rFonts w:eastAsia="Calibri" w:cstheme="minorHAnsi"/>
                <w:color w:val="1E1E1E" w:themeColor="background2"/>
                <w:sz w:val="21"/>
                <w:szCs w:val="21"/>
                <w:lang w:val="en-GB"/>
              </w:rPr>
              <w:t xml:space="preserve">% of the national response and has been investing in social contracting and </w:t>
            </w:r>
            <w:r w:rsidR="003766D8" w:rsidRPr="00AF43A2">
              <w:rPr>
                <w:rFonts w:eastAsia="Calibri" w:cstheme="minorHAnsi"/>
                <w:color w:val="1E1E1E" w:themeColor="background2"/>
                <w:sz w:val="21"/>
                <w:szCs w:val="21"/>
                <w:lang w:val="en-GB"/>
              </w:rPr>
              <w:t>compulsory social</w:t>
            </w:r>
            <w:r w:rsidRPr="00AF43A2">
              <w:rPr>
                <w:rFonts w:eastAsia="Calibri" w:cstheme="minorHAnsi"/>
                <w:color w:val="1E1E1E" w:themeColor="background2"/>
                <w:sz w:val="21"/>
                <w:szCs w:val="21"/>
                <w:lang w:val="en-GB"/>
              </w:rPr>
              <w:t xml:space="preserve"> health insurance to support HIV services – during the grant period 2021-2023, </w:t>
            </w:r>
            <w:r w:rsidRPr="00AF43A2">
              <w:rPr>
                <w:rFonts w:eastAsia="Calibri" w:cstheme="minorHAnsi"/>
                <w:b/>
                <w:i/>
                <w:color w:val="1E1E1E" w:themeColor="background2"/>
                <w:sz w:val="21"/>
                <w:szCs w:val="21"/>
                <w:lang w:val="en-GB"/>
              </w:rPr>
              <w:t>challenges are expected to remain</w:t>
            </w:r>
            <w:r w:rsidRPr="00AF43A2">
              <w:rPr>
                <w:rFonts w:eastAsia="Calibri" w:cstheme="minorHAnsi"/>
                <w:color w:val="1E1E1E" w:themeColor="background2"/>
                <w:sz w:val="21"/>
                <w:szCs w:val="21"/>
                <w:lang w:val="en-GB"/>
              </w:rPr>
              <w:t xml:space="preserve"> with regard to service delivery to selected KPs, particularly for MSM, TG people and to a lesser extent </w:t>
            </w:r>
            <w:r w:rsidR="002B6CAD">
              <w:rPr>
                <w:rFonts w:eastAsia="Calibri" w:cstheme="minorHAnsi"/>
                <w:color w:val="1E1E1E" w:themeColor="background2"/>
                <w:sz w:val="21"/>
                <w:szCs w:val="21"/>
                <w:lang w:val="en-GB"/>
              </w:rPr>
              <w:t>for</w:t>
            </w:r>
            <w:r w:rsidRPr="00AF43A2">
              <w:rPr>
                <w:rFonts w:eastAsia="Calibri" w:cstheme="minorHAnsi"/>
                <w:color w:val="1E1E1E" w:themeColor="background2"/>
                <w:sz w:val="21"/>
                <w:szCs w:val="21"/>
                <w:lang w:val="en-GB"/>
              </w:rPr>
              <w:t xml:space="preserve"> PWID. These challenges are related to the following factors: </w:t>
            </w:r>
            <w:r w:rsidRPr="00AF43A2">
              <w:rPr>
                <w:rFonts w:eastAsia="Calibri" w:cstheme="minorHAnsi"/>
                <w:b/>
                <w:i/>
                <w:color w:val="1E1E1E" w:themeColor="background2"/>
                <w:sz w:val="21"/>
                <w:szCs w:val="21"/>
                <w:lang w:val="en-GB"/>
              </w:rPr>
              <w:t>1) inadequate supply and poor quality of key commodities</w:t>
            </w:r>
            <w:r w:rsidR="00342807" w:rsidRPr="00AF43A2">
              <w:rPr>
                <w:rFonts w:eastAsia="Calibri" w:cstheme="minorHAnsi"/>
                <w:b/>
                <w:i/>
                <w:color w:val="1E1E1E" w:themeColor="background2"/>
                <w:sz w:val="21"/>
                <w:szCs w:val="21"/>
                <w:lang w:val="en-GB"/>
              </w:rPr>
              <w:t xml:space="preserve"> </w:t>
            </w:r>
            <w:r w:rsidR="00342807" w:rsidRPr="004557FC">
              <w:rPr>
                <w:rFonts w:eastAsia="Calibri" w:cstheme="minorHAnsi"/>
                <w:i/>
                <w:color w:val="1E1E1E" w:themeColor="background2"/>
                <w:sz w:val="21"/>
                <w:szCs w:val="21"/>
                <w:lang w:val="en-GB"/>
              </w:rPr>
              <w:t>(</w:t>
            </w:r>
            <w:r w:rsidR="004557FC" w:rsidRPr="004557FC">
              <w:rPr>
                <w:rFonts w:eastAsia="Calibri" w:cstheme="minorHAnsi"/>
                <w:i/>
                <w:color w:val="1E1E1E" w:themeColor="background2"/>
                <w:sz w:val="21"/>
                <w:szCs w:val="21"/>
                <w:lang w:val="en-GB"/>
              </w:rPr>
              <w:t>see Annex 10; pp.13 &amp; 30</w:t>
            </w:r>
            <w:r w:rsidR="00342807" w:rsidRPr="004557FC">
              <w:rPr>
                <w:rFonts w:eastAsia="Calibri" w:cstheme="minorHAnsi"/>
                <w:i/>
                <w:color w:val="1E1E1E" w:themeColor="background2"/>
                <w:sz w:val="21"/>
                <w:szCs w:val="21"/>
                <w:lang w:val="en-GB"/>
              </w:rPr>
              <w:t>)</w:t>
            </w:r>
            <w:r w:rsidRPr="004557FC">
              <w:rPr>
                <w:rFonts w:eastAsia="Calibri" w:cstheme="minorHAnsi"/>
                <w:color w:val="1E1E1E" w:themeColor="background2"/>
                <w:sz w:val="21"/>
                <w:szCs w:val="21"/>
                <w:lang w:val="en-GB"/>
              </w:rPr>
              <w:t>, especially in regions with large numbers of KPs;</w:t>
            </w:r>
            <w:r w:rsidRPr="004557FC">
              <w:rPr>
                <w:rFonts w:eastAsia="Calibri" w:cstheme="minorHAnsi"/>
                <w:b/>
                <w:i/>
                <w:color w:val="1E1E1E" w:themeColor="background2"/>
                <w:sz w:val="21"/>
                <w:szCs w:val="21"/>
                <w:lang w:val="en-GB"/>
              </w:rPr>
              <w:t xml:space="preserve"> 2) inadequate support for NGO outreach workers </w:t>
            </w:r>
            <w:r w:rsidRPr="004557FC">
              <w:rPr>
                <w:rFonts w:eastAsia="Calibri" w:cstheme="minorHAnsi"/>
                <w:color w:val="1E1E1E" w:themeColor="background2"/>
                <w:sz w:val="21"/>
                <w:szCs w:val="21"/>
                <w:lang w:val="en-GB"/>
              </w:rPr>
              <w:t>from Regional governments.</w:t>
            </w:r>
          </w:p>
          <w:p w14:paraId="4D6AC021" w14:textId="77777777"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4557FC">
              <w:rPr>
                <w:rFonts w:eastAsia="Calibri" w:cstheme="minorHAnsi"/>
                <w:color w:val="1E1E1E" w:themeColor="background2"/>
                <w:sz w:val="21"/>
                <w:szCs w:val="21"/>
                <w:lang w:val="en-GB"/>
              </w:rPr>
              <w:t>Global Fund support in the next three years will be vital to ensure continuity</w:t>
            </w:r>
            <w:r w:rsidRPr="00AF43A2">
              <w:rPr>
                <w:rFonts w:eastAsia="Calibri" w:cstheme="minorHAnsi"/>
                <w:color w:val="1E1E1E" w:themeColor="background2"/>
                <w:sz w:val="21"/>
                <w:szCs w:val="21"/>
                <w:lang w:val="en-GB"/>
              </w:rPr>
              <w:t xml:space="preserve"> of key HIV prevention services for KPs in a limited number of priority regions. Guaranteeing the continuity and quality of these services is a sine qua non for the future sustainability of these services.</w:t>
            </w:r>
          </w:p>
          <w:p w14:paraId="13599858" w14:textId="77777777" w:rsidR="00084391" w:rsidRPr="00AF43A2" w:rsidRDefault="00084391" w:rsidP="000A0528">
            <w:pPr>
              <w:spacing w:after="0" w:line="240" w:lineRule="auto"/>
              <w:ind w:firstLine="284"/>
              <w:jc w:val="both"/>
              <w:rPr>
                <w:rFonts w:eastAsia="Calibri" w:cstheme="minorHAnsi"/>
                <w:color w:val="1E1E1E" w:themeColor="background2"/>
                <w:sz w:val="8"/>
                <w:szCs w:val="8"/>
                <w:lang w:val="en-GB"/>
              </w:rPr>
            </w:pPr>
          </w:p>
          <w:p w14:paraId="6F362016" w14:textId="4E7A0A82"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 xml:space="preserve">Intervention 1.1: Ensuring </w:t>
            </w:r>
            <w:r w:rsidR="006B2D46" w:rsidRPr="00AF43A2">
              <w:rPr>
                <w:rFonts w:eastAsia="Calibri" w:cstheme="minorHAnsi"/>
                <w:b/>
                <w:i/>
                <w:color w:val="1E1E1E" w:themeColor="background2"/>
                <w:sz w:val="21"/>
                <w:szCs w:val="21"/>
                <w:lang w:val="en-GB"/>
              </w:rPr>
              <w:t>adequate availability</w:t>
            </w:r>
            <w:r w:rsidRPr="00AF43A2">
              <w:rPr>
                <w:rFonts w:eastAsia="Calibri" w:cstheme="minorHAnsi"/>
                <w:b/>
                <w:i/>
                <w:color w:val="1E1E1E" w:themeColor="background2"/>
                <w:sz w:val="21"/>
                <w:szCs w:val="21"/>
                <w:lang w:val="en-GB"/>
              </w:rPr>
              <w:t xml:space="preserve"> of condoms, lubricants for KPs</w:t>
            </w:r>
            <w:r w:rsidRPr="00AF43A2">
              <w:rPr>
                <w:rFonts w:eastAsia="Calibri" w:cstheme="minorHAnsi"/>
                <w:color w:val="1E1E1E" w:themeColor="background2"/>
                <w:sz w:val="21"/>
                <w:szCs w:val="21"/>
                <w:lang w:val="en-GB"/>
              </w:rPr>
              <w:t xml:space="preserve"> – In Kazakhstan, the estimated number of MSM is 62</w:t>
            </w:r>
            <w:r w:rsidRPr="009906BE">
              <w:rPr>
                <w:rFonts w:eastAsia="Calibri" w:cstheme="minorHAnsi"/>
                <w:color w:val="1E1E1E" w:themeColor="background2"/>
                <w:sz w:val="21"/>
                <w:szCs w:val="21"/>
                <w:lang w:val="en-GB"/>
              </w:rPr>
              <w:t xml:space="preserve">,000 </w:t>
            </w:r>
            <w:r w:rsidRPr="009906BE">
              <w:rPr>
                <w:rFonts w:eastAsia="Calibri" w:cstheme="minorHAnsi"/>
                <w:i/>
                <w:color w:val="1E1E1E" w:themeColor="background2"/>
                <w:sz w:val="21"/>
                <w:szCs w:val="21"/>
                <w:lang w:val="en-GB"/>
              </w:rPr>
              <w:t>(</w:t>
            </w:r>
            <w:r w:rsidR="009906BE" w:rsidRPr="009906BE">
              <w:rPr>
                <w:rFonts w:eastAsia="Calibri" w:cstheme="minorHAnsi"/>
                <w:i/>
                <w:color w:val="1E1E1E" w:themeColor="background2"/>
                <w:sz w:val="21"/>
                <w:szCs w:val="21"/>
                <w:lang w:val="en-GB"/>
              </w:rPr>
              <w:t>see Annex 12; p.2</w:t>
            </w:r>
            <w:r w:rsidRPr="009906BE">
              <w:rPr>
                <w:rFonts w:eastAsia="Calibri" w:cstheme="minorHAnsi"/>
                <w:i/>
                <w:color w:val="1E1E1E" w:themeColor="background2"/>
                <w:sz w:val="21"/>
                <w:szCs w:val="21"/>
                <w:lang w:val="en-GB"/>
              </w:rPr>
              <w:t>).</w:t>
            </w:r>
            <w:r w:rsidRPr="009906BE">
              <w:rPr>
                <w:rFonts w:eastAsia="Calibri" w:cstheme="minorHAnsi"/>
                <w:color w:val="1E1E1E" w:themeColor="background2"/>
                <w:sz w:val="21"/>
                <w:szCs w:val="21"/>
                <w:lang w:val="en-GB"/>
              </w:rPr>
              <w:t xml:space="preserve"> In</w:t>
            </w:r>
            <w:r w:rsidRPr="00AF43A2">
              <w:rPr>
                <w:rFonts w:eastAsia="Calibri" w:cstheme="minorHAnsi"/>
                <w:color w:val="1E1E1E" w:themeColor="background2"/>
                <w:sz w:val="21"/>
                <w:szCs w:val="21"/>
                <w:lang w:val="en-GB"/>
              </w:rPr>
              <w:t xml:space="preserve"> recent years, there has been a marked increase of HIV </w:t>
            </w:r>
            <w:r w:rsidR="00A03034">
              <w:rPr>
                <w:rFonts w:eastAsia="Calibri" w:cstheme="minorHAnsi"/>
                <w:color w:val="1E1E1E" w:themeColor="background2"/>
                <w:sz w:val="21"/>
                <w:szCs w:val="21"/>
                <w:lang w:val="en-GB"/>
              </w:rPr>
              <w:t xml:space="preserve">infections </w:t>
            </w:r>
            <w:r w:rsidRPr="00AF43A2">
              <w:rPr>
                <w:rFonts w:eastAsia="Calibri" w:cstheme="minorHAnsi"/>
                <w:color w:val="1E1E1E" w:themeColor="background2"/>
                <w:sz w:val="21"/>
                <w:szCs w:val="21"/>
                <w:lang w:val="en-GB"/>
              </w:rPr>
              <w:t>among MSM</w:t>
            </w:r>
            <w:r w:rsidR="00A03034">
              <w:rPr>
                <w:rFonts w:eastAsia="Calibri" w:cstheme="minorHAnsi"/>
                <w:color w:val="1E1E1E" w:themeColor="background2"/>
                <w:sz w:val="21"/>
                <w:szCs w:val="21"/>
                <w:lang w:val="en-GB"/>
              </w:rPr>
              <w:t>:</w:t>
            </w:r>
            <w:r w:rsidRPr="00AF43A2">
              <w:rPr>
                <w:rFonts w:eastAsia="Calibri" w:cstheme="minorHAnsi"/>
                <w:color w:val="1E1E1E" w:themeColor="background2"/>
                <w:sz w:val="21"/>
                <w:szCs w:val="21"/>
                <w:lang w:val="en-GB"/>
              </w:rPr>
              <w:t xml:space="preserve"> from 0.6% in 2012, to 1.2% (2013), 3.2% (2015) and 6.6% in 2019</w:t>
            </w:r>
            <w:r w:rsidR="00A03034">
              <w:rPr>
                <w:rFonts w:eastAsia="Calibri" w:cstheme="minorHAnsi"/>
                <w:color w:val="1E1E1E" w:themeColor="background2"/>
                <w:sz w:val="21"/>
                <w:szCs w:val="21"/>
                <w:lang w:val="en-GB"/>
              </w:rPr>
              <w:t xml:space="preserve"> </w:t>
            </w:r>
            <w:r w:rsidR="00A03034" w:rsidRPr="00A03034">
              <w:rPr>
                <w:rFonts w:eastAsia="Calibri" w:cstheme="minorHAnsi"/>
                <w:i/>
                <w:color w:val="1E1E1E" w:themeColor="background2"/>
                <w:sz w:val="21"/>
                <w:szCs w:val="21"/>
                <w:lang w:val="en-GB"/>
              </w:rPr>
              <w:t>(see Figure 2, p.</w:t>
            </w:r>
            <w:r w:rsidR="00A03034">
              <w:rPr>
                <w:rFonts w:eastAsia="Calibri" w:cstheme="minorHAnsi"/>
                <w:i/>
                <w:color w:val="1E1E1E" w:themeColor="background2"/>
                <w:sz w:val="21"/>
                <w:szCs w:val="21"/>
                <w:lang w:val="en-GB"/>
              </w:rPr>
              <w:t xml:space="preserve"> </w:t>
            </w:r>
            <w:r w:rsidR="00A03034" w:rsidRPr="00A03034">
              <w:rPr>
                <w:rFonts w:eastAsia="Calibri" w:cstheme="minorHAnsi"/>
                <w:i/>
                <w:color w:val="1E1E1E" w:themeColor="background2"/>
                <w:sz w:val="21"/>
                <w:szCs w:val="21"/>
                <w:lang w:val="en-GB"/>
              </w:rPr>
              <w:t>3 of this F</w:t>
            </w:r>
            <w:r w:rsidR="00A03034">
              <w:rPr>
                <w:rFonts w:eastAsia="Calibri" w:cstheme="minorHAnsi"/>
                <w:i/>
                <w:color w:val="1E1E1E" w:themeColor="background2"/>
                <w:sz w:val="21"/>
                <w:szCs w:val="21"/>
                <w:lang w:val="en-GB"/>
              </w:rPr>
              <w:t xml:space="preserve">unding </w:t>
            </w:r>
            <w:r w:rsidR="00A03034" w:rsidRPr="00A03034">
              <w:rPr>
                <w:rFonts w:eastAsia="Calibri" w:cstheme="minorHAnsi"/>
                <w:i/>
                <w:color w:val="1E1E1E" w:themeColor="background2"/>
                <w:sz w:val="21"/>
                <w:szCs w:val="21"/>
                <w:lang w:val="en-GB"/>
              </w:rPr>
              <w:t>R</w:t>
            </w:r>
            <w:r w:rsidR="00A03034">
              <w:rPr>
                <w:rFonts w:eastAsia="Calibri" w:cstheme="minorHAnsi"/>
                <w:i/>
                <w:color w:val="1E1E1E" w:themeColor="background2"/>
                <w:sz w:val="21"/>
                <w:szCs w:val="21"/>
                <w:lang w:val="en-GB"/>
              </w:rPr>
              <w:t>equest</w:t>
            </w:r>
            <w:r w:rsidR="00A03034" w:rsidRPr="00A03034">
              <w:rPr>
                <w:rFonts w:eastAsia="Calibri" w:cstheme="minorHAnsi"/>
                <w:i/>
                <w:color w:val="1E1E1E" w:themeColor="background2"/>
                <w:sz w:val="21"/>
                <w:szCs w:val="21"/>
                <w:lang w:val="en-GB"/>
              </w:rPr>
              <w:t>)</w:t>
            </w:r>
            <w:r w:rsidRPr="00A03034">
              <w:rPr>
                <w:rFonts w:eastAsia="Calibri" w:cstheme="minorHAnsi"/>
                <w:i/>
                <w:color w:val="1E1E1E" w:themeColor="background2"/>
                <w:sz w:val="21"/>
                <w:szCs w:val="21"/>
                <w:lang w:val="en-GB"/>
              </w:rPr>
              <w:t>.</w:t>
            </w:r>
            <w:r w:rsidRPr="00AF43A2">
              <w:rPr>
                <w:rFonts w:eastAsia="Calibri" w:cstheme="minorHAnsi"/>
                <w:color w:val="1E1E1E" w:themeColor="background2"/>
                <w:sz w:val="21"/>
                <w:szCs w:val="21"/>
                <w:lang w:val="en-GB"/>
              </w:rPr>
              <w:t xml:space="preserve"> The highest HIV prevalence among MSM is found in 6 out of 17 Regions: Aktobe (11.7%), East-Kazakhstan</w:t>
            </w:r>
            <w:r w:rsidR="0084008F">
              <w:rPr>
                <w:rFonts w:eastAsia="Calibri" w:cstheme="minorHAnsi"/>
                <w:color w:val="1E1E1E" w:themeColor="background2"/>
                <w:sz w:val="21"/>
                <w:szCs w:val="21"/>
                <w:lang w:val="en-GB"/>
              </w:rPr>
              <w:t xml:space="preserve"> (</w:t>
            </w:r>
            <w:r w:rsidR="0084008F" w:rsidRPr="0084008F">
              <w:rPr>
                <w:rFonts w:eastAsia="Calibri" w:cstheme="minorHAnsi"/>
                <w:color w:val="1E1E1E" w:themeColor="background2"/>
                <w:sz w:val="21"/>
                <w:szCs w:val="21"/>
                <w:lang w:val="en-GB"/>
              </w:rPr>
              <w:t>Ust-Kamenogorsk</w:t>
            </w:r>
            <w:r w:rsidR="0084008F">
              <w:rPr>
                <w:rFonts w:eastAsia="Calibri" w:cstheme="minorHAnsi"/>
                <w:color w:val="1E1E1E" w:themeColor="background2"/>
                <w:sz w:val="21"/>
                <w:szCs w:val="21"/>
                <w:lang w:val="en-GB"/>
              </w:rPr>
              <w:t>)</w:t>
            </w:r>
            <w:r w:rsidRPr="00AF43A2">
              <w:rPr>
                <w:rFonts w:eastAsia="Calibri" w:cstheme="minorHAnsi"/>
                <w:color w:val="1E1E1E" w:themeColor="background2"/>
                <w:sz w:val="21"/>
                <w:szCs w:val="21"/>
                <w:lang w:val="en-GB"/>
              </w:rPr>
              <w:t xml:space="preserve"> (10.5%,) Shymkent (10%), Karaganda (9%); Pavlodar (9%), Nur-Sultan (8%). In this context, the grant will support HIV prevention among MSM and TG in these 6 regions, in addition to the support provided by the State through AIDS Centres and commodities.</w:t>
            </w:r>
          </w:p>
          <w:p w14:paraId="0A79EE12" w14:textId="02271E90"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In principle, the State budget covers all condoms for MSM in all Regions</w:t>
            </w:r>
            <w:r w:rsidR="00C50877" w:rsidRPr="00AF43A2">
              <w:rPr>
                <w:rFonts w:eastAsia="Calibri" w:cstheme="minorHAnsi"/>
                <w:color w:val="1E1E1E" w:themeColor="background2"/>
                <w:sz w:val="21"/>
                <w:szCs w:val="21"/>
                <w:lang w:val="en-GB"/>
              </w:rPr>
              <w:t>, but lubricants are not covered</w:t>
            </w:r>
            <w:r w:rsidR="00342807" w:rsidRPr="00AF43A2">
              <w:rPr>
                <w:rFonts w:eastAsia="Calibri" w:cstheme="minorHAnsi"/>
                <w:color w:val="1E1E1E" w:themeColor="background2"/>
                <w:sz w:val="21"/>
                <w:szCs w:val="21"/>
                <w:lang w:val="en-GB"/>
              </w:rPr>
              <w:t>.</w:t>
            </w:r>
            <w:r w:rsidRPr="00AF43A2">
              <w:rPr>
                <w:rFonts w:eastAsia="Calibri" w:cstheme="minorHAnsi"/>
                <w:color w:val="1E1E1E" w:themeColor="background2"/>
                <w:sz w:val="21"/>
                <w:szCs w:val="21"/>
                <w:lang w:val="en-GB"/>
              </w:rPr>
              <w:t xml:space="preserve"> To date, however, allocations by Regional authorities for condoms and lubricants for MSM have been insufficient, due to the lack of prioritisation of MSM and TG</w:t>
            </w:r>
            <w:r w:rsidR="0084008F">
              <w:rPr>
                <w:rFonts w:eastAsia="Calibri" w:cstheme="minorHAnsi"/>
                <w:color w:val="1E1E1E" w:themeColor="background2"/>
                <w:sz w:val="21"/>
                <w:szCs w:val="21"/>
                <w:lang w:val="en-GB"/>
              </w:rPr>
              <w:t xml:space="preserve"> people</w:t>
            </w:r>
            <w:r w:rsidRPr="00AF43A2">
              <w:rPr>
                <w:rFonts w:eastAsia="Calibri" w:cstheme="minorHAnsi"/>
                <w:color w:val="1E1E1E" w:themeColor="background2"/>
                <w:sz w:val="21"/>
                <w:szCs w:val="21"/>
                <w:lang w:val="en-GB"/>
              </w:rPr>
              <w:t xml:space="preserve"> to date, and other competing priorities. In 2019, the available quantities only covered 57% of the need for condoms and a mere 27% of the need for lubricants among </w:t>
            </w:r>
            <w:r w:rsidR="00EE3670" w:rsidRPr="00AF43A2">
              <w:rPr>
                <w:rFonts w:eastAsia="Calibri" w:cstheme="minorHAnsi"/>
                <w:color w:val="1E1E1E" w:themeColor="background2"/>
                <w:sz w:val="21"/>
                <w:szCs w:val="21"/>
                <w:lang w:val="en-GB"/>
              </w:rPr>
              <w:t xml:space="preserve">the </w:t>
            </w:r>
            <w:r w:rsidRPr="00AF43A2">
              <w:rPr>
                <w:rFonts w:eastAsia="Calibri" w:cstheme="minorHAnsi"/>
                <w:color w:val="1E1E1E" w:themeColor="background2"/>
                <w:sz w:val="21"/>
                <w:szCs w:val="21"/>
                <w:lang w:val="en-GB"/>
              </w:rPr>
              <w:t xml:space="preserve">MSM </w:t>
            </w:r>
            <w:r w:rsidR="00EE3670" w:rsidRPr="00AF43A2">
              <w:rPr>
                <w:rFonts w:eastAsia="Calibri" w:cstheme="minorHAnsi"/>
                <w:color w:val="1E1E1E" w:themeColor="background2"/>
                <w:sz w:val="21"/>
                <w:szCs w:val="21"/>
                <w:lang w:val="en-GB"/>
              </w:rPr>
              <w:t xml:space="preserve">reached with services </w:t>
            </w:r>
            <w:r w:rsidRPr="00AF43A2">
              <w:rPr>
                <w:rFonts w:eastAsia="Calibri" w:cstheme="minorHAnsi"/>
                <w:i/>
                <w:color w:val="1E1E1E" w:themeColor="background2"/>
                <w:sz w:val="21"/>
                <w:szCs w:val="21"/>
                <w:lang w:val="en-GB"/>
              </w:rPr>
              <w:t>(see Attachment 3).</w:t>
            </w:r>
            <w:r w:rsidRPr="00AF43A2">
              <w:rPr>
                <w:rFonts w:eastAsia="Calibri" w:cstheme="minorHAnsi"/>
                <w:color w:val="1E1E1E" w:themeColor="background2"/>
                <w:sz w:val="21"/>
                <w:szCs w:val="21"/>
                <w:lang w:val="en-GB"/>
              </w:rPr>
              <w:t xml:space="preserve"> Therefore, as mentioned above </w:t>
            </w:r>
            <w:r w:rsidRPr="00AF43A2">
              <w:rPr>
                <w:rFonts w:eastAsia="Calibri" w:cstheme="minorHAnsi"/>
                <w:i/>
                <w:color w:val="1E1E1E" w:themeColor="background2"/>
                <w:sz w:val="21"/>
                <w:szCs w:val="21"/>
                <w:lang w:val="en-GB"/>
              </w:rPr>
              <w:t>(see Intervention 6.2),</w:t>
            </w:r>
            <w:r w:rsidRPr="00AF43A2">
              <w:rPr>
                <w:rFonts w:eastAsia="Calibri" w:cstheme="minorHAnsi"/>
                <w:color w:val="1E1E1E" w:themeColor="background2"/>
                <w:sz w:val="21"/>
                <w:szCs w:val="21"/>
                <w:lang w:val="en-GB"/>
              </w:rPr>
              <w:t xml:space="preserve"> the G</w:t>
            </w:r>
            <w:r w:rsidR="0084008F">
              <w:rPr>
                <w:rFonts w:eastAsia="Calibri" w:cstheme="minorHAnsi"/>
                <w:color w:val="1E1E1E" w:themeColor="background2"/>
                <w:sz w:val="21"/>
                <w:szCs w:val="21"/>
                <w:lang w:val="en-GB"/>
              </w:rPr>
              <w:t xml:space="preserve">lobal </w:t>
            </w:r>
            <w:r w:rsidRPr="00AF43A2">
              <w:rPr>
                <w:rFonts w:eastAsia="Calibri" w:cstheme="minorHAnsi"/>
                <w:color w:val="1E1E1E" w:themeColor="background2"/>
                <w:sz w:val="21"/>
                <w:szCs w:val="21"/>
                <w:lang w:val="en-GB"/>
              </w:rPr>
              <w:t>F</w:t>
            </w:r>
            <w:r w:rsidR="0084008F">
              <w:rPr>
                <w:rFonts w:eastAsia="Calibri" w:cstheme="minorHAnsi"/>
                <w:color w:val="1E1E1E" w:themeColor="background2"/>
                <w:sz w:val="21"/>
                <w:szCs w:val="21"/>
                <w:lang w:val="en-GB"/>
              </w:rPr>
              <w:t>und</w:t>
            </w:r>
            <w:r w:rsidRPr="00AF43A2">
              <w:rPr>
                <w:rFonts w:eastAsia="Calibri" w:cstheme="minorHAnsi"/>
                <w:color w:val="1E1E1E" w:themeColor="background2"/>
                <w:sz w:val="21"/>
                <w:szCs w:val="21"/>
                <w:lang w:val="en-GB"/>
              </w:rPr>
              <w:t xml:space="preserve"> grant will support </w:t>
            </w:r>
            <w:r w:rsidR="0084008F">
              <w:rPr>
                <w:rFonts w:eastAsia="Calibri" w:cstheme="minorHAnsi"/>
                <w:color w:val="1E1E1E" w:themeColor="background2"/>
                <w:sz w:val="21"/>
                <w:szCs w:val="21"/>
                <w:lang w:val="en-GB"/>
              </w:rPr>
              <w:t>sensitisation of local decision-makers</w:t>
            </w:r>
            <w:r w:rsidRPr="00AF43A2">
              <w:rPr>
                <w:rFonts w:eastAsia="Calibri" w:cstheme="minorHAnsi"/>
                <w:color w:val="1E1E1E" w:themeColor="background2"/>
                <w:sz w:val="21"/>
                <w:szCs w:val="21"/>
                <w:lang w:val="en-GB"/>
              </w:rPr>
              <w:t xml:space="preserve">, building of community linkages and capacity-building to strengthen the allocation of funds from regional budgets to MSM. In the next 3 years, however, Global Fund support for </w:t>
            </w:r>
            <w:r w:rsidR="008C47E6" w:rsidRPr="00AF43A2">
              <w:rPr>
                <w:rFonts w:eastAsia="Calibri" w:cstheme="minorHAnsi"/>
                <w:b/>
                <w:i/>
                <w:color w:val="1E1E1E" w:themeColor="background2"/>
                <w:sz w:val="21"/>
                <w:szCs w:val="21"/>
                <w:lang w:val="en-GB"/>
              </w:rPr>
              <w:t>additional</w:t>
            </w:r>
            <w:r w:rsidRPr="00AF43A2">
              <w:rPr>
                <w:rFonts w:eastAsia="Calibri" w:cstheme="minorHAnsi"/>
                <w:b/>
                <w:i/>
                <w:color w:val="1E1E1E" w:themeColor="background2"/>
                <w:sz w:val="21"/>
                <w:szCs w:val="21"/>
                <w:lang w:val="en-GB"/>
              </w:rPr>
              <w:t xml:space="preserve"> condoms and lubricants</w:t>
            </w:r>
            <w:r w:rsidRPr="00AF43A2">
              <w:rPr>
                <w:rFonts w:eastAsia="Calibri" w:cstheme="minorHAnsi"/>
                <w:color w:val="1E1E1E" w:themeColor="background2"/>
                <w:sz w:val="21"/>
                <w:szCs w:val="21"/>
                <w:lang w:val="en-GB"/>
              </w:rPr>
              <w:t xml:space="preserve"> </w:t>
            </w:r>
            <w:r w:rsidR="0084008F">
              <w:rPr>
                <w:rFonts w:eastAsia="Calibri" w:cstheme="minorHAnsi"/>
                <w:color w:val="1E1E1E" w:themeColor="background2"/>
                <w:sz w:val="21"/>
                <w:szCs w:val="21"/>
                <w:lang w:val="en-GB"/>
              </w:rPr>
              <w:t>will be</w:t>
            </w:r>
            <w:r w:rsidRPr="00AF43A2">
              <w:rPr>
                <w:rFonts w:eastAsia="Calibri" w:cstheme="minorHAnsi"/>
                <w:color w:val="1E1E1E" w:themeColor="background2"/>
                <w:sz w:val="21"/>
                <w:szCs w:val="21"/>
                <w:lang w:val="en-GB"/>
              </w:rPr>
              <w:t xml:space="preserve"> vital to ensure </w:t>
            </w:r>
            <w:r w:rsidR="0084008F">
              <w:rPr>
                <w:rFonts w:eastAsia="Calibri" w:cstheme="minorHAnsi"/>
                <w:color w:val="1E1E1E" w:themeColor="background2"/>
                <w:sz w:val="21"/>
                <w:szCs w:val="21"/>
                <w:lang w:val="en-GB"/>
              </w:rPr>
              <w:t xml:space="preserve">the </w:t>
            </w:r>
            <w:r w:rsidRPr="00AF43A2">
              <w:rPr>
                <w:rFonts w:eastAsia="Calibri" w:cstheme="minorHAnsi"/>
                <w:color w:val="1E1E1E" w:themeColor="background2"/>
                <w:sz w:val="21"/>
                <w:szCs w:val="21"/>
                <w:lang w:val="en-GB"/>
              </w:rPr>
              <w:t>adequate delivery of HIV prevention</w:t>
            </w:r>
            <w:r w:rsidR="0084008F">
              <w:rPr>
                <w:rFonts w:eastAsia="Calibri" w:cstheme="minorHAnsi"/>
                <w:color w:val="1E1E1E" w:themeColor="background2"/>
                <w:sz w:val="21"/>
                <w:szCs w:val="21"/>
                <w:lang w:val="en-GB"/>
              </w:rPr>
              <w:t xml:space="preserve"> services</w:t>
            </w:r>
            <w:r w:rsidRPr="00AF43A2">
              <w:rPr>
                <w:rFonts w:eastAsia="Calibri" w:cstheme="minorHAnsi"/>
                <w:color w:val="1E1E1E" w:themeColor="background2"/>
                <w:sz w:val="21"/>
                <w:szCs w:val="21"/>
                <w:lang w:val="en-GB"/>
              </w:rPr>
              <w:t xml:space="preserve"> among MSM and TG – particularly in the 6 Regions </w:t>
            </w:r>
            <w:r w:rsidR="00EA6921" w:rsidRPr="00AF43A2">
              <w:rPr>
                <w:rFonts w:eastAsia="Calibri" w:cstheme="minorHAnsi"/>
                <w:color w:val="1E1E1E" w:themeColor="background2"/>
                <w:sz w:val="21"/>
                <w:szCs w:val="21"/>
                <w:lang w:val="en-GB"/>
              </w:rPr>
              <w:t xml:space="preserve">(Pavlodar, </w:t>
            </w:r>
            <w:r w:rsidR="0084008F">
              <w:rPr>
                <w:rFonts w:eastAsia="Calibri" w:cstheme="minorHAnsi"/>
                <w:color w:val="1E1E1E" w:themeColor="background2"/>
                <w:sz w:val="21"/>
                <w:szCs w:val="21"/>
                <w:lang w:val="en-GB"/>
              </w:rPr>
              <w:t>East Kazakhstan/</w:t>
            </w:r>
            <w:r w:rsidR="00EA6921" w:rsidRPr="00AF43A2">
              <w:rPr>
                <w:rFonts w:eastAsia="Calibri" w:cstheme="minorHAnsi"/>
                <w:color w:val="1E1E1E" w:themeColor="background2"/>
                <w:sz w:val="21"/>
                <w:szCs w:val="21"/>
                <w:lang w:val="en-GB"/>
              </w:rPr>
              <w:t xml:space="preserve">Ust-Kamenogorsk, Karaganda, Nur-Sultan, Shymkent, and Aktobe cities) </w:t>
            </w:r>
            <w:r w:rsidRPr="00AF43A2">
              <w:rPr>
                <w:rFonts w:eastAsia="Calibri" w:cstheme="minorHAnsi"/>
                <w:color w:val="1E1E1E" w:themeColor="background2"/>
                <w:sz w:val="21"/>
                <w:szCs w:val="21"/>
                <w:lang w:val="en-GB"/>
              </w:rPr>
              <w:t>with the highest HIV rates among MSM. In addition, the grant will support the procurement of condoms of a quality that is acceptable to MSM, since the quality of the cheapest type of condoms currently provided does not satisfy most MSM.</w:t>
            </w:r>
          </w:p>
          <w:p w14:paraId="02AEE89B" w14:textId="13C2C551" w:rsidR="00084391" w:rsidRPr="004B2F72" w:rsidRDefault="00084391" w:rsidP="000A0528">
            <w:pPr>
              <w:tabs>
                <w:tab w:val="left" w:pos="284"/>
              </w:tabs>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In this regard, the </w:t>
            </w:r>
            <w:r w:rsidRPr="00AF43A2">
              <w:rPr>
                <w:rFonts w:eastAsia="Calibri" w:cstheme="minorHAnsi"/>
                <w:b/>
                <w:i/>
                <w:color w:val="1E1E1E" w:themeColor="background2"/>
                <w:sz w:val="21"/>
                <w:szCs w:val="21"/>
                <w:lang w:val="en-GB"/>
              </w:rPr>
              <w:t>G</w:t>
            </w:r>
            <w:r w:rsidR="0084008F">
              <w:rPr>
                <w:rFonts w:eastAsia="Calibri" w:cstheme="minorHAnsi"/>
                <w:b/>
                <w:i/>
                <w:color w:val="1E1E1E" w:themeColor="background2"/>
                <w:sz w:val="21"/>
                <w:szCs w:val="21"/>
                <w:lang w:val="en-GB"/>
              </w:rPr>
              <w:t xml:space="preserve">lobal </w:t>
            </w:r>
            <w:r w:rsidRPr="00AF43A2">
              <w:rPr>
                <w:rFonts w:eastAsia="Calibri" w:cstheme="minorHAnsi"/>
                <w:b/>
                <w:i/>
                <w:color w:val="1E1E1E" w:themeColor="background2"/>
                <w:sz w:val="21"/>
                <w:szCs w:val="21"/>
                <w:lang w:val="en-GB"/>
              </w:rPr>
              <w:t>F</w:t>
            </w:r>
            <w:r w:rsidR="0084008F">
              <w:rPr>
                <w:rFonts w:eastAsia="Calibri" w:cstheme="minorHAnsi"/>
                <w:b/>
                <w:i/>
                <w:color w:val="1E1E1E" w:themeColor="background2"/>
                <w:sz w:val="21"/>
                <w:szCs w:val="21"/>
                <w:lang w:val="en-GB"/>
              </w:rPr>
              <w:t>und</w:t>
            </w:r>
            <w:r w:rsidRPr="00AF43A2">
              <w:rPr>
                <w:rFonts w:eastAsia="Calibri" w:cstheme="minorHAnsi"/>
                <w:b/>
                <w:i/>
                <w:color w:val="1E1E1E" w:themeColor="background2"/>
                <w:sz w:val="21"/>
                <w:szCs w:val="21"/>
                <w:lang w:val="en-GB"/>
              </w:rPr>
              <w:t xml:space="preserve"> grant will support NGOs working with MSM and TG with condoms and lubricants in the 6 Regions with the highest HIV rates among MSM.</w:t>
            </w:r>
            <w:r w:rsidRPr="00AF43A2">
              <w:rPr>
                <w:rFonts w:eastAsia="Calibri" w:cstheme="minorHAnsi"/>
                <w:color w:val="1E1E1E" w:themeColor="background2"/>
                <w:sz w:val="21"/>
                <w:szCs w:val="21"/>
                <w:lang w:val="en-GB"/>
              </w:rPr>
              <w:t xml:space="preserve"> Government will cover condoms and lubricants for MSM through </w:t>
            </w:r>
            <w:r w:rsidRPr="00AF43A2">
              <w:rPr>
                <w:rFonts w:eastAsia="Calibri" w:cstheme="minorHAnsi"/>
                <w:i/>
                <w:color w:val="1E1E1E" w:themeColor="background2"/>
                <w:sz w:val="21"/>
                <w:szCs w:val="21"/>
                <w:lang w:val="en-GB"/>
              </w:rPr>
              <w:t>AIDS Centres</w:t>
            </w:r>
            <w:r w:rsidRPr="00AF43A2">
              <w:rPr>
                <w:rFonts w:eastAsia="Calibri" w:cstheme="minorHAnsi"/>
                <w:color w:val="1E1E1E" w:themeColor="background2"/>
                <w:sz w:val="21"/>
                <w:szCs w:val="21"/>
                <w:lang w:val="en-GB"/>
              </w:rPr>
              <w:t xml:space="preserve"> in these 6 </w:t>
            </w:r>
            <w:r w:rsidRPr="00AF43A2">
              <w:rPr>
                <w:rFonts w:eastAsia="Calibri" w:cstheme="minorHAnsi"/>
                <w:color w:val="1E1E1E" w:themeColor="background2"/>
                <w:sz w:val="21"/>
                <w:szCs w:val="21"/>
                <w:lang w:val="en-GB"/>
              </w:rPr>
              <w:lastRenderedPageBreak/>
              <w:t xml:space="preserve">regions, as well as in other regions. The grant will cover 45% of the total NGO need in 2021; 35% in 2022; and 25% in 2023. In addition, the grant will support 10% of the NGO need for condoms and lubricants for MSM and TGs in the other 10 Regions, to complement the amounts provided to MSM by Regional AIDS Centres. The </w:t>
            </w:r>
            <w:r w:rsidRPr="004B2F72">
              <w:rPr>
                <w:rFonts w:eastAsia="Calibri" w:cstheme="minorHAnsi"/>
                <w:color w:val="1E1E1E" w:themeColor="background2"/>
                <w:sz w:val="21"/>
                <w:szCs w:val="21"/>
                <w:lang w:val="en-GB"/>
              </w:rPr>
              <w:t>State will increasingly absorb the remaining NGO needs in the course of 2021-2023</w:t>
            </w:r>
            <w:r w:rsidR="006B2D46" w:rsidRPr="004B2F72">
              <w:rPr>
                <w:rFonts w:eastAsia="Calibri" w:cstheme="minorHAnsi"/>
                <w:color w:val="1E1E1E" w:themeColor="background2"/>
                <w:sz w:val="21"/>
                <w:szCs w:val="21"/>
                <w:lang w:val="en-GB"/>
              </w:rPr>
              <w:t>: this will be done by strengthening the existing mechanisms of social contracting, such as the State Social Orders and State Grants</w:t>
            </w:r>
            <w:r w:rsidRPr="004B2F72">
              <w:rPr>
                <w:rFonts w:eastAsia="Calibri" w:cstheme="minorHAnsi"/>
                <w:color w:val="1E1E1E" w:themeColor="background2"/>
                <w:sz w:val="21"/>
                <w:szCs w:val="21"/>
                <w:lang w:val="en-GB"/>
              </w:rPr>
              <w:t xml:space="preserve"> (</w:t>
            </w:r>
            <w:r w:rsidRPr="004B2F72">
              <w:rPr>
                <w:rFonts w:eastAsia="Calibri" w:cstheme="minorHAnsi"/>
                <w:i/>
                <w:color w:val="1E1E1E" w:themeColor="background2"/>
                <w:sz w:val="21"/>
                <w:szCs w:val="21"/>
                <w:lang w:val="en-GB"/>
              </w:rPr>
              <w:t>for details see Attachment 4_Advantage NGO by MSM_ENG)</w:t>
            </w:r>
            <w:r w:rsidR="004B2F72" w:rsidRPr="004B2F72">
              <w:rPr>
                <w:rFonts w:eastAsia="Calibri" w:cstheme="minorHAnsi"/>
                <w:i/>
                <w:color w:val="1E1E1E" w:themeColor="background2"/>
                <w:sz w:val="21"/>
                <w:szCs w:val="21"/>
                <w:lang w:val="en-GB"/>
              </w:rPr>
              <w:t>.</w:t>
            </w:r>
          </w:p>
          <w:p w14:paraId="0B1E4167" w14:textId="440AF7A0"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4B2F72">
              <w:rPr>
                <w:rFonts w:eastAsia="Calibri" w:cstheme="minorHAnsi"/>
                <w:color w:val="1E1E1E" w:themeColor="background2"/>
                <w:sz w:val="21"/>
                <w:szCs w:val="21"/>
                <w:lang w:val="en-GB"/>
              </w:rPr>
              <w:t xml:space="preserve">In addition, the grant will also support </w:t>
            </w:r>
            <w:r w:rsidRPr="004B2F72">
              <w:rPr>
                <w:rFonts w:eastAsia="Calibri" w:cstheme="minorHAnsi"/>
                <w:b/>
                <w:i/>
                <w:color w:val="1E1E1E" w:themeColor="background2"/>
                <w:sz w:val="21"/>
                <w:szCs w:val="21"/>
                <w:lang w:val="en-GB"/>
              </w:rPr>
              <w:t>condoms for drug users</w:t>
            </w:r>
            <w:r w:rsidRPr="004B2F72">
              <w:rPr>
                <w:rFonts w:eastAsia="Calibri" w:cstheme="minorHAnsi"/>
                <w:color w:val="1E1E1E" w:themeColor="background2"/>
                <w:sz w:val="21"/>
                <w:szCs w:val="21"/>
                <w:lang w:val="en-GB"/>
              </w:rPr>
              <w:t xml:space="preserve">. Anticipating the increased need for condoms among </w:t>
            </w:r>
            <w:r w:rsidR="0084008F">
              <w:rPr>
                <w:rFonts w:eastAsia="Calibri" w:cstheme="minorHAnsi"/>
                <w:color w:val="1E1E1E" w:themeColor="background2"/>
                <w:sz w:val="21"/>
                <w:szCs w:val="21"/>
                <w:lang w:val="en-GB"/>
              </w:rPr>
              <w:t xml:space="preserve">PWID as well as </w:t>
            </w:r>
            <w:r w:rsidRPr="004B2F72">
              <w:rPr>
                <w:rFonts w:eastAsia="Calibri" w:cstheme="minorHAnsi"/>
                <w:color w:val="1E1E1E" w:themeColor="background2"/>
                <w:sz w:val="21"/>
                <w:szCs w:val="21"/>
                <w:lang w:val="en-GB"/>
              </w:rPr>
              <w:t xml:space="preserve">young NPS users, the grant will support </w:t>
            </w:r>
            <w:r w:rsidRPr="004B2F72">
              <w:rPr>
                <w:rFonts w:eastAsia="Calibri" w:cstheme="minorHAnsi"/>
                <w:b/>
                <w:i/>
                <w:color w:val="1E1E1E" w:themeColor="background2"/>
                <w:sz w:val="21"/>
                <w:szCs w:val="21"/>
                <w:lang w:val="en-GB"/>
              </w:rPr>
              <w:t>10% of the total need for condoms among drug users in all</w:t>
            </w:r>
            <w:r w:rsidRPr="00AF43A2">
              <w:rPr>
                <w:rFonts w:eastAsia="Calibri" w:cstheme="minorHAnsi"/>
                <w:b/>
                <w:i/>
                <w:color w:val="1E1E1E" w:themeColor="background2"/>
                <w:sz w:val="21"/>
                <w:szCs w:val="21"/>
                <w:lang w:val="en-GB"/>
              </w:rPr>
              <w:t xml:space="preserve"> regions, for a total of 2,043,360 condoms for 3 years.</w:t>
            </w:r>
            <w:r w:rsidRPr="00AF43A2">
              <w:rPr>
                <w:rFonts w:eastAsia="Calibri" w:cstheme="minorHAnsi"/>
                <w:b/>
                <w:color w:val="1E1E1E" w:themeColor="background2"/>
                <w:sz w:val="21"/>
                <w:szCs w:val="21"/>
                <w:lang w:val="en-GB"/>
              </w:rPr>
              <w:t xml:space="preserve"> </w:t>
            </w:r>
            <w:r w:rsidRPr="00AF43A2">
              <w:rPr>
                <w:rFonts w:eastAsia="Calibri" w:cstheme="minorHAnsi"/>
                <w:color w:val="1E1E1E" w:themeColor="background2"/>
                <w:sz w:val="21"/>
                <w:szCs w:val="21"/>
                <w:lang w:val="en-GB"/>
              </w:rPr>
              <w:t xml:space="preserve">As of 2024, the </w:t>
            </w:r>
            <w:r w:rsidR="003766D8" w:rsidRPr="00AF43A2">
              <w:rPr>
                <w:rFonts w:eastAsia="Calibri" w:cstheme="minorHAnsi"/>
                <w:color w:val="1E1E1E" w:themeColor="background2"/>
                <w:sz w:val="21"/>
                <w:szCs w:val="21"/>
                <w:lang w:val="en-GB"/>
              </w:rPr>
              <w:t>Compulsory Social Health</w:t>
            </w:r>
            <w:r w:rsidRPr="00AF43A2">
              <w:rPr>
                <w:rFonts w:eastAsia="Calibri" w:cstheme="minorHAnsi"/>
                <w:color w:val="1E1E1E" w:themeColor="background2"/>
                <w:sz w:val="21"/>
                <w:szCs w:val="21"/>
                <w:lang w:val="en-GB"/>
              </w:rPr>
              <w:t xml:space="preserve"> Insurance </w:t>
            </w:r>
            <w:r w:rsidR="003766D8" w:rsidRPr="00AF43A2">
              <w:rPr>
                <w:rFonts w:eastAsia="Calibri" w:cstheme="minorHAnsi"/>
                <w:color w:val="1E1E1E" w:themeColor="background2"/>
                <w:sz w:val="21"/>
                <w:szCs w:val="21"/>
                <w:lang w:val="en-GB"/>
              </w:rPr>
              <w:t xml:space="preserve">(CSHI) </w:t>
            </w:r>
            <w:r w:rsidRPr="00AF43A2">
              <w:rPr>
                <w:rFonts w:eastAsia="Calibri" w:cstheme="minorHAnsi"/>
                <w:color w:val="1E1E1E" w:themeColor="background2"/>
                <w:sz w:val="21"/>
                <w:szCs w:val="21"/>
                <w:lang w:val="en-GB"/>
              </w:rPr>
              <w:t>will be fully covering these needs.</w:t>
            </w:r>
          </w:p>
          <w:p w14:paraId="65A63496" w14:textId="73CA96C1" w:rsidR="008C47E6"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In Kazakhstan, the estimated number of PWID is 94,600. According to 2018 epidemiological surveillance data, HIV prevalence among PWID was 7.9%, and Syphilis 9.2%. Since 2017, Kazakhstan has experienced an increase in the use of synthetic drugs, so-called New Psychoactive </w:t>
            </w:r>
            <w:r w:rsidRPr="009906BE">
              <w:rPr>
                <w:rFonts w:eastAsia="Calibri" w:cstheme="minorHAnsi"/>
                <w:color w:val="1E1E1E" w:themeColor="background2"/>
                <w:sz w:val="21"/>
                <w:szCs w:val="21"/>
                <w:lang w:val="en-GB"/>
              </w:rPr>
              <w:t xml:space="preserve">Substances (NPS), including among young PWID. The prevalence of STI symptoms among PWID is 8.4%. The share of PWID who used a condom during their last sexual intercourse with a regular partner is only 34.6%, with an occasional partner 33.3% </w:t>
            </w:r>
            <w:r w:rsidRPr="009906BE">
              <w:rPr>
                <w:rFonts w:eastAsia="Calibri" w:cstheme="minorHAnsi"/>
                <w:i/>
                <w:color w:val="1E1E1E" w:themeColor="background2"/>
                <w:sz w:val="21"/>
                <w:szCs w:val="21"/>
                <w:lang w:val="en-GB"/>
              </w:rPr>
              <w:t>(</w:t>
            </w:r>
            <w:r w:rsidR="009906BE" w:rsidRPr="009906BE">
              <w:rPr>
                <w:rFonts w:eastAsia="Calibri" w:cstheme="minorHAnsi"/>
                <w:i/>
                <w:color w:val="1E1E1E" w:themeColor="background2"/>
                <w:sz w:val="21"/>
                <w:szCs w:val="21"/>
                <w:lang w:val="en-GB"/>
              </w:rPr>
              <w:t>see Annex 4, p.</w:t>
            </w:r>
            <w:r w:rsidR="0084008F">
              <w:rPr>
                <w:rFonts w:eastAsia="Calibri" w:cstheme="minorHAnsi"/>
                <w:i/>
                <w:color w:val="1E1E1E" w:themeColor="background2"/>
                <w:sz w:val="21"/>
                <w:szCs w:val="21"/>
                <w:lang w:val="en-GB"/>
              </w:rPr>
              <w:t xml:space="preserve"> </w:t>
            </w:r>
            <w:r w:rsidR="009906BE" w:rsidRPr="009906BE">
              <w:rPr>
                <w:rFonts w:eastAsia="Calibri" w:cstheme="minorHAnsi"/>
                <w:i/>
                <w:color w:val="1E1E1E" w:themeColor="background2"/>
                <w:sz w:val="21"/>
                <w:szCs w:val="21"/>
                <w:lang w:val="en-GB"/>
              </w:rPr>
              <w:t>8</w:t>
            </w:r>
            <w:r w:rsidRPr="009906BE">
              <w:rPr>
                <w:rFonts w:eastAsia="Calibri" w:cstheme="minorHAnsi"/>
                <w:i/>
                <w:color w:val="1E1E1E" w:themeColor="background2"/>
                <w:sz w:val="21"/>
                <w:szCs w:val="21"/>
                <w:lang w:val="en-GB"/>
              </w:rPr>
              <w:t>).</w:t>
            </w:r>
          </w:p>
          <w:p w14:paraId="30DB60BD" w14:textId="54188C2D"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In principle, the State budget covers all condoms for </w:t>
            </w:r>
            <w:r w:rsidRPr="00AF43A2">
              <w:rPr>
                <w:rFonts w:eastAsia="Calibri" w:cstheme="minorHAnsi"/>
                <w:b/>
                <w:i/>
                <w:color w:val="1E1E1E" w:themeColor="background2"/>
                <w:sz w:val="21"/>
                <w:szCs w:val="21"/>
                <w:lang w:val="en-GB"/>
              </w:rPr>
              <w:t>PWID</w:t>
            </w:r>
            <w:r w:rsidRPr="00AF43A2">
              <w:rPr>
                <w:rFonts w:eastAsia="Calibri" w:cstheme="minorHAnsi"/>
                <w:color w:val="1E1E1E" w:themeColor="background2"/>
                <w:sz w:val="21"/>
                <w:szCs w:val="21"/>
                <w:lang w:val="en-GB"/>
              </w:rPr>
              <w:t xml:space="preserve"> in all 17 regions. However, the available quantities of condoms do not meet the needs of PWID: in 2019, on average 92 condoms were distributed per PWID</w:t>
            </w:r>
            <w:r w:rsidRPr="004B2F72">
              <w:rPr>
                <w:rFonts w:eastAsia="Calibri" w:cstheme="minorHAnsi"/>
                <w:color w:val="1E1E1E" w:themeColor="background2"/>
                <w:sz w:val="21"/>
                <w:szCs w:val="21"/>
                <w:lang w:val="en-GB"/>
              </w:rPr>
              <w:t>, with the normative being 120 pcs. Thus, in 2019, condom provision for PWID only covered 77% of the need</w:t>
            </w:r>
            <w:r w:rsidR="008C47E6" w:rsidRPr="004B2F72">
              <w:rPr>
                <w:rFonts w:eastAsia="Calibri" w:cstheme="minorHAnsi"/>
                <w:color w:val="1E1E1E" w:themeColor="background2"/>
                <w:sz w:val="21"/>
                <w:szCs w:val="21"/>
                <w:lang w:val="en-GB"/>
              </w:rPr>
              <w:t xml:space="preserve"> of those covered</w:t>
            </w:r>
            <w:r w:rsidRPr="004B2F72">
              <w:rPr>
                <w:rFonts w:eastAsia="Calibri" w:cstheme="minorHAnsi"/>
                <w:i/>
                <w:color w:val="1E1E1E" w:themeColor="background2"/>
                <w:sz w:val="21"/>
                <w:szCs w:val="21"/>
                <w:lang w:val="en-GB"/>
              </w:rPr>
              <w:t xml:space="preserve"> (see details in Attachment 2_Planned purchase of condoms for PWID_ENG). </w:t>
            </w:r>
            <w:r w:rsidRPr="004B2F72">
              <w:rPr>
                <w:rFonts w:eastAsia="Calibri" w:cstheme="minorHAnsi"/>
                <w:color w:val="1E1E1E" w:themeColor="background2"/>
                <w:sz w:val="21"/>
                <w:szCs w:val="21"/>
                <w:lang w:val="en-GB"/>
              </w:rPr>
              <w:t xml:space="preserve">In addition to people who </w:t>
            </w:r>
            <w:r w:rsidRPr="004B2F72">
              <w:rPr>
                <w:rFonts w:eastAsia="Calibri" w:cstheme="minorHAnsi"/>
                <w:i/>
                <w:color w:val="1E1E1E" w:themeColor="background2"/>
                <w:sz w:val="21"/>
                <w:szCs w:val="21"/>
                <w:lang w:val="en-GB"/>
              </w:rPr>
              <w:t>inject</w:t>
            </w:r>
            <w:r w:rsidRPr="004B2F72">
              <w:rPr>
                <w:rFonts w:eastAsia="Calibri" w:cstheme="minorHAnsi"/>
                <w:color w:val="1E1E1E" w:themeColor="background2"/>
                <w:sz w:val="21"/>
                <w:szCs w:val="21"/>
                <w:lang w:val="en-GB"/>
              </w:rPr>
              <w:t xml:space="preserve"> drugs, users of NPS use these drugs in various ways, including injection. However, due to the nature of NPS, which are also used as sexual stimulants</w:t>
            </w:r>
            <w:r w:rsidRPr="00AF43A2">
              <w:rPr>
                <w:rFonts w:eastAsia="Calibri" w:cstheme="minorHAnsi"/>
                <w:color w:val="1E1E1E" w:themeColor="background2"/>
                <w:sz w:val="21"/>
                <w:szCs w:val="21"/>
                <w:lang w:val="en-GB"/>
              </w:rPr>
              <w:t xml:space="preserve"> (so-called </w:t>
            </w:r>
            <w:r w:rsidRPr="00AF43A2">
              <w:rPr>
                <w:rFonts w:eastAsia="Calibri" w:cstheme="minorHAnsi"/>
                <w:i/>
                <w:color w:val="1E1E1E" w:themeColor="background2"/>
                <w:sz w:val="21"/>
                <w:szCs w:val="21"/>
                <w:lang w:val="en-GB"/>
              </w:rPr>
              <w:t>chemsex</w:t>
            </w:r>
            <w:r w:rsidRPr="00AF43A2">
              <w:rPr>
                <w:rFonts w:eastAsia="Calibri" w:cstheme="minorHAnsi"/>
                <w:color w:val="1E1E1E" w:themeColor="background2"/>
                <w:sz w:val="21"/>
                <w:szCs w:val="21"/>
                <w:lang w:val="en-GB"/>
              </w:rPr>
              <w:t>), NPS users are likely to engage in more high-risk sex practices than PWID. In this regard, it is expected that these NPS users will need more condoms. Currently, there are not yet specific programmes targeting these NPS users, which is why special interventions are included in thus funding request (see Intervention 1.7).</w:t>
            </w:r>
          </w:p>
          <w:p w14:paraId="6B1AFC46" w14:textId="77777777" w:rsidR="00084391" w:rsidRPr="00AF43A2" w:rsidRDefault="00084391" w:rsidP="000A0528">
            <w:pPr>
              <w:spacing w:after="0" w:line="240" w:lineRule="auto"/>
              <w:jc w:val="both"/>
              <w:rPr>
                <w:rFonts w:eastAsia="Calibri" w:cstheme="minorHAnsi"/>
                <w:color w:val="1E1E1E" w:themeColor="background2"/>
                <w:sz w:val="8"/>
                <w:szCs w:val="8"/>
                <w:lang w:val="en-GB"/>
              </w:rPr>
            </w:pPr>
          </w:p>
          <w:p w14:paraId="054D082D" w14:textId="013036A6" w:rsidR="00084391"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b/>
                <w:i/>
                <w:color w:val="1E1E1E" w:themeColor="background2"/>
                <w:sz w:val="21"/>
                <w:szCs w:val="21"/>
                <w:lang w:val="en-GB"/>
              </w:rPr>
              <w:t>Intervention 1.2: Support for NGO outreach workers in key Regions with high HIV rates among KPs</w:t>
            </w:r>
            <w:r w:rsidRPr="00AF43A2">
              <w:rPr>
                <w:rFonts w:eastAsia="Calibri" w:cstheme="minorHAnsi"/>
                <w:color w:val="1E1E1E" w:themeColor="background2"/>
                <w:sz w:val="21"/>
                <w:szCs w:val="21"/>
                <w:lang w:val="en-GB"/>
              </w:rPr>
              <w:t xml:space="preserve"> – Outreach work is an essential approach to reach KPs. In this regard, the Government is supporting outreach workers (ORWs) at Regional AIDS Centres in all Regions, while the GF grant supports ORWs at NGOs. The State currently already covers 63% of ORWs for PWID; 30% of ORWs for MSM; and 48% of ORWs for sex workers: in total, the State covers 57% of all ORWs for all KPs. The G</w:t>
            </w:r>
            <w:r w:rsidR="0084008F">
              <w:rPr>
                <w:rFonts w:eastAsia="Calibri" w:cstheme="minorHAnsi"/>
                <w:color w:val="1E1E1E" w:themeColor="background2"/>
                <w:sz w:val="21"/>
                <w:szCs w:val="21"/>
                <w:lang w:val="en-GB"/>
              </w:rPr>
              <w:t xml:space="preserve">lobal </w:t>
            </w:r>
            <w:r w:rsidRPr="00AF43A2">
              <w:rPr>
                <w:rFonts w:eastAsia="Calibri" w:cstheme="minorHAnsi"/>
                <w:color w:val="1E1E1E" w:themeColor="background2"/>
                <w:sz w:val="21"/>
                <w:szCs w:val="21"/>
                <w:lang w:val="en-GB"/>
              </w:rPr>
              <w:t>F</w:t>
            </w:r>
            <w:r w:rsidR="0084008F">
              <w:rPr>
                <w:rFonts w:eastAsia="Calibri" w:cstheme="minorHAnsi"/>
                <w:color w:val="1E1E1E" w:themeColor="background2"/>
                <w:sz w:val="21"/>
                <w:szCs w:val="21"/>
                <w:lang w:val="en-GB"/>
              </w:rPr>
              <w:t>und</w:t>
            </w:r>
            <w:r w:rsidRPr="00AF43A2">
              <w:rPr>
                <w:rFonts w:eastAsia="Calibri" w:cstheme="minorHAnsi"/>
                <w:color w:val="1E1E1E" w:themeColor="background2"/>
                <w:sz w:val="21"/>
                <w:szCs w:val="21"/>
                <w:lang w:val="en-GB"/>
              </w:rPr>
              <w:t xml:space="preserve"> grant covers the remaining 43% of ORWs, i.e. those working at NGOs in selected high-prevalence regions.</w:t>
            </w:r>
          </w:p>
          <w:p w14:paraId="63239461" w14:textId="0B805907" w:rsidR="007C3447" w:rsidRPr="00AF43A2" w:rsidRDefault="00084391" w:rsidP="000A0528">
            <w:pPr>
              <w:spacing w:after="0" w:line="240" w:lineRule="auto"/>
              <w:ind w:firstLine="284"/>
              <w:jc w:val="both"/>
              <w:rPr>
                <w:rFonts w:eastAsia="Calibri" w:cstheme="minorHAnsi"/>
                <w:color w:val="1E1E1E" w:themeColor="background2"/>
                <w:sz w:val="21"/>
                <w:szCs w:val="21"/>
                <w:lang w:val="en-GB"/>
              </w:rPr>
            </w:pPr>
            <w:r w:rsidRPr="00AF43A2">
              <w:rPr>
                <w:rFonts w:eastAsia="Calibri" w:cstheme="minorHAnsi"/>
                <w:color w:val="1E1E1E" w:themeColor="background2"/>
                <w:sz w:val="21"/>
                <w:szCs w:val="21"/>
                <w:lang w:val="en-GB"/>
              </w:rPr>
              <w:t xml:space="preserve">For the new grant (2021-2023), It is planned to continue using </w:t>
            </w:r>
            <w:r w:rsidR="00E2072A" w:rsidRPr="00AF43A2">
              <w:rPr>
                <w:rFonts w:eastAsia="Calibri" w:cstheme="minorHAnsi"/>
                <w:color w:val="1E1E1E" w:themeColor="background2"/>
                <w:sz w:val="21"/>
                <w:szCs w:val="21"/>
                <w:lang w:val="en-GB"/>
              </w:rPr>
              <w:t xml:space="preserve">elements of </w:t>
            </w:r>
            <w:r w:rsidRPr="00AF43A2">
              <w:rPr>
                <w:rFonts w:eastAsia="Calibri" w:cstheme="minorHAnsi"/>
                <w:color w:val="1E1E1E" w:themeColor="background2"/>
                <w:sz w:val="21"/>
                <w:szCs w:val="21"/>
                <w:lang w:val="en-GB"/>
              </w:rPr>
              <w:t xml:space="preserve">the current grant implementation model, with the </w:t>
            </w:r>
            <w:r w:rsidRPr="00AF43A2">
              <w:rPr>
                <w:rFonts w:eastAsia="Calibri" w:cstheme="minorHAnsi"/>
                <w:b/>
                <w:i/>
                <w:color w:val="1E1E1E" w:themeColor="background2"/>
                <w:sz w:val="21"/>
                <w:szCs w:val="21"/>
                <w:lang w:val="en-GB"/>
              </w:rPr>
              <w:t>Global Fund supporting NGO ORWs in selected priority Regions</w:t>
            </w:r>
            <w:r w:rsidRPr="00AF43A2">
              <w:rPr>
                <w:rFonts w:eastAsia="Calibri" w:cstheme="minorHAnsi"/>
                <w:color w:val="1E1E1E" w:themeColor="background2"/>
                <w:sz w:val="21"/>
                <w:szCs w:val="21"/>
                <w:lang w:val="en-GB"/>
              </w:rPr>
              <w:t xml:space="preserve">; and the </w:t>
            </w:r>
            <w:r w:rsidRPr="00AF43A2">
              <w:rPr>
                <w:rFonts w:eastAsia="Calibri" w:cstheme="minorHAnsi"/>
                <w:b/>
                <w:i/>
                <w:color w:val="1E1E1E" w:themeColor="background2"/>
                <w:sz w:val="21"/>
                <w:szCs w:val="21"/>
                <w:lang w:val="en-GB"/>
              </w:rPr>
              <w:t>State covering ORWs employed by AIDS Centres in all Regions</w:t>
            </w:r>
            <w:r w:rsidRPr="00AF43A2">
              <w:rPr>
                <w:rFonts w:eastAsia="Calibri" w:cstheme="minorHAnsi"/>
                <w:color w:val="1E1E1E" w:themeColor="background2"/>
                <w:sz w:val="21"/>
                <w:szCs w:val="21"/>
                <w:lang w:val="en-GB"/>
              </w:rPr>
              <w:t>, as well as the majority of commodities (syringes, condoms, lubricants) (with limited G</w:t>
            </w:r>
            <w:r w:rsidR="0084008F">
              <w:rPr>
                <w:rFonts w:eastAsia="Calibri" w:cstheme="minorHAnsi"/>
                <w:color w:val="1E1E1E" w:themeColor="background2"/>
                <w:sz w:val="21"/>
                <w:szCs w:val="21"/>
                <w:lang w:val="en-GB"/>
              </w:rPr>
              <w:t xml:space="preserve">lobal </w:t>
            </w:r>
            <w:r w:rsidRPr="00AF43A2">
              <w:rPr>
                <w:rFonts w:eastAsia="Calibri" w:cstheme="minorHAnsi"/>
                <w:color w:val="1E1E1E" w:themeColor="background2"/>
                <w:sz w:val="21"/>
                <w:szCs w:val="21"/>
                <w:lang w:val="en-GB"/>
              </w:rPr>
              <w:t>F</w:t>
            </w:r>
            <w:r w:rsidR="0084008F">
              <w:rPr>
                <w:rFonts w:eastAsia="Calibri" w:cstheme="minorHAnsi"/>
                <w:color w:val="1E1E1E" w:themeColor="background2"/>
                <w:sz w:val="21"/>
                <w:szCs w:val="21"/>
                <w:lang w:val="en-GB"/>
              </w:rPr>
              <w:t>und</w:t>
            </w:r>
            <w:r w:rsidRPr="00AF43A2">
              <w:rPr>
                <w:rFonts w:eastAsia="Calibri" w:cstheme="minorHAnsi"/>
                <w:color w:val="1E1E1E" w:themeColor="background2"/>
                <w:sz w:val="21"/>
                <w:szCs w:val="21"/>
                <w:lang w:val="en-GB"/>
              </w:rPr>
              <w:t xml:space="preserve"> support</w:t>
            </w:r>
            <w:r w:rsidR="0084008F">
              <w:rPr>
                <w:rFonts w:eastAsia="Calibri" w:cstheme="minorHAnsi"/>
                <w:color w:val="1E1E1E" w:themeColor="background2"/>
                <w:sz w:val="21"/>
                <w:szCs w:val="21"/>
                <w:lang w:val="en-GB"/>
              </w:rPr>
              <w:t>,</w:t>
            </w:r>
            <w:r w:rsidRPr="00AF43A2">
              <w:rPr>
                <w:rFonts w:eastAsia="Calibri" w:cstheme="minorHAnsi"/>
                <w:color w:val="1E1E1E" w:themeColor="background2"/>
                <w:sz w:val="21"/>
                <w:szCs w:val="21"/>
                <w:lang w:val="en-GB"/>
              </w:rPr>
              <w:t xml:space="preserve"> as described under 1.1).</w:t>
            </w:r>
          </w:p>
          <w:p w14:paraId="54203F67" w14:textId="53FFAF58" w:rsidR="0004771A" w:rsidRDefault="00084391" w:rsidP="000A0528">
            <w:pPr>
              <w:spacing w:after="0" w:line="240" w:lineRule="auto"/>
              <w:ind w:firstLine="284"/>
              <w:jc w:val="both"/>
            </w:pPr>
            <w:r w:rsidRPr="00AF43A2">
              <w:rPr>
                <w:rFonts w:eastAsia="Calibri" w:cstheme="minorHAnsi"/>
                <w:color w:val="1E1E1E" w:themeColor="background2"/>
                <w:sz w:val="21"/>
                <w:szCs w:val="21"/>
                <w:lang w:val="en-GB"/>
              </w:rPr>
              <w:t xml:space="preserve">In this context, </w:t>
            </w:r>
            <w:r w:rsidRPr="00AF43A2">
              <w:rPr>
                <w:rFonts w:eastAsia="Calibri" w:cstheme="minorHAnsi"/>
                <w:b/>
                <w:i/>
                <w:color w:val="1E1E1E" w:themeColor="background2"/>
                <w:sz w:val="21"/>
                <w:szCs w:val="21"/>
                <w:lang w:val="en-GB"/>
              </w:rPr>
              <w:t>the new grant will support: i) 61 ORWs (2021-2023) for MSM in 6 priority Regions/cities</w:t>
            </w:r>
            <w:r w:rsidRPr="00AF43A2">
              <w:rPr>
                <w:rFonts w:eastAsia="Calibri" w:cstheme="minorHAnsi"/>
                <w:color w:val="1E1E1E" w:themeColor="background2"/>
                <w:sz w:val="21"/>
                <w:szCs w:val="21"/>
                <w:lang w:val="en-GB"/>
              </w:rPr>
              <w:t xml:space="preserve"> (Aktobe, East-Kazakhstan, Pavlodar, Karaganda, Nur-Sultan and Shymkent); </w:t>
            </w:r>
            <w:r w:rsidRPr="00AF43A2">
              <w:rPr>
                <w:rFonts w:eastAsia="Calibri" w:cstheme="minorHAnsi"/>
                <w:b/>
                <w:i/>
                <w:color w:val="1E1E1E" w:themeColor="background2"/>
                <w:sz w:val="21"/>
                <w:szCs w:val="21"/>
                <w:lang w:val="en-GB"/>
              </w:rPr>
              <w:t>ii) 4 ORWs for TG people (2021-2023) in 4 priority Regions</w:t>
            </w:r>
            <w:r w:rsidRPr="00AF43A2">
              <w:rPr>
                <w:rFonts w:eastAsia="Calibri" w:cstheme="minorHAnsi"/>
                <w:color w:val="1E1E1E" w:themeColor="background2"/>
                <w:sz w:val="21"/>
                <w:szCs w:val="21"/>
                <w:lang w:val="en-GB"/>
              </w:rPr>
              <w:t xml:space="preserve"> (Aktobe, Karaganda, Shymkent &amp; Nur-Sultan); as well as: </w:t>
            </w:r>
            <w:r w:rsidRPr="00AF43A2">
              <w:rPr>
                <w:rFonts w:eastAsia="Calibri" w:cstheme="minorHAnsi"/>
                <w:b/>
                <w:i/>
                <w:color w:val="1E1E1E" w:themeColor="background2"/>
                <w:sz w:val="21"/>
                <w:szCs w:val="21"/>
                <w:lang w:val="en-GB"/>
              </w:rPr>
              <w:t>iii) ORWs for PWID (70 in 2021;  60 in 2022; and 50  in 2023) in 3 priority Regions</w:t>
            </w:r>
            <w:r w:rsidRPr="00AF43A2">
              <w:rPr>
                <w:rFonts w:eastAsia="Calibri" w:cstheme="minorHAnsi"/>
                <w:color w:val="1E1E1E" w:themeColor="background2"/>
                <w:sz w:val="21"/>
                <w:szCs w:val="21"/>
                <w:lang w:val="en-GB"/>
              </w:rPr>
              <w:t xml:space="preserve"> (Karaganda and Kostanay regions and </w:t>
            </w:r>
            <w:r w:rsidRPr="0004771A">
              <w:rPr>
                <w:rFonts w:eastAsia="Calibri" w:cstheme="minorHAnsi"/>
                <w:color w:val="1E1E1E" w:themeColor="background2"/>
                <w:sz w:val="21"/>
                <w:szCs w:val="21"/>
                <w:lang w:val="en-GB"/>
              </w:rPr>
              <w:t xml:space="preserve">Nur-Sultan): </w:t>
            </w:r>
            <w:r w:rsidR="00320498" w:rsidRPr="0004771A">
              <w:rPr>
                <w:rFonts w:eastAsia="Calibri" w:cstheme="minorHAnsi"/>
                <w:color w:val="1E1E1E" w:themeColor="background2"/>
                <w:sz w:val="21"/>
                <w:szCs w:val="21"/>
                <w:lang w:val="en-GB"/>
              </w:rPr>
              <w:t xml:space="preserve">special attention will also be given to ensure female ORWs can reach female PWID. </w:t>
            </w:r>
            <w:r w:rsidR="00981CC8" w:rsidRPr="0004771A">
              <w:t>E.g., out of 110 outreach workers in NGOs currently working among PWIDs, 36 (33%) are women. Attracting women outreach workers has increased access to clients, fostered trust, better counse</w:t>
            </w:r>
            <w:r w:rsidR="0004771A" w:rsidRPr="0004771A">
              <w:t>l</w:t>
            </w:r>
            <w:r w:rsidR="00981CC8" w:rsidRPr="0004771A">
              <w:t>ling on safe behavio</w:t>
            </w:r>
            <w:r w:rsidR="0004771A" w:rsidRPr="0004771A">
              <w:t>u</w:t>
            </w:r>
            <w:r w:rsidR="00981CC8" w:rsidRPr="0004771A">
              <w:t xml:space="preserve">r, reproductive health, HIV prevention, </w:t>
            </w:r>
            <w:r w:rsidR="0004771A" w:rsidRPr="0004771A">
              <w:t>STIs</w:t>
            </w:r>
            <w:r w:rsidR="00981CC8" w:rsidRPr="0004771A">
              <w:t>, testing and ART, as well as counse</w:t>
            </w:r>
            <w:r w:rsidR="0004771A" w:rsidRPr="0004771A">
              <w:t>l</w:t>
            </w:r>
            <w:r w:rsidR="00981CC8" w:rsidRPr="0004771A">
              <w:t>ling aimed at preventing violence from sexual and injecting partners.</w:t>
            </w:r>
          </w:p>
          <w:p w14:paraId="773F5014" w14:textId="7BD5CCD7" w:rsidR="00084391" w:rsidRPr="00AF43A2" w:rsidRDefault="00320498" w:rsidP="000A0528">
            <w:pPr>
              <w:spacing w:after="0" w:line="240" w:lineRule="auto"/>
              <w:ind w:firstLine="284"/>
              <w:jc w:val="both"/>
              <w:rPr>
                <w:rFonts w:eastAsia="Calibri" w:cstheme="minorHAnsi"/>
                <w:color w:val="1E1E1E" w:themeColor="background2"/>
                <w:sz w:val="21"/>
                <w:szCs w:val="21"/>
                <w:lang w:val="en-GB"/>
              </w:rPr>
            </w:pPr>
            <w:r>
              <w:rPr>
                <w:rFonts w:eastAsia="Calibri" w:cstheme="minorHAnsi"/>
                <w:color w:val="1E1E1E" w:themeColor="background2"/>
                <w:sz w:val="21"/>
                <w:szCs w:val="21"/>
                <w:lang w:val="en-GB"/>
              </w:rPr>
              <w:t>T</w:t>
            </w:r>
            <w:r w:rsidR="00084391" w:rsidRPr="00AF43A2">
              <w:rPr>
                <w:rFonts w:eastAsia="Calibri" w:cstheme="minorHAnsi"/>
                <w:color w:val="1E1E1E" w:themeColor="background2"/>
                <w:sz w:val="21"/>
                <w:szCs w:val="21"/>
                <w:lang w:val="en-GB"/>
              </w:rPr>
              <w:t>he State will increasingly absorb the costs of these ORWs for PWID. GF support for SW ORWs is no longer requested, and will be covered 100% by the State. The Grant will allow maintaining adequate coverage and quality of outreach work for MSM, TG and PWID in the most affected Regions, while at the same time strengthening the capacity and commitment of the State to increasingly cover these ORWs and key commodities by the end of the grant period (December 2023).</w:t>
            </w:r>
          </w:p>
          <w:p w14:paraId="67212709" w14:textId="108C373D" w:rsidR="004D6615" w:rsidRPr="004C432C" w:rsidRDefault="004D6615" w:rsidP="000A0528">
            <w:pPr>
              <w:spacing w:after="0" w:line="240" w:lineRule="auto"/>
              <w:ind w:firstLine="284"/>
              <w:jc w:val="both"/>
              <w:rPr>
                <w:rFonts w:eastAsia="Calibri" w:cstheme="minorHAnsi"/>
                <w:color w:val="1E1E1E" w:themeColor="background2"/>
                <w:sz w:val="21"/>
                <w:szCs w:val="21"/>
                <w:lang w:val="en-GB"/>
              </w:rPr>
            </w:pPr>
            <w:r w:rsidRPr="004C432C">
              <w:rPr>
                <w:rFonts w:eastAsia="Calibri" w:cstheme="minorHAnsi"/>
                <w:color w:val="1E1E1E" w:themeColor="background2"/>
                <w:sz w:val="21"/>
                <w:szCs w:val="21"/>
                <w:lang w:val="en-GB"/>
              </w:rPr>
              <w:t xml:space="preserve">2) In addition, </w:t>
            </w:r>
            <w:r w:rsidR="00947669">
              <w:rPr>
                <w:rFonts w:eastAsia="Calibri" w:cstheme="minorHAnsi"/>
                <w:color w:val="1E1E1E" w:themeColor="background2"/>
                <w:sz w:val="21"/>
                <w:szCs w:val="21"/>
                <w:lang w:val="en-GB"/>
              </w:rPr>
              <w:t xml:space="preserve">in 2021, </w:t>
            </w:r>
            <w:r w:rsidRPr="004C432C">
              <w:rPr>
                <w:rFonts w:eastAsia="Calibri" w:cstheme="minorHAnsi"/>
                <w:color w:val="1E1E1E" w:themeColor="background2"/>
                <w:sz w:val="21"/>
                <w:szCs w:val="21"/>
                <w:lang w:val="en-GB"/>
              </w:rPr>
              <w:t xml:space="preserve">the grant will support </w:t>
            </w:r>
            <w:r w:rsidRPr="004C432C">
              <w:rPr>
                <w:rFonts w:eastAsia="Calibri" w:cstheme="minorHAnsi"/>
                <w:b/>
                <w:i/>
                <w:color w:val="1E1E1E" w:themeColor="background2"/>
                <w:sz w:val="21"/>
                <w:szCs w:val="21"/>
                <w:lang w:val="en-GB"/>
              </w:rPr>
              <w:t>capacity building of NGO and Government staff</w:t>
            </w:r>
            <w:r w:rsidRPr="004C432C">
              <w:rPr>
                <w:rFonts w:eastAsia="Calibri" w:cstheme="minorHAnsi"/>
                <w:color w:val="1E1E1E" w:themeColor="background2"/>
                <w:sz w:val="21"/>
                <w:szCs w:val="21"/>
                <w:lang w:val="en-GB"/>
              </w:rPr>
              <w:t xml:space="preserve"> working with KPs (MSM, TG, PWID) on harm reduction and other HIV services for KPs. </w:t>
            </w:r>
            <w:r w:rsidRPr="004C432C">
              <w:rPr>
                <w:rFonts w:eastAsia="Calibri" w:cstheme="minorHAnsi"/>
                <w:color w:val="1E1E1E" w:themeColor="background2"/>
                <w:sz w:val="21"/>
                <w:szCs w:val="21"/>
                <w:lang w:val="en-GB"/>
              </w:rPr>
              <w:lastRenderedPageBreak/>
              <w:t>This will involve 4-day training of 20 people</w:t>
            </w:r>
            <w:r w:rsidR="00947669">
              <w:rPr>
                <w:rFonts w:eastAsia="Calibri" w:cstheme="minorHAnsi"/>
                <w:color w:val="1E1E1E" w:themeColor="background2"/>
                <w:sz w:val="21"/>
                <w:szCs w:val="21"/>
                <w:lang w:val="en-GB"/>
              </w:rPr>
              <w:t xml:space="preserve"> (</w:t>
            </w:r>
            <w:proofErr w:type="spellStart"/>
            <w:r w:rsidR="00947669">
              <w:rPr>
                <w:rFonts w:eastAsia="Calibri" w:cstheme="minorHAnsi"/>
                <w:color w:val="1E1E1E" w:themeColor="background2"/>
                <w:sz w:val="21"/>
                <w:szCs w:val="21"/>
                <w:lang w:val="en-GB"/>
              </w:rPr>
              <w:t>ToT</w:t>
            </w:r>
            <w:proofErr w:type="spellEnd"/>
            <w:r w:rsidR="00947669">
              <w:rPr>
                <w:rFonts w:eastAsia="Calibri" w:cstheme="minorHAnsi"/>
                <w:color w:val="1E1E1E" w:themeColor="background2"/>
                <w:sz w:val="21"/>
                <w:szCs w:val="21"/>
                <w:lang w:val="en-GB"/>
              </w:rPr>
              <w:t>)</w:t>
            </w:r>
            <w:r w:rsidRPr="004C432C">
              <w:rPr>
                <w:rFonts w:eastAsia="Calibri" w:cstheme="minorHAnsi"/>
                <w:color w:val="1E1E1E" w:themeColor="background2"/>
                <w:sz w:val="21"/>
                <w:szCs w:val="21"/>
                <w:lang w:val="en-GB"/>
              </w:rPr>
              <w:t xml:space="preserve">, who will subsequently </w:t>
            </w:r>
            <w:r w:rsidR="00947669">
              <w:rPr>
                <w:rFonts w:eastAsia="Calibri" w:cstheme="minorHAnsi"/>
                <w:color w:val="1E1E1E" w:themeColor="background2"/>
                <w:sz w:val="21"/>
                <w:szCs w:val="21"/>
                <w:lang w:val="en-GB"/>
              </w:rPr>
              <w:t xml:space="preserve">conduct cascade (ToT) </w:t>
            </w:r>
            <w:r w:rsidRPr="004C432C">
              <w:rPr>
                <w:rFonts w:eastAsia="Calibri" w:cstheme="minorHAnsi"/>
                <w:color w:val="1E1E1E" w:themeColor="background2"/>
                <w:sz w:val="21"/>
                <w:szCs w:val="21"/>
                <w:lang w:val="en-GB"/>
              </w:rPr>
              <w:t>train</w:t>
            </w:r>
            <w:r w:rsidR="00947669">
              <w:rPr>
                <w:rFonts w:eastAsia="Calibri" w:cstheme="minorHAnsi"/>
                <w:color w:val="1E1E1E" w:themeColor="background2"/>
                <w:sz w:val="21"/>
                <w:szCs w:val="21"/>
                <w:lang w:val="en-GB"/>
              </w:rPr>
              <w:t>ing of</w:t>
            </w:r>
            <w:r w:rsidRPr="004C432C">
              <w:rPr>
                <w:rFonts w:eastAsia="Calibri" w:cstheme="minorHAnsi"/>
                <w:color w:val="1E1E1E" w:themeColor="background2"/>
                <w:sz w:val="21"/>
                <w:szCs w:val="21"/>
                <w:lang w:val="en-GB"/>
              </w:rPr>
              <w:t xml:space="preserve"> ORWs and nurses in 16 regions</w:t>
            </w:r>
            <w:r w:rsidR="00ED09CA">
              <w:rPr>
                <w:rFonts w:eastAsia="Calibri" w:cstheme="minorHAnsi"/>
                <w:color w:val="1E1E1E" w:themeColor="background2"/>
                <w:sz w:val="21"/>
                <w:szCs w:val="21"/>
                <w:lang w:val="en-GB"/>
              </w:rPr>
              <w:t xml:space="preserve"> (in 2021)</w:t>
            </w:r>
            <w:r w:rsidRPr="004C432C">
              <w:rPr>
                <w:rFonts w:eastAsia="Calibri" w:cstheme="minorHAnsi"/>
                <w:color w:val="1E1E1E" w:themeColor="background2"/>
                <w:sz w:val="21"/>
                <w:szCs w:val="21"/>
                <w:lang w:val="en-GB"/>
              </w:rPr>
              <w:t>. These trainings will focus on strengthening the quality of services; client-orientation of services; differential needs of male and female and associated gender inequity affecting female PWID</w:t>
            </w:r>
            <w:r w:rsidR="00320498">
              <w:rPr>
                <w:rFonts w:eastAsia="Calibri" w:cstheme="minorHAnsi"/>
                <w:color w:val="1E1E1E" w:themeColor="background2"/>
                <w:sz w:val="21"/>
                <w:szCs w:val="21"/>
                <w:lang w:val="en-GB"/>
              </w:rPr>
              <w:t xml:space="preserve"> and PLHIV</w:t>
            </w:r>
            <w:r w:rsidRPr="004C432C">
              <w:rPr>
                <w:rFonts w:eastAsia="Calibri" w:cstheme="minorHAnsi"/>
                <w:color w:val="1E1E1E" w:themeColor="background2"/>
                <w:sz w:val="21"/>
                <w:szCs w:val="21"/>
                <w:lang w:val="en-GB"/>
              </w:rPr>
              <w:t>; specific vulnerabilities and needs of young PWID; specific needs of TG people and MSM, including chemsex among MSM etc. While specific services in prisons are not part of this funding request, Prison Authorities will be included in community mobilisation activities (see Intervention 6.2) to strengthen post-release continuity of ART and TB treatment.</w:t>
            </w:r>
          </w:p>
          <w:p w14:paraId="286059AB" w14:textId="58A6182A" w:rsidR="00822540" w:rsidRPr="00AF43A2" w:rsidRDefault="00E2072A" w:rsidP="000A0528">
            <w:pPr>
              <w:spacing w:after="0" w:line="240" w:lineRule="auto"/>
              <w:ind w:firstLine="284"/>
              <w:jc w:val="both"/>
              <w:rPr>
                <w:rFonts w:eastAsia="Calibri" w:cstheme="minorHAnsi"/>
                <w:color w:val="1E1E1E" w:themeColor="background2"/>
                <w:sz w:val="8"/>
                <w:szCs w:val="8"/>
                <w:lang w:val="en-GB"/>
              </w:rPr>
            </w:pPr>
            <w:r w:rsidRPr="00AF43A2">
              <w:rPr>
                <w:rFonts w:eastAsia="Calibri" w:cstheme="minorHAnsi"/>
                <w:color w:val="FF0000"/>
                <w:sz w:val="21"/>
                <w:szCs w:val="21"/>
                <w:lang w:val="en-GB"/>
              </w:rPr>
              <w:t xml:space="preserve"> </w:t>
            </w:r>
          </w:p>
        </w:tc>
      </w:tr>
      <w:tr w:rsidR="00C75ACA" w:rsidRPr="00AF43A2" w14:paraId="2A1A6487" w14:textId="77777777" w:rsidTr="00773CAE">
        <w:trPr>
          <w:trHeight w:val="431"/>
        </w:trPr>
        <w:tc>
          <w:tcPr>
            <w:tcW w:w="1276" w:type="dxa"/>
            <w:shd w:val="clear" w:color="auto" w:fill="F2F2F2"/>
          </w:tcPr>
          <w:p w14:paraId="67B964DA" w14:textId="1EA8348B" w:rsidR="00C75ACA" w:rsidRPr="00AF43A2" w:rsidRDefault="00C75ACA" w:rsidP="000A0528">
            <w:pPr>
              <w:spacing w:after="0" w:line="240" w:lineRule="auto"/>
              <w:rPr>
                <w:rFonts w:cstheme="minorHAnsi"/>
                <w:sz w:val="21"/>
              </w:rPr>
            </w:pPr>
            <w:r w:rsidRPr="00AF43A2">
              <w:rPr>
                <w:rFonts w:cstheme="minorHAnsi"/>
                <w:sz w:val="21"/>
              </w:rPr>
              <w:lastRenderedPageBreak/>
              <w:t xml:space="preserve">Expected </w:t>
            </w:r>
            <w:r w:rsidR="00173817" w:rsidRPr="00AF43A2">
              <w:rPr>
                <w:rFonts w:cstheme="minorHAnsi"/>
                <w:sz w:val="21"/>
              </w:rPr>
              <w:t>Outcome</w:t>
            </w:r>
          </w:p>
        </w:tc>
        <w:tc>
          <w:tcPr>
            <w:tcW w:w="9074" w:type="dxa"/>
            <w:vAlign w:val="center"/>
          </w:tcPr>
          <w:p w14:paraId="6A2BAA2F" w14:textId="77777777" w:rsidR="00977B6E" w:rsidRPr="00AF43A2" w:rsidRDefault="00C17647" w:rsidP="000A0528">
            <w:pPr>
              <w:spacing w:after="0" w:line="240" w:lineRule="auto"/>
              <w:jc w:val="both"/>
              <w:rPr>
                <w:rFonts w:cstheme="minorHAnsi"/>
                <w:b/>
                <w:i/>
                <w:color w:val="1E1E1E" w:themeColor="background2"/>
                <w:sz w:val="21"/>
              </w:rPr>
            </w:pPr>
            <w:r w:rsidRPr="00AF43A2">
              <w:rPr>
                <w:rFonts w:cstheme="minorHAnsi"/>
                <w:color w:val="1E1E1E" w:themeColor="background2"/>
                <w:sz w:val="21"/>
              </w:rPr>
              <w:t xml:space="preserve">The overall expected outcome of the proposed interventions is a </w:t>
            </w:r>
            <w:r w:rsidRPr="00AF43A2">
              <w:rPr>
                <w:rFonts w:cstheme="minorHAnsi"/>
                <w:b/>
                <w:i/>
                <w:color w:val="1E1E1E" w:themeColor="background2"/>
                <w:sz w:val="21"/>
                <w:u w:val="single"/>
              </w:rPr>
              <w:t>sustainable</w:t>
            </w:r>
            <w:r w:rsidRPr="00AF43A2">
              <w:rPr>
                <w:rFonts w:cstheme="minorHAnsi"/>
                <w:b/>
                <w:i/>
                <w:color w:val="1E1E1E" w:themeColor="background2"/>
                <w:sz w:val="21"/>
              </w:rPr>
              <w:t xml:space="preserve"> national response to HIV.</w:t>
            </w:r>
            <w:r w:rsidRPr="00AF43A2">
              <w:rPr>
                <w:rFonts w:cstheme="minorHAnsi"/>
                <w:color w:val="1E1E1E" w:themeColor="background2"/>
                <w:sz w:val="21"/>
              </w:rPr>
              <w:t xml:space="preserve"> All interventions have been explicitly prioritised with the various dimensions of sustainability in mind. </w:t>
            </w:r>
            <w:r w:rsidR="00773CAE" w:rsidRPr="00AF43A2">
              <w:rPr>
                <w:rFonts w:cstheme="minorHAnsi"/>
                <w:color w:val="1E1E1E" w:themeColor="background2"/>
                <w:sz w:val="21"/>
              </w:rPr>
              <w:t xml:space="preserve">This includes investments in financial, community and health systems; removing human rights-related barriers; as well as development of comprehensive, high-quality and innovative services. </w:t>
            </w:r>
            <w:r w:rsidRPr="00AF43A2">
              <w:rPr>
                <w:rFonts w:cstheme="minorHAnsi"/>
                <w:b/>
                <w:i/>
                <w:color w:val="1E1E1E" w:themeColor="background2"/>
                <w:sz w:val="21"/>
              </w:rPr>
              <w:t>1) Financial sustainability</w:t>
            </w:r>
            <w:r w:rsidRPr="00AF43A2">
              <w:rPr>
                <w:rFonts w:cstheme="minorHAnsi"/>
                <w:color w:val="1E1E1E" w:themeColor="background2"/>
                <w:sz w:val="21"/>
              </w:rPr>
              <w:t xml:space="preserve"> will be strengthened by strengthening sustainable financing through integration of HIV in social contracting and </w:t>
            </w:r>
            <w:r w:rsidR="003766D8" w:rsidRPr="00AF43A2">
              <w:rPr>
                <w:rFonts w:eastAsia="Calibri" w:cstheme="minorHAnsi"/>
                <w:color w:val="1E1E1E" w:themeColor="background2"/>
                <w:sz w:val="21"/>
                <w:szCs w:val="21"/>
                <w:lang w:val="en-GB"/>
              </w:rPr>
              <w:t xml:space="preserve">Compulsory Social Health Insurance; </w:t>
            </w:r>
            <w:r w:rsidRPr="00AF43A2">
              <w:rPr>
                <w:rFonts w:cstheme="minorHAnsi"/>
                <w:b/>
                <w:i/>
                <w:color w:val="1E1E1E" w:themeColor="background2"/>
                <w:sz w:val="21"/>
              </w:rPr>
              <w:t xml:space="preserve">2) Programmatic sustainability </w:t>
            </w:r>
            <w:r w:rsidRPr="00AF43A2">
              <w:rPr>
                <w:rFonts w:cstheme="minorHAnsi"/>
                <w:color w:val="1E1E1E" w:themeColor="background2"/>
                <w:sz w:val="21"/>
              </w:rPr>
              <w:t xml:space="preserve">will benefit from strengthening the coverage, quality and comprehensiveness of service models, by introducing innovative approaches and filling gaps in HIV service delivery for KPs; </w:t>
            </w:r>
            <w:r w:rsidRPr="00AF43A2">
              <w:rPr>
                <w:rFonts w:cstheme="minorHAnsi"/>
                <w:b/>
                <w:i/>
                <w:color w:val="1E1E1E" w:themeColor="background2"/>
                <w:sz w:val="21"/>
              </w:rPr>
              <w:t>3)</w:t>
            </w:r>
            <w:r w:rsidRPr="00AF43A2">
              <w:rPr>
                <w:rFonts w:cstheme="minorHAnsi"/>
                <w:color w:val="1E1E1E" w:themeColor="background2"/>
                <w:sz w:val="21"/>
              </w:rPr>
              <w:t xml:space="preserve"> </w:t>
            </w:r>
            <w:r w:rsidRPr="00AF43A2">
              <w:rPr>
                <w:rFonts w:cstheme="minorHAnsi"/>
                <w:b/>
                <w:i/>
                <w:color w:val="1E1E1E" w:themeColor="background2"/>
                <w:sz w:val="21"/>
              </w:rPr>
              <w:t xml:space="preserve">Systems-related sustainability </w:t>
            </w:r>
            <w:r w:rsidRPr="00AF43A2">
              <w:rPr>
                <w:rFonts w:cstheme="minorHAnsi"/>
                <w:color w:val="1E1E1E" w:themeColor="background2"/>
                <w:sz w:val="21"/>
              </w:rPr>
              <w:t xml:space="preserve">involves </w:t>
            </w:r>
            <w:r w:rsidRPr="00AF43A2">
              <w:rPr>
                <w:rFonts w:cstheme="minorHAnsi"/>
                <w:b/>
                <w:i/>
                <w:color w:val="1E1E1E" w:themeColor="background2"/>
                <w:sz w:val="21"/>
              </w:rPr>
              <w:t>community</w:t>
            </w:r>
            <w:r w:rsidRPr="00AF43A2">
              <w:rPr>
                <w:rFonts w:cstheme="minorHAnsi"/>
                <w:color w:val="1E1E1E" w:themeColor="background2"/>
                <w:sz w:val="21"/>
              </w:rPr>
              <w:t xml:space="preserve"> </w:t>
            </w:r>
            <w:r w:rsidRPr="00AF43A2">
              <w:rPr>
                <w:rFonts w:cstheme="minorHAnsi"/>
                <w:b/>
                <w:i/>
                <w:color w:val="1E1E1E" w:themeColor="background2"/>
                <w:sz w:val="21"/>
              </w:rPr>
              <w:t>systems</w:t>
            </w:r>
            <w:r w:rsidRPr="00AF43A2">
              <w:rPr>
                <w:rFonts w:cstheme="minorHAnsi"/>
                <w:color w:val="1E1E1E" w:themeColor="background2"/>
                <w:sz w:val="21"/>
              </w:rPr>
              <w:t xml:space="preserve"> strengthening by strengthening CSO institutional capacity; and building community linkages and partnerships between CSOs and State institutions; as well as key components of the </w:t>
            </w:r>
            <w:r w:rsidRPr="00AF43A2">
              <w:rPr>
                <w:rFonts w:cstheme="minorHAnsi"/>
                <w:b/>
                <w:i/>
                <w:color w:val="1E1E1E" w:themeColor="background2"/>
                <w:sz w:val="21"/>
              </w:rPr>
              <w:t>health system</w:t>
            </w:r>
            <w:r w:rsidRPr="00AF43A2">
              <w:rPr>
                <w:rFonts w:cstheme="minorHAnsi"/>
                <w:color w:val="1E1E1E" w:themeColor="background2"/>
                <w:sz w:val="21"/>
              </w:rPr>
              <w:t xml:space="preserve"> (HMIS and Lab systems); and </w:t>
            </w:r>
            <w:r w:rsidRPr="00AF43A2">
              <w:rPr>
                <w:rFonts w:cstheme="minorHAnsi"/>
                <w:b/>
                <w:i/>
                <w:color w:val="1E1E1E" w:themeColor="background2"/>
                <w:sz w:val="21"/>
              </w:rPr>
              <w:t>4) Human rights-related sustainability</w:t>
            </w:r>
            <w:r w:rsidRPr="00AF43A2">
              <w:rPr>
                <w:rFonts w:cstheme="minorHAnsi"/>
                <w:color w:val="1E1E1E" w:themeColor="background2"/>
                <w:sz w:val="21"/>
              </w:rPr>
              <w:t xml:space="preserve"> will be strengthened by addressing the structural forces in society, that hamper effective HIV programming; by addressing stigma and discrimination; and removing legal barriers. </w:t>
            </w:r>
            <w:r w:rsidRPr="00AF43A2">
              <w:rPr>
                <w:rFonts w:cstheme="minorHAnsi"/>
                <w:b/>
                <w:i/>
                <w:color w:val="1E1E1E" w:themeColor="background2"/>
                <w:sz w:val="21"/>
              </w:rPr>
              <w:t>More details of the outcomes are mentioned in the “Rationale” section above.</w:t>
            </w:r>
          </w:p>
          <w:p w14:paraId="4E5EE8EB" w14:textId="51933803" w:rsidR="00A64EE6" w:rsidRPr="00AF43A2" w:rsidRDefault="00A64EE6" w:rsidP="000A0528">
            <w:pPr>
              <w:spacing w:after="0" w:line="240" w:lineRule="auto"/>
              <w:ind w:firstLine="171"/>
              <w:jc w:val="both"/>
              <w:rPr>
                <w:rFonts w:cstheme="minorHAnsi"/>
                <w:color w:val="1E1E1E" w:themeColor="background2"/>
                <w:sz w:val="21"/>
              </w:rPr>
            </w:pPr>
            <w:r w:rsidRPr="00AF43A2">
              <w:rPr>
                <w:rFonts w:cstheme="minorHAnsi"/>
                <w:color w:val="1E1E1E" w:themeColor="background2"/>
                <w:sz w:val="21"/>
              </w:rPr>
              <w:t xml:space="preserve">In addition, the </w:t>
            </w:r>
            <w:r w:rsidRPr="00AF43A2">
              <w:rPr>
                <w:rFonts w:cstheme="minorHAnsi"/>
                <w:b/>
                <w:i/>
                <w:color w:val="1E1E1E" w:themeColor="background2"/>
                <w:sz w:val="21"/>
              </w:rPr>
              <w:t>Performance Framework</w:t>
            </w:r>
            <w:r w:rsidRPr="00AF43A2">
              <w:rPr>
                <w:rFonts w:cstheme="minorHAnsi"/>
                <w:color w:val="1E1E1E" w:themeColor="background2"/>
                <w:sz w:val="21"/>
              </w:rPr>
              <w:t xml:space="preserve"> (attached) provides details on the targets for key impact, outcome and coverage indicators, as well as Work Plan </w:t>
            </w:r>
            <w:r w:rsidR="00424E99">
              <w:rPr>
                <w:rFonts w:cstheme="minorHAnsi"/>
                <w:color w:val="1E1E1E" w:themeColor="background2"/>
                <w:sz w:val="21"/>
              </w:rPr>
              <w:t>T</w:t>
            </w:r>
            <w:r w:rsidRPr="00AF43A2">
              <w:rPr>
                <w:rFonts w:cstheme="minorHAnsi"/>
                <w:color w:val="1E1E1E" w:themeColor="background2"/>
                <w:sz w:val="21"/>
              </w:rPr>
              <w:t>racking Measures for core components of the Funding Request.</w:t>
            </w:r>
          </w:p>
        </w:tc>
      </w:tr>
    </w:tbl>
    <w:p w14:paraId="2EBF73D3" w14:textId="01CB2678" w:rsidR="001F7F10" w:rsidRPr="00AF43A2" w:rsidRDefault="001F7F10" w:rsidP="000A0528">
      <w:pPr>
        <w:spacing w:after="0" w:line="240" w:lineRule="auto"/>
        <w:rPr>
          <w:rFonts w:asciiTheme="minorHAnsi" w:hAnsiTheme="minorHAnsi" w:cstheme="minorHAnsi"/>
          <w:sz w:val="21"/>
          <w:szCs w:val="21"/>
        </w:rPr>
      </w:pPr>
    </w:p>
    <w:p w14:paraId="19D9996B" w14:textId="22E12DDE" w:rsidR="008C36D5" w:rsidRPr="00AF43A2" w:rsidRDefault="008C36D5" w:rsidP="000A0528">
      <w:pPr>
        <w:spacing w:after="0" w:line="240" w:lineRule="auto"/>
        <w:rPr>
          <w:rFonts w:asciiTheme="minorHAnsi" w:hAnsiTheme="minorHAnsi" w:cstheme="minorHAnsi"/>
          <w:sz w:val="21"/>
          <w:szCs w:val="21"/>
        </w:rPr>
      </w:pPr>
    </w:p>
    <w:p w14:paraId="6B219CAE" w14:textId="44E689D0" w:rsidR="005A1EDA" w:rsidRPr="00AF43A2" w:rsidRDefault="005A1EDA" w:rsidP="000A0528">
      <w:pPr>
        <w:pStyle w:val="affff3"/>
        <w:numPr>
          <w:ilvl w:val="0"/>
          <w:numId w:val="23"/>
        </w:numPr>
        <w:spacing w:after="0" w:line="240" w:lineRule="auto"/>
        <w:ind w:left="270" w:hanging="270"/>
        <w:jc w:val="both"/>
        <w:rPr>
          <w:rFonts w:asciiTheme="minorHAnsi" w:hAnsiTheme="minorHAnsi" w:cstheme="minorHAnsi"/>
          <w:bCs/>
          <w:iCs/>
          <w:sz w:val="21"/>
          <w:szCs w:val="21"/>
        </w:rPr>
      </w:pPr>
      <w:r w:rsidRPr="00AF43A2">
        <w:rPr>
          <w:rFonts w:asciiTheme="minorHAnsi" w:hAnsiTheme="minorHAnsi" w:cstheme="minorHAnsi"/>
          <w:sz w:val="21"/>
          <w:szCs w:val="21"/>
        </w:rPr>
        <w:t xml:space="preserve">Does any aspect of this funding request </w:t>
      </w:r>
      <w:r w:rsidR="00561767" w:rsidRPr="00AF43A2">
        <w:rPr>
          <w:rFonts w:asciiTheme="minorHAnsi" w:hAnsiTheme="minorHAnsi" w:cstheme="minorHAnsi"/>
          <w:sz w:val="21"/>
          <w:szCs w:val="21"/>
        </w:rPr>
        <w:t xml:space="preserve">use </w:t>
      </w:r>
      <w:r w:rsidRPr="00AF43A2">
        <w:rPr>
          <w:rFonts w:asciiTheme="minorHAnsi" w:hAnsiTheme="minorHAnsi" w:cstheme="minorHAnsi"/>
          <w:sz w:val="21"/>
          <w:szCs w:val="21"/>
        </w:rPr>
        <w:t xml:space="preserve">a </w:t>
      </w:r>
      <w:r w:rsidR="00F112AD" w:rsidRPr="00AF43A2">
        <w:rPr>
          <w:rFonts w:asciiTheme="minorHAnsi" w:hAnsiTheme="minorHAnsi" w:cstheme="minorHAnsi"/>
          <w:b/>
          <w:sz w:val="21"/>
          <w:szCs w:val="21"/>
        </w:rPr>
        <w:t>P</w:t>
      </w:r>
      <w:r w:rsidRPr="00AF43A2">
        <w:rPr>
          <w:rFonts w:asciiTheme="minorHAnsi" w:hAnsiTheme="minorHAnsi" w:cstheme="minorHAnsi"/>
          <w:b/>
          <w:sz w:val="21"/>
          <w:szCs w:val="21"/>
        </w:rPr>
        <w:t>ayment</w:t>
      </w:r>
      <w:r w:rsidR="00F112AD" w:rsidRPr="00AF43A2">
        <w:rPr>
          <w:rFonts w:asciiTheme="minorHAnsi" w:hAnsiTheme="minorHAnsi" w:cstheme="minorHAnsi"/>
          <w:b/>
          <w:sz w:val="21"/>
          <w:szCs w:val="21"/>
        </w:rPr>
        <w:t xml:space="preserve"> </w:t>
      </w:r>
      <w:r w:rsidRPr="00AF43A2">
        <w:rPr>
          <w:rFonts w:asciiTheme="minorHAnsi" w:hAnsiTheme="minorHAnsi" w:cstheme="minorHAnsi"/>
          <w:b/>
          <w:sz w:val="21"/>
          <w:szCs w:val="21"/>
        </w:rPr>
        <w:t>for</w:t>
      </w:r>
      <w:r w:rsidR="00F112AD" w:rsidRPr="00AF43A2">
        <w:rPr>
          <w:rFonts w:asciiTheme="minorHAnsi" w:hAnsiTheme="minorHAnsi" w:cstheme="minorHAnsi"/>
          <w:b/>
          <w:sz w:val="21"/>
          <w:szCs w:val="21"/>
        </w:rPr>
        <w:t xml:space="preserve"> R</w:t>
      </w:r>
      <w:r w:rsidRPr="00AF43A2">
        <w:rPr>
          <w:rFonts w:asciiTheme="minorHAnsi" w:hAnsiTheme="minorHAnsi" w:cstheme="minorHAnsi"/>
          <w:b/>
          <w:sz w:val="21"/>
          <w:szCs w:val="21"/>
        </w:rPr>
        <w:t>esults</w:t>
      </w:r>
      <w:r w:rsidRPr="00AF43A2">
        <w:rPr>
          <w:rFonts w:asciiTheme="minorHAnsi" w:hAnsiTheme="minorHAnsi" w:cstheme="minorHAnsi"/>
          <w:sz w:val="21"/>
          <w:szCs w:val="21"/>
        </w:rPr>
        <w:t xml:space="preserve"> </w:t>
      </w:r>
      <w:r w:rsidR="00F401B6" w:rsidRPr="00AF43A2">
        <w:rPr>
          <w:rFonts w:asciiTheme="minorHAnsi" w:hAnsiTheme="minorHAnsi" w:cstheme="minorHAnsi"/>
          <w:sz w:val="21"/>
          <w:szCs w:val="21"/>
        </w:rPr>
        <w:t>modality</w:t>
      </w:r>
      <w:r w:rsidRPr="00AF43A2">
        <w:rPr>
          <w:rFonts w:asciiTheme="minorHAnsi" w:hAnsiTheme="minorHAnsi" w:cstheme="minorHAnsi"/>
          <w:sz w:val="21"/>
          <w:szCs w:val="21"/>
        </w:rPr>
        <w:t xml:space="preserve">? </w:t>
      </w:r>
    </w:p>
    <w:p w14:paraId="5B41D531" w14:textId="77777777" w:rsidR="00112420" w:rsidRPr="00AF43A2" w:rsidRDefault="00112420" w:rsidP="000A0528">
      <w:pPr>
        <w:pStyle w:val="affff3"/>
        <w:spacing w:after="0" w:line="240" w:lineRule="auto"/>
        <w:ind w:left="270"/>
        <w:jc w:val="both"/>
        <w:rPr>
          <w:rFonts w:asciiTheme="minorHAnsi" w:hAnsiTheme="minorHAnsi" w:cstheme="minorHAnsi"/>
          <w:bCs/>
          <w:iCs/>
          <w:sz w:val="21"/>
          <w:szCs w:val="21"/>
        </w:rPr>
      </w:pPr>
    </w:p>
    <w:p w14:paraId="0384A4D1" w14:textId="1B4B19EF" w:rsidR="005A1EDA" w:rsidRPr="00AF43A2" w:rsidRDefault="00946163" w:rsidP="000A0528">
      <w:pPr>
        <w:pStyle w:val="affff3"/>
        <w:spacing w:after="0" w:line="240" w:lineRule="auto"/>
        <w:ind w:left="90" w:firstLine="540"/>
        <w:jc w:val="both"/>
        <w:rPr>
          <w:rFonts w:asciiTheme="minorHAnsi" w:hAnsiTheme="minorHAnsi" w:cstheme="minorHAnsi"/>
          <w:bCs/>
          <w:iCs/>
          <w:sz w:val="21"/>
          <w:szCs w:val="21"/>
        </w:rPr>
      </w:pPr>
      <w:sdt>
        <w:sdtPr>
          <w:rPr>
            <w:rFonts w:asciiTheme="minorHAnsi" w:eastAsia="MS Gothic" w:hAnsiTheme="minorHAnsi" w:cstheme="minorHAnsi"/>
            <w:bCs/>
            <w:iCs/>
            <w:sz w:val="21"/>
            <w:szCs w:val="21"/>
          </w:rPr>
          <w:id w:val="1477947221"/>
          <w14:checkbox>
            <w14:checked w14:val="0"/>
            <w14:checkedState w14:val="2612" w14:font="MS Gothic"/>
            <w14:uncheckedState w14:val="2610" w14:font="MS Gothic"/>
          </w14:checkbox>
        </w:sdtPr>
        <w:sdtEndPr/>
        <w:sdtContent>
          <w:r w:rsidR="0098143C" w:rsidRPr="00AF43A2">
            <w:rPr>
              <w:rFonts w:ascii="Segoe UI Symbol" w:eastAsia="MS Gothic" w:hAnsi="Segoe UI Symbol" w:cs="Segoe UI Symbol"/>
              <w:bCs/>
              <w:iCs/>
              <w:sz w:val="21"/>
              <w:szCs w:val="21"/>
            </w:rPr>
            <w:t>☐</w:t>
          </w:r>
        </w:sdtContent>
      </w:sdt>
      <w:r w:rsidR="005A1EDA" w:rsidRPr="00AF43A2">
        <w:rPr>
          <w:rFonts w:asciiTheme="minorHAnsi" w:hAnsiTheme="minorHAnsi" w:cstheme="minorHAnsi"/>
          <w:bCs/>
          <w:iCs/>
          <w:sz w:val="21"/>
          <w:szCs w:val="21"/>
        </w:rPr>
        <w:t xml:space="preserve"> Yes         </w:t>
      </w:r>
      <w:sdt>
        <w:sdtPr>
          <w:rPr>
            <w:rFonts w:asciiTheme="minorHAnsi" w:hAnsiTheme="minorHAnsi" w:cstheme="minorHAnsi"/>
            <w:b/>
            <w:bCs/>
            <w:iCs/>
            <w:sz w:val="21"/>
            <w:szCs w:val="21"/>
          </w:rPr>
          <w:id w:val="-1054162004"/>
          <w14:checkbox>
            <w14:checked w14:val="1"/>
            <w14:checkedState w14:val="2612" w14:font="MS Gothic"/>
            <w14:uncheckedState w14:val="2610" w14:font="MS Gothic"/>
          </w14:checkbox>
        </w:sdtPr>
        <w:sdtEndPr/>
        <w:sdtContent>
          <w:r w:rsidR="005F0694" w:rsidRPr="00AF43A2">
            <w:rPr>
              <w:rFonts w:ascii="Segoe UI Symbol" w:eastAsia="MS Gothic" w:hAnsi="Segoe UI Symbol" w:cs="Segoe UI Symbol"/>
              <w:b/>
              <w:bCs/>
              <w:iCs/>
              <w:sz w:val="21"/>
              <w:szCs w:val="21"/>
            </w:rPr>
            <w:t>☒</w:t>
          </w:r>
        </w:sdtContent>
      </w:sdt>
      <w:r w:rsidR="005A1EDA" w:rsidRPr="00AF43A2">
        <w:rPr>
          <w:rFonts w:asciiTheme="minorHAnsi" w:hAnsiTheme="minorHAnsi" w:cstheme="minorHAnsi"/>
          <w:b/>
          <w:bCs/>
          <w:iCs/>
          <w:sz w:val="21"/>
          <w:szCs w:val="21"/>
        </w:rPr>
        <w:t xml:space="preserve"> No</w:t>
      </w:r>
    </w:p>
    <w:p w14:paraId="67E3E790" w14:textId="6A1FA61A" w:rsidR="00C921BC" w:rsidRPr="00AF43A2" w:rsidRDefault="00C921BC" w:rsidP="000A0528">
      <w:pPr>
        <w:spacing w:after="0" w:line="240" w:lineRule="auto"/>
        <w:rPr>
          <w:rFonts w:asciiTheme="minorHAnsi" w:hAnsiTheme="minorHAnsi" w:cstheme="minorHAnsi"/>
          <w:bCs/>
          <w:sz w:val="21"/>
          <w:szCs w:val="21"/>
        </w:rPr>
      </w:pPr>
    </w:p>
    <w:p w14:paraId="20EC314E" w14:textId="77777777" w:rsidR="000E0ACF" w:rsidRPr="00AF43A2" w:rsidRDefault="000E0ACF" w:rsidP="000A0528">
      <w:pPr>
        <w:pStyle w:val="affff3"/>
        <w:numPr>
          <w:ilvl w:val="0"/>
          <w:numId w:val="23"/>
        </w:numPr>
        <w:spacing w:after="0" w:line="240" w:lineRule="auto"/>
        <w:ind w:left="360"/>
        <w:jc w:val="both"/>
        <w:rPr>
          <w:rFonts w:asciiTheme="minorHAnsi" w:hAnsiTheme="minorHAnsi" w:cstheme="minorHAnsi"/>
          <w:sz w:val="21"/>
          <w:szCs w:val="21"/>
        </w:rPr>
      </w:pPr>
      <w:r w:rsidRPr="00AF43A2">
        <w:rPr>
          <w:rFonts w:asciiTheme="minorHAnsi" w:hAnsiTheme="minorHAnsi" w:cstheme="minorHAnsi"/>
          <w:b/>
          <w:sz w:val="21"/>
          <w:szCs w:val="21"/>
        </w:rPr>
        <w:t xml:space="preserve">Opportunities for integration: </w:t>
      </w:r>
      <w:r w:rsidRPr="00AF43A2">
        <w:rPr>
          <w:rFonts w:asciiTheme="minorHAnsi" w:hAnsiTheme="minorHAnsi" w:cstheme="minorHAnsi"/>
          <w:sz w:val="21"/>
          <w:szCs w:val="21"/>
        </w:rPr>
        <w:t xml:space="preserve">Explain how the proposed investments take into consideration: </w:t>
      </w:r>
    </w:p>
    <w:p w14:paraId="202C3D7A" w14:textId="34FA5BB1" w:rsidR="000E0ACF" w:rsidRPr="00AF43A2" w:rsidRDefault="00F112AD" w:rsidP="000A0528">
      <w:pPr>
        <w:pStyle w:val="affff3"/>
        <w:numPr>
          <w:ilvl w:val="0"/>
          <w:numId w:val="24"/>
        </w:numPr>
        <w:spacing w:after="0" w:line="240" w:lineRule="auto"/>
        <w:jc w:val="both"/>
        <w:rPr>
          <w:rFonts w:asciiTheme="minorHAnsi" w:hAnsiTheme="minorHAnsi" w:cstheme="minorHAnsi"/>
          <w:sz w:val="21"/>
          <w:szCs w:val="21"/>
        </w:rPr>
      </w:pPr>
      <w:r w:rsidRPr="00AF43A2">
        <w:rPr>
          <w:rFonts w:asciiTheme="minorHAnsi" w:hAnsiTheme="minorHAnsi" w:cstheme="minorHAnsi"/>
          <w:sz w:val="21"/>
          <w:szCs w:val="21"/>
        </w:rPr>
        <w:t>N</w:t>
      </w:r>
      <w:r w:rsidR="000E0ACF" w:rsidRPr="00AF43A2">
        <w:rPr>
          <w:rFonts w:asciiTheme="minorHAnsi" w:hAnsiTheme="minorHAnsi" w:cstheme="minorHAnsi"/>
          <w:sz w:val="21"/>
          <w:szCs w:val="21"/>
        </w:rPr>
        <w:t>eeds across the three diseases and other related health program</w:t>
      </w:r>
      <w:r w:rsidR="005F0694" w:rsidRPr="00AF43A2">
        <w:rPr>
          <w:rFonts w:asciiTheme="minorHAnsi" w:hAnsiTheme="minorHAnsi" w:cstheme="minorHAnsi"/>
          <w:sz w:val="21"/>
          <w:szCs w:val="21"/>
        </w:rPr>
        <w:t>me</w:t>
      </w:r>
      <w:r w:rsidR="000E0ACF" w:rsidRPr="00AF43A2">
        <w:rPr>
          <w:rFonts w:asciiTheme="minorHAnsi" w:hAnsiTheme="minorHAnsi" w:cstheme="minorHAnsi"/>
          <w:sz w:val="21"/>
          <w:szCs w:val="21"/>
        </w:rPr>
        <w:t xml:space="preserve">s; </w:t>
      </w:r>
    </w:p>
    <w:p w14:paraId="5C3F3760" w14:textId="20DCA6B9" w:rsidR="000E0ACF" w:rsidRPr="00AF43A2" w:rsidRDefault="00F112AD" w:rsidP="000A0528">
      <w:pPr>
        <w:pStyle w:val="affff9"/>
        <w:numPr>
          <w:ilvl w:val="0"/>
          <w:numId w:val="24"/>
        </w:numPr>
        <w:spacing w:after="0" w:line="240" w:lineRule="auto"/>
        <w:jc w:val="both"/>
        <w:rPr>
          <w:rFonts w:asciiTheme="minorHAnsi" w:hAnsiTheme="minorHAnsi" w:cstheme="minorHAnsi"/>
          <w:sz w:val="21"/>
          <w:szCs w:val="21"/>
        </w:rPr>
      </w:pPr>
      <w:r w:rsidRPr="00AF43A2">
        <w:rPr>
          <w:rFonts w:asciiTheme="minorHAnsi" w:hAnsiTheme="minorHAnsi" w:cstheme="minorHAnsi"/>
          <w:sz w:val="21"/>
          <w:szCs w:val="21"/>
        </w:rPr>
        <w:t>L</w:t>
      </w:r>
      <w:r w:rsidR="000E0ACF" w:rsidRPr="00AF43A2">
        <w:rPr>
          <w:rFonts w:asciiTheme="minorHAnsi" w:hAnsiTheme="minorHAnsi" w:cstheme="minorHAnsi"/>
          <w:sz w:val="21"/>
          <w:szCs w:val="21"/>
        </w:rPr>
        <w:t>inks with the broader health systems to improve disease outcomes, efficiency and program</w:t>
      </w:r>
      <w:r w:rsidR="005F0694" w:rsidRPr="00AF43A2">
        <w:rPr>
          <w:rFonts w:asciiTheme="minorHAnsi" w:hAnsiTheme="minorHAnsi" w:cstheme="minorHAnsi"/>
          <w:sz w:val="21"/>
          <w:szCs w:val="21"/>
        </w:rPr>
        <w:t>me</w:t>
      </w:r>
      <w:r w:rsidR="000E0ACF" w:rsidRPr="00AF43A2">
        <w:rPr>
          <w:rFonts w:asciiTheme="minorHAnsi" w:hAnsiTheme="minorHAnsi" w:cstheme="minorHAnsi"/>
          <w:sz w:val="21"/>
          <w:szCs w:val="21"/>
        </w:rPr>
        <w:t xml:space="preserve"> sustainability.</w:t>
      </w:r>
    </w:p>
    <w:p w14:paraId="003C57B6" w14:textId="77777777" w:rsidR="000E0ACF" w:rsidRPr="00AF43A2" w:rsidRDefault="000E0ACF" w:rsidP="000A0528">
      <w:pPr>
        <w:pStyle w:val="affff3"/>
        <w:spacing w:after="0" w:line="240" w:lineRule="auto"/>
        <w:ind w:left="0"/>
        <w:rPr>
          <w:rFonts w:asciiTheme="minorHAnsi" w:hAnsiTheme="minorHAnsi" w:cstheme="minorHAnsi"/>
          <w:sz w:val="21"/>
          <w:szCs w:val="21"/>
        </w:rPr>
      </w:pPr>
    </w:p>
    <w:tbl>
      <w:tblPr>
        <w:tblStyle w:val="aa"/>
        <w:tblW w:w="0" w:type="auto"/>
        <w:tblLook w:val="04A0" w:firstRow="1" w:lastRow="0" w:firstColumn="1" w:lastColumn="0" w:noHBand="0" w:noVBand="1"/>
      </w:tblPr>
      <w:tblGrid>
        <w:gridCol w:w="10456"/>
      </w:tblGrid>
      <w:tr w:rsidR="000E0ACF" w:rsidRPr="00AF43A2" w14:paraId="63001F24" w14:textId="77777777" w:rsidTr="00F268A0">
        <w:tc>
          <w:tcPr>
            <w:tcW w:w="10790" w:type="dxa"/>
          </w:tcPr>
          <w:p w14:paraId="276C3B38" w14:textId="5C5DEDE9" w:rsidR="00673397" w:rsidRPr="00AF43A2" w:rsidRDefault="00673397" w:rsidP="000A0528">
            <w:pPr>
              <w:tabs>
                <w:tab w:val="left" w:pos="10637"/>
              </w:tabs>
              <w:spacing w:after="0" w:line="240" w:lineRule="auto"/>
              <w:jc w:val="both"/>
              <w:rPr>
                <w:rFonts w:eastAsia="Calibri" w:cs="Arial"/>
                <w:color w:val="000000"/>
                <w:sz w:val="21"/>
                <w:szCs w:val="21"/>
                <w:lang w:val="en-GB"/>
              </w:rPr>
            </w:pPr>
            <w:r w:rsidRPr="00AF43A2">
              <w:rPr>
                <w:rFonts w:eastAsia="Calibri" w:cs="Arial"/>
                <w:color w:val="000000"/>
                <w:sz w:val="21"/>
                <w:szCs w:val="21"/>
                <w:lang w:val="en-GB"/>
              </w:rPr>
              <w:t xml:space="preserve">To date, State funding already covers 95% of the national HIV response, which includes TB-HIV and HCV-related services for KPs. This funding request aims to contribute to systemic gaps that still exist, and which include both HIV-specific interventions, and interventions aimed to address systems issues. In this regard, the proposed investments of this </w:t>
            </w:r>
            <w:r w:rsidR="00923161">
              <w:rPr>
                <w:rFonts w:eastAsia="Calibri" w:cs="Arial"/>
                <w:color w:val="000000"/>
                <w:sz w:val="21"/>
                <w:szCs w:val="21"/>
                <w:lang w:val="en-GB"/>
              </w:rPr>
              <w:t>F</w:t>
            </w:r>
            <w:r w:rsidRPr="00AF43A2">
              <w:rPr>
                <w:rFonts w:eastAsia="Calibri" w:cs="Arial"/>
                <w:color w:val="000000"/>
                <w:sz w:val="21"/>
                <w:szCs w:val="21"/>
                <w:lang w:val="en-GB"/>
              </w:rPr>
              <w:t xml:space="preserve">unding </w:t>
            </w:r>
            <w:r w:rsidR="00923161">
              <w:rPr>
                <w:rFonts w:eastAsia="Calibri" w:cs="Arial"/>
                <w:color w:val="000000"/>
                <w:sz w:val="21"/>
                <w:szCs w:val="21"/>
                <w:lang w:val="en-GB"/>
              </w:rPr>
              <w:t>R</w:t>
            </w:r>
            <w:r w:rsidRPr="00AF43A2">
              <w:rPr>
                <w:rFonts w:eastAsia="Calibri" w:cs="Arial"/>
                <w:color w:val="000000"/>
                <w:sz w:val="21"/>
                <w:szCs w:val="21"/>
                <w:lang w:val="en-GB"/>
              </w:rPr>
              <w:t xml:space="preserve">equest not only take into consideration the needs across HIV and TB, or links with the broader health system, but also try to contribute to the integration of HIV in </w:t>
            </w:r>
            <w:r w:rsidRPr="00AF43A2">
              <w:rPr>
                <w:rFonts w:eastAsia="Calibri" w:cs="Arial"/>
                <w:i/>
                <w:color w:val="000000"/>
                <w:sz w:val="21"/>
                <w:szCs w:val="21"/>
                <w:lang w:val="en-GB"/>
              </w:rPr>
              <w:t>broader</w:t>
            </w:r>
            <w:r w:rsidRPr="00AF43A2">
              <w:rPr>
                <w:rFonts w:eastAsia="Calibri" w:cs="Arial"/>
                <w:color w:val="000000"/>
                <w:sz w:val="21"/>
                <w:szCs w:val="21"/>
                <w:lang w:val="en-GB"/>
              </w:rPr>
              <w:t xml:space="preserve"> public systems. This includes incorporating HIV services in compulsory social health insurance, as well as in broader social contracting systems, that allow HIV service provision by civil society organisations to key populations.</w:t>
            </w:r>
          </w:p>
          <w:p w14:paraId="7E289008" w14:textId="3AC69ADD" w:rsidR="00673397" w:rsidRPr="00AF43A2" w:rsidRDefault="00673397" w:rsidP="000A0528">
            <w:pPr>
              <w:tabs>
                <w:tab w:val="left" w:pos="10637"/>
              </w:tabs>
              <w:spacing w:after="0" w:line="240" w:lineRule="auto"/>
              <w:ind w:firstLine="284"/>
              <w:jc w:val="both"/>
              <w:rPr>
                <w:rFonts w:eastAsia="Calibri" w:cs="Arial"/>
                <w:color w:val="000000"/>
                <w:sz w:val="21"/>
                <w:szCs w:val="21"/>
                <w:lang w:val="en-GB"/>
              </w:rPr>
            </w:pPr>
            <w:r w:rsidRPr="00AF43A2">
              <w:rPr>
                <w:rFonts w:eastAsia="Calibri" w:cs="Arial"/>
                <w:color w:val="000000"/>
                <w:sz w:val="21"/>
                <w:szCs w:val="21"/>
                <w:lang w:val="en-GB"/>
              </w:rPr>
              <w:t xml:space="preserve">As mentioned earlier, the funding request has a major focus on </w:t>
            </w:r>
            <w:r w:rsidRPr="00923161">
              <w:rPr>
                <w:rFonts w:eastAsia="Calibri" w:cs="Arial"/>
                <w:b/>
                <w:i/>
                <w:color w:val="000000"/>
                <w:sz w:val="21"/>
                <w:szCs w:val="21"/>
                <w:lang w:val="en-GB"/>
              </w:rPr>
              <w:t>strengthening sustainability</w:t>
            </w:r>
            <w:r w:rsidRPr="00AF43A2">
              <w:rPr>
                <w:rFonts w:eastAsia="Calibri" w:cs="Arial"/>
                <w:color w:val="000000"/>
                <w:sz w:val="21"/>
                <w:szCs w:val="21"/>
                <w:lang w:val="en-GB"/>
              </w:rPr>
              <w:t>, and in this context</w:t>
            </w:r>
            <w:r w:rsidR="00923161">
              <w:rPr>
                <w:rFonts w:eastAsia="Calibri" w:cs="Arial"/>
                <w:color w:val="000000"/>
                <w:sz w:val="21"/>
                <w:szCs w:val="21"/>
                <w:lang w:val="en-GB"/>
              </w:rPr>
              <w:t>, it</w:t>
            </w:r>
            <w:r w:rsidRPr="00AF43A2">
              <w:rPr>
                <w:rFonts w:eastAsia="Calibri" w:cs="Arial"/>
                <w:color w:val="000000"/>
                <w:sz w:val="21"/>
                <w:szCs w:val="21"/>
                <w:lang w:val="en-GB"/>
              </w:rPr>
              <w:t xml:space="preserve"> includes many interventions to strengthen community systems as well as health systems beyond the specific area of HIV. These include:</w:t>
            </w:r>
          </w:p>
          <w:p w14:paraId="752A880D" w14:textId="30229BFA" w:rsidR="00673397" w:rsidRPr="00AF43A2" w:rsidRDefault="00673397" w:rsidP="000A0528">
            <w:pPr>
              <w:widowControl w:val="0"/>
              <w:numPr>
                <w:ilvl w:val="0"/>
                <w:numId w:val="37"/>
              </w:numPr>
              <w:tabs>
                <w:tab w:val="left" w:pos="10637"/>
              </w:tabs>
              <w:autoSpaceDE w:val="0"/>
              <w:autoSpaceDN w:val="0"/>
              <w:spacing w:after="0" w:line="240" w:lineRule="auto"/>
              <w:ind w:left="284" w:hanging="284"/>
              <w:jc w:val="both"/>
              <w:rPr>
                <w:rFonts w:eastAsia="Arial" w:cs="Arial"/>
                <w:color w:val="000000"/>
                <w:sz w:val="21"/>
                <w:szCs w:val="21"/>
                <w:lang w:bidi="en-US"/>
              </w:rPr>
            </w:pPr>
            <w:r w:rsidRPr="00AF43A2">
              <w:rPr>
                <w:rFonts w:eastAsia="Arial" w:cs="Arial"/>
                <w:color w:val="000000"/>
                <w:sz w:val="21"/>
                <w:szCs w:val="21"/>
                <w:lang w:bidi="en-US"/>
              </w:rPr>
              <w:t xml:space="preserve">Removing human rights-related barriers to services for KPs – such as interventions to </w:t>
            </w:r>
            <w:r w:rsidRPr="00AF43A2">
              <w:rPr>
                <w:rFonts w:eastAsia="Arial" w:cs="Arial"/>
                <w:b/>
                <w:i/>
                <w:color w:val="000000"/>
                <w:sz w:val="21"/>
                <w:szCs w:val="21"/>
                <w:lang w:bidi="en-US"/>
              </w:rPr>
              <w:t>reduce stigma and discrimination</w:t>
            </w:r>
            <w:r w:rsidRPr="00AF43A2">
              <w:rPr>
                <w:rFonts w:eastAsia="Arial" w:cs="Arial"/>
                <w:color w:val="000000"/>
                <w:sz w:val="21"/>
                <w:szCs w:val="21"/>
                <w:lang w:bidi="en-US"/>
              </w:rPr>
              <w:t xml:space="preserve"> of KPs and PLHIV or providing legal support to KPs, PLHIV and undocumented migrants – will also benefit their access to TB</w:t>
            </w:r>
            <w:r w:rsidR="00923161">
              <w:rPr>
                <w:rFonts w:eastAsia="Arial" w:cs="Arial"/>
                <w:color w:val="000000"/>
                <w:sz w:val="21"/>
                <w:szCs w:val="21"/>
                <w:lang w:bidi="en-US"/>
              </w:rPr>
              <w:t>, Hepatitis C</w:t>
            </w:r>
            <w:r w:rsidRPr="00AF43A2">
              <w:rPr>
                <w:rFonts w:eastAsia="Arial" w:cs="Arial"/>
                <w:color w:val="000000"/>
                <w:sz w:val="21"/>
                <w:szCs w:val="21"/>
                <w:lang w:bidi="en-US"/>
              </w:rPr>
              <w:t xml:space="preserve"> and overall health-care services, as well as social services and support systems;</w:t>
            </w:r>
          </w:p>
          <w:p w14:paraId="7BB25261" w14:textId="77777777" w:rsidR="00673397" w:rsidRPr="00AF43A2" w:rsidRDefault="00673397" w:rsidP="000A0528">
            <w:pPr>
              <w:widowControl w:val="0"/>
              <w:numPr>
                <w:ilvl w:val="0"/>
                <w:numId w:val="37"/>
              </w:numPr>
              <w:tabs>
                <w:tab w:val="left" w:pos="10637"/>
              </w:tabs>
              <w:autoSpaceDE w:val="0"/>
              <w:autoSpaceDN w:val="0"/>
              <w:spacing w:after="0" w:line="240" w:lineRule="auto"/>
              <w:ind w:left="284" w:hanging="284"/>
              <w:jc w:val="both"/>
              <w:rPr>
                <w:rFonts w:eastAsia="Arial" w:cs="Arial"/>
                <w:color w:val="000000"/>
                <w:sz w:val="21"/>
                <w:szCs w:val="21"/>
                <w:lang w:bidi="en-US"/>
              </w:rPr>
            </w:pPr>
            <w:r w:rsidRPr="00AF43A2">
              <w:rPr>
                <w:rFonts w:eastAsia="Arial" w:cs="Arial"/>
                <w:b/>
                <w:i/>
                <w:color w:val="000000"/>
                <w:sz w:val="21"/>
                <w:szCs w:val="21"/>
                <w:lang w:bidi="en-US"/>
              </w:rPr>
              <w:t>Strengthening social contracting</w:t>
            </w:r>
            <w:r w:rsidRPr="00AF43A2">
              <w:rPr>
                <w:rFonts w:eastAsia="Arial" w:cs="Arial"/>
                <w:color w:val="000000"/>
                <w:sz w:val="21"/>
                <w:szCs w:val="21"/>
                <w:lang w:bidi="en-US"/>
              </w:rPr>
              <w:t xml:space="preserve"> will also benefit NGO service delivery to KPs in other areas, including TB, HCV, sexual and reproductive health, and harm reduction programmes;</w:t>
            </w:r>
          </w:p>
          <w:p w14:paraId="030F5697" w14:textId="77777777" w:rsidR="00673397" w:rsidRPr="00AF43A2" w:rsidRDefault="00673397" w:rsidP="000A0528">
            <w:pPr>
              <w:widowControl w:val="0"/>
              <w:numPr>
                <w:ilvl w:val="0"/>
                <w:numId w:val="37"/>
              </w:numPr>
              <w:tabs>
                <w:tab w:val="left" w:pos="10637"/>
              </w:tabs>
              <w:autoSpaceDE w:val="0"/>
              <w:autoSpaceDN w:val="0"/>
              <w:spacing w:after="0" w:line="240" w:lineRule="auto"/>
              <w:ind w:left="284" w:hanging="284"/>
              <w:jc w:val="both"/>
              <w:rPr>
                <w:rFonts w:eastAsia="Arial" w:cs="Arial"/>
                <w:color w:val="000000"/>
                <w:sz w:val="21"/>
                <w:szCs w:val="21"/>
                <w:lang w:bidi="en-US"/>
              </w:rPr>
            </w:pPr>
            <w:r w:rsidRPr="00AF43A2">
              <w:rPr>
                <w:rFonts w:eastAsia="Arial" w:cs="Arial"/>
                <w:color w:val="000000"/>
                <w:sz w:val="21"/>
                <w:szCs w:val="21"/>
                <w:lang w:bidi="en-US"/>
              </w:rPr>
              <w:t xml:space="preserve">The overall strong focus on strengthening </w:t>
            </w:r>
            <w:r w:rsidRPr="00AF43A2">
              <w:rPr>
                <w:rFonts w:eastAsia="Arial" w:cs="Arial"/>
                <w:b/>
                <w:i/>
                <w:color w:val="000000"/>
                <w:sz w:val="21"/>
                <w:szCs w:val="21"/>
                <w:lang w:bidi="en-US"/>
              </w:rPr>
              <w:t>community-based interventions</w:t>
            </w:r>
            <w:r w:rsidRPr="00AF43A2">
              <w:rPr>
                <w:rFonts w:eastAsia="Arial" w:cs="Arial"/>
                <w:color w:val="000000"/>
                <w:sz w:val="21"/>
                <w:szCs w:val="21"/>
                <w:lang w:bidi="en-US"/>
              </w:rPr>
              <w:t xml:space="preserve"> will benefit health and social programmes for key and vulnerable populations beyond HIV, TB and broader health issues. This includes support for outreach work among KPs in priority regions that are currently under-served; community-based HIV testing; community-based OD management programmes; community-based support for ART adherence; community-based legal services by street lawyers, for KPs, PLHIV and undocumented migrants; interventions aimed to forge community linkages between NGOs and State institutions beyond the mere field </w:t>
            </w:r>
            <w:r w:rsidRPr="00AF43A2">
              <w:rPr>
                <w:rFonts w:eastAsia="Arial" w:cs="Arial"/>
                <w:color w:val="000000"/>
                <w:sz w:val="21"/>
                <w:szCs w:val="21"/>
                <w:lang w:bidi="en-US"/>
              </w:rPr>
              <w:lastRenderedPageBreak/>
              <w:t xml:space="preserve">of HIV; and strengthening the institutional capacity of NGOs. All these interventions have a </w:t>
            </w:r>
            <w:r w:rsidRPr="00923161">
              <w:rPr>
                <w:rFonts w:eastAsia="Arial" w:cs="Arial"/>
                <w:b/>
                <w:i/>
                <w:color w:val="000000"/>
                <w:sz w:val="21"/>
                <w:szCs w:val="21"/>
                <w:lang w:bidi="en-US"/>
              </w:rPr>
              <w:t xml:space="preserve">knock-on effect on broader health and community systems beyond HIV, </w:t>
            </w:r>
            <w:r w:rsidRPr="00AF43A2">
              <w:rPr>
                <w:rFonts w:eastAsia="Arial" w:cs="Arial"/>
                <w:color w:val="000000"/>
                <w:sz w:val="21"/>
                <w:szCs w:val="21"/>
                <w:lang w:bidi="en-US"/>
              </w:rPr>
              <w:t>as they strengthen KPs’ and PLHIV’s access to health and social services, as well as sustainable financing for these services.</w:t>
            </w:r>
          </w:p>
          <w:p w14:paraId="7E79A25D" w14:textId="77777777" w:rsidR="00673397" w:rsidRPr="00AF43A2" w:rsidRDefault="00673397" w:rsidP="000A0528">
            <w:pPr>
              <w:widowControl w:val="0"/>
              <w:numPr>
                <w:ilvl w:val="0"/>
                <w:numId w:val="37"/>
              </w:numPr>
              <w:tabs>
                <w:tab w:val="left" w:pos="10637"/>
              </w:tabs>
              <w:autoSpaceDE w:val="0"/>
              <w:autoSpaceDN w:val="0"/>
              <w:spacing w:after="0" w:line="240" w:lineRule="auto"/>
              <w:ind w:left="284" w:hanging="284"/>
              <w:jc w:val="both"/>
              <w:rPr>
                <w:rFonts w:eastAsia="Arial" w:cs="Arial"/>
                <w:color w:val="000000"/>
                <w:sz w:val="21"/>
                <w:szCs w:val="21"/>
                <w:lang w:bidi="en-US"/>
              </w:rPr>
            </w:pPr>
            <w:r w:rsidRPr="00AF43A2">
              <w:rPr>
                <w:rFonts w:eastAsia="Arial" w:cs="Arial"/>
                <w:color w:val="000000"/>
                <w:sz w:val="21"/>
                <w:szCs w:val="21"/>
                <w:lang w:bidi="en-US"/>
              </w:rPr>
              <w:t xml:space="preserve">Strengthening components of the health system will not only benefit HIV services: e.g. </w:t>
            </w:r>
            <w:r w:rsidRPr="00AF43A2">
              <w:rPr>
                <w:rFonts w:eastAsia="Arial" w:cs="Arial"/>
                <w:b/>
                <w:i/>
                <w:color w:val="000000"/>
                <w:sz w:val="21"/>
                <w:szCs w:val="21"/>
                <w:lang w:bidi="en-US"/>
              </w:rPr>
              <w:t>supporting a system of QR codes</w:t>
            </w:r>
            <w:r w:rsidRPr="00AF43A2">
              <w:rPr>
                <w:rFonts w:eastAsia="Arial" w:cs="Arial"/>
                <w:color w:val="000000"/>
                <w:sz w:val="21"/>
                <w:szCs w:val="21"/>
                <w:lang w:bidi="en-US"/>
              </w:rPr>
              <w:t xml:space="preserve"> among all service providers and service points for PLHIV and KPs will facilitate their access to other services as well. Similarly, strengthening laboratory systems will have benefits beyond HIV.</w:t>
            </w:r>
          </w:p>
          <w:p w14:paraId="0E3A05E0" w14:textId="77777777" w:rsidR="000E0ACF" w:rsidRPr="00AF43A2" w:rsidRDefault="000E0ACF" w:rsidP="000A0528">
            <w:pPr>
              <w:spacing w:after="0" w:line="240" w:lineRule="auto"/>
              <w:rPr>
                <w:rFonts w:asciiTheme="minorHAnsi" w:hAnsiTheme="minorHAnsi" w:cstheme="minorHAnsi"/>
                <w:sz w:val="8"/>
                <w:szCs w:val="8"/>
              </w:rPr>
            </w:pPr>
          </w:p>
        </w:tc>
      </w:tr>
    </w:tbl>
    <w:p w14:paraId="3D813572" w14:textId="77777777" w:rsidR="000E0ACF" w:rsidRPr="00AF43A2" w:rsidRDefault="000E0ACF" w:rsidP="000A0528">
      <w:pPr>
        <w:pStyle w:val="affff3"/>
        <w:spacing w:after="0" w:line="240" w:lineRule="auto"/>
        <w:ind w:left="360"/>
        <w:jc w:val="both"/>
        <w:rPr>
          <w:rFonts w:asciiTheme="minorHAnsi" w:hAnsiTheme="minorHAnsi" w:cstheme="minorHAnsi"/>
          <w:bCs/>
          <w:iCs/>
          <w:sz w:val="21"/>
          <w:szCs w:val="21"/>
        </w:rPr>
      </w:pPr>
    </w:p>
    <w:p w14:paraId="74D7F96A" w14:textId="06F559E3" w:rsidR="00C07F83" w:rsidRPr="00AF43A2" w:rsidRDefault="00561767" w:rsidP="000A0528">
      <w:pPr>
        <w:pStyle w:val="affff3"/>
        <w:numPr>
          <w:ilvl w:val="0"/>
          <w:numId w:val="23"/>
        </w:numPr>
        <w:spacing w:after="0" w:line="240" w:lineRule="auto"/>
        <w:ind w:left="360"/>
        <w:jc w:val="both"/>
        <w:rPr>
          <w:rFonts w:asciiTheme="minorHAnsi" w:hAnsiTheme="minorHAnsi" w:cstheme="minorHAnsi"/>
          <w:bCs/>
          <w:iCs/>
        </w:rPr>
      </w:pPr>
      <w:r w:rsidRPr="00AF43A2">
        <w:rPr>
          <w:rFonts w:asciiTheme="minorHAnsi" w:hAnsiTheme="minorHAnsi" w:cstheme="minorHAnsi"/>
          <w:bCs/>
          <w:iCs/>
          <w:sz w:val="21"/>
          <w:szCs w:val="21"/>
        </w:rPr>
        <w:t>Summari</w:t>
      </w:r>
      <w:r w:rsidR="005F0694" w:rsidRPr="00AF43A2">
        <w:rPr>
          <w:rFonts w:asciiTheme="minorHAnsi" w:hAnsiTheme="minorHAnsi" w:cstheme="minorHAnsi"/>
          <w:bCs/>
          <w:iCs/>
          <w:sz w:val="21"/>
          <w:szCs w:val="21"/>
        </w:rPr>
        <w:t>s</w:t>
      </w:r>
      <w:r w:rsidR="00C07F83" w:rsidRPr="00AF43A2">
        <w:rPr>
          <w:rFonts w:asciiTheme="minorHAnsi" w:hAnsiTheme="minorHAnsi" w:cstheme="minorHAnsi"/>
          <w:bCs/>
          <w:iCs/>
          <w:sz w:val="21"/>
          <w:szCs w:val="21"/>
        </w:rPr>
        <w:t xml:space="preserve">e how the funding request complies with the </w:t>
      </w:r>
      <w:r w:rsidR="00F401B6" w:rsidRPr="00AF43A2">
        <w:rPr>
          <w:rFonts w:asciiTheme="minorHAnsi" w:hAnsiTheme="minorHAnsi" w:cstheme="minorHAnsi"/>
          <w:b/>
          <w:bCs/>
          <w:iCs/>
          <w:sz w:val="21"/>
          <w:szCs w:val="21"/>
        </w:rPr>
        <w:t>application focus</w:t>
      </w:r>
      <w:r w:rsidR="00C07F83" w:rsidRPr="00AF43A2">
        <w:rPr>
          <w:rFonts w:asciiTheme="minorHAnsi" w:hAnsiTheme="minorHAnsi" w:cstheme="minorHAnsi"/>
          <w:b/>
          <w:bCs/>
          <w:iCs/>
          <w:sz w:val="21"/>
          <w:szCs w:val="21"/>
        </w:rPr>
        <w:t xml:space="preserve"> requirements</w:t>
      </w:r>
      <w:r w:rsidR="00C07F83" w:rsidRPr="00AF43A2">
        <w:rPr>
          <w:rFonts w:asciiTheme="minorHAnsi" w:hAnsiTheme="minorHAnsi" w:cstheme="minorHAnsi"/>
          <w:bCs/>
          <w:iCs/>
          <w:sz w:val="21"/>
          <w:szCs w:val="21"/>
        </w:rPr>
        <w:t xml:space="preserve"> specified in the allocation letter</w:t>
      </w:r>
      <w:r w:rsidR="00C07F83" w:rsidRPr="00AF43A2">
        <w:rPr>
          <w:rFonts w:asciiTheme="minorHAnsi" w:hAnsiTheme="minorHAnsi" w:cstheme="minorHAnsi"/>
          <w:bCs/>
          <w:iCs/>
        </w:rPr>
        <w:t>.</w:t>
      </w:r>
    </w:p>
    <w:p w14:paraId="13E5C065" w14:textId="47583716" w:rsidR="00C07F83" w:rsidRPr="00AF43A2" w:rsidRDefault="00C07F83" w:rsidP="000A0528">
      <w:pPr>
        <w:spacing w:after="0" w:line="240" w:lineRule="auto"/>
        <w:rPr>
          <w:rFonts w:asciiTheme="minorHAnsi" w:hAnsiTheme="minorHAnsi" w:cstheme="minorHAnsi"/>
        </w:rPr>
      </w:pPr>
    </w:p>
    <w:tbl>
      <w:tblPr>
        <w:tblStyle w:val="aa"/>
        <w:tblW w:w="0" w:type="auto"/>
        <w:tblLook w:val="04A0" w:firstRow="1" w:lastRow="0" w:firstColumn="1" w:lastColumn="0" w:noHBand="0" w:noVBand="1"/>
      </w:tblPr>
      <w:tblGrid>
        <w:gridCol w:w="10456"/>
      </w:tblGrid>
      <w:tr w:rsidR="00C07F83" w:rsidRPr="00AF43A2" w14:paraId="4DBEFCEF" w14:textId="77777777" w:rsidTr="00C07F83">
        <w:tc>
          <w:tcPr>
            <w:tcW w:w="10456" w:type="dxa"/>
          </w:tcPr>
          <w:p w14:paraId="0FE231D1" w14:textId="6D31B284" w:rsidR="00CC11CD" w:rsidRPr="00AF43A2" w:rsidRDefault="00CC11CD" w:rsidP="000A0528">
            <w:pPr>
              <w:spacing w:after="0" w:line="240" w:lineRule="auto"/>
              <w:jc w:val="both"/>
              <w:rPr>
                <w:rFonts w:eastAsia="Calibri" w:cs="Arial"/>
                <w:color w:val="000000"/>
                <w:sz w:val="21"/>
              </w:rPr>
            </w:pPr>
            <w:r w:rsidRPr="00AF43A2">
              <w:rPr>
                <w:rFonts w:eastAsia="Calibri" w:cs="Arial"/>
                <w:color w:val="000000"/>
                <w:sz w:val="21"/>
              </w:rPr>
              <w:t xml:space="preserve">The Funding request complies with the application focus requirement that 100% of allocation funding should focus on interventions that maintain or scale-up evidence-based </w:t>
            </w:r>
            <w:r w:rsidRPr="00AF43A2">
              <w:rPr>
                <w:rFonts w:eastAsia="Calibri" w:cs="Arial"/>
                <w:b/>
                <w:i/>
                <w:color w:val="000000"/>
                <w:sz w:val="21"/>
              </w:rPr>
              <w:t>interventions for key and vulnerable populations</w:t>
            </w:r>
            <w:r w:rsidRPr="00AF43A2">
              <w:rPr>
                <w:rFonts w:eastAsia="Calibri" w:cs="Arial"/>
                <w:color w:val="000000"/>
                <w:sz w:val="21"/>
              </w:rPr>
              <w:t xml:space="preserve">. All proposed interventions aim to strengthen the sustainability and continuity of HIV prevention, care and treatment services for KPs (especially MSM, TG people and PWID) and PLHIV. This includes the introduction of </w:t>
            </w:r>
            <w:r w:rsidRPr="00AF43A2">
              <w:rPr>
                <w:rFonts w:eastAsia="Calibri" w:cs="Arial"/>
                <w:b/>
                <w:i/>
                <w:color w:val="000000"/>
                <w:sz w:val="21"/>
              </w:rPr>
              <w:t>innovative services</w:t>
            </w:r>
            <w:r w:rsidRPr="00AF43A2">
              <w:rPr>
                <w:rFonts w:eastAsia="Calibri" w:cs="Arial"/>
                <w:color w:val="000000"/>
                <w:sz w:val="21"/>
              </w:rPr>
              <w:t xml:space="preserve">, such as HIV self-testing, services for users of new psychoactive substances (NPS), as well as interventions to fill service gaps, such as OST and community-based OD management for PWID; and PrEP for MSM. The grant will also </w:t>
            </w:r>
            <w:r w:rsidRPr="00AF43A2">
              <w:rPr>
                <w:rFonts w:eastAsia="Calibri" w:cs="Arial"/>
                <w:b/>
                <w:i/>
                <w:color w:val="000000"/>
                <w:sz w:val="21"/>
              </w:rPr>
              <w:t>continuity of services for KPs</w:t>
            </w:r>
            <w:r w:rsidRPr="00AF43A2">
              <w:rPr>
                <w:rFonts w:eastAsia="Calibri" w:cs="Arial"/>
                <w:color w:val="000000"/>
                <w:sz w:val="21"/>
              </w:rPr>
              <w:t xml:space="preserve"> in selected Regions by supporting a buffer stock of key commodities; as well as support for NGO outreach workers for KPs.</w:t>
            </w:r>
          </w:p>
          <w:p w14:paraId="739DDC97" w14:textId="77777777" w:rsidR="00CC11CD" w:rsidRPr="00AF43A2" w:rsidRDefault="00CC11CD" w:rsidP="000A0528">
            <w:pPr>
              <w:spacing w:after="0" w:line="240" w:lineRule="auto"/>
              <w:ind w:firstLine="284"/>
              <w:jc w:val="both"/>
              <w:rPr>
                <w:rFonts w:eastAsia="Calibri" w:cs="Arial"/>
                <w:color w:val="000000"/>
                <w:sz w:val="21"/>
              </w:rPr>
            </w:pPr>
            <w:r w:rsidRPr="00AF43A2">
              <w:rPr>
                <w:rFonts w:eastAsia="Calibri" w:cs="Arial"/>
                <w:color w:val="000000"/>
                <w:sz w:val="21"/>
              </w:rPr>
              <w:t xml:space="preserve">In addition to these innovative services, the FR aims to </w:t>
            </w:r>
            <w:r w:rsidRPr="00AF43A2">
              <w:rPr>
                <w:rFonts w:eastAsia="Calibri" w:cs="Arial"/>
                <w:b/>
                <w:i/>
                <w:color w:val="000000"/>
                <w:sz w:val="21"/>
              </w:rPr>
              <w:t>reduce</w:t>
            </w:r>
            <w:r w:rsidRPr="00AF43A2">
              <w:rPr>
                <w:rFonts w:eastAsia="Calibri" w:cs="Arial"/>
                <w:color w:val="000000"/>
                <w:sz w:val="21"/>
              </w:rPr>
              <w:t xml:space="preserve"> </w:t>
            </w:r>
            <w:r w:rsidRPr="00AF43A2">
              <w:rPr>
                <w:rFonts w:eastAsia="Calibri" w:cs="Arial"/>
                <w:b/>
                <w:i/>
                <w:color w:val="000000"/>
                <w:sz w:val="21"/>
              </w:rPr>
              <w:t>human rights-related barriers to HIV for KPs and PLHIV,</w:t>
            </w:r>
            <w:r w:rsidRPr="00AF43A2">
              <w:rPr>
                <w:rFonts w:eastAsia="Calibri" w:cs="Arial"/>
                <w:color w:val="000000"/>
                <w:sz w:val="21"/>
              </w:rPr>
              <w:t xml:space="preserve"> by addressing stigma and discrimination, and offering community-based legal support to KPs and PLHIV.</w:t>
            </w:r>
          </w:p>
          <w:p w14:paraId="7710FE17" w14:textId="77777777" w:rsidR="00C07F83" w:rsidRDefault="00CC11CD" w:rsidP="000A0528">
            <w:pPr>
              <w:spacing w:after="0" w:line="240" w:lineRule="auto"/>
              <w:ind w:firstLine="284"/>
              <w:jc w:val="both"/>
              <w:rPr>
                <w:rFonts w:eastAsia="Calibri" w:cs="Arial"/>
                <w:color w:val="000000"/>
                <w:sz w:val="21"/>
              </w:rPr>
            </w:pPr>
            <w:r w:rsidRPr="00AF43A2">
              <w:rPr>
                <w:rFonts w:eastAsia="Calibri" w:cs="Arial"/>
                <w:color w:val="000000"/>
                <w:sz w:val="21"/>
              </w:rPr>
              <w:t xml:space="preserve">The FR also includes many activities to </w:t>
            </w:r>
            <w:r w:rsidRPr="00AF43A2">
              <w:rPr>
                <w:rFonts w:eastAsia="Calibri" w:cs="Arial"/>
                <w:b/>
                <w:i/>
                <w:color w:val="000000"/>
                <w:sz w:val="21"/>
              </w:rPr>
              <w:t>promote transition readiness</w:t>
            </w:r>
            <w:r w:rsidRPr="00AF43A2">
              <w:rPr>
                <w:rFonts w:eastAsia="Calibri" w:cs="Arial"/>
                <w:color w:val="000000"/>
                <w:sz w:val="21"/>
              </w:rPr>
              <w:t>, such as support for social contracting mechanisms; integration HIV services in the Compulsory Social Health Insurance (CSHI); institutional strengthening of NGOs; and supporting partnership and community linkages between State institutions and NGOs providing services to KPs. In addition. The FR includes interventions to strengthen specific components of the health system (HMIS, Laboratory).</w:t>
            </w:r>
          </w:p>
          <w:p w14:paraId="51EEB5BD" w14:textId="5DC8AFE6" w:rsidR="00F279ED" w:rsidRPr="00F279ED" w:rsidRDefault="00F279ED" w:rsidP="000A0528">
            <w:pPr>
              <w:spacing w:after="0" w:line="240" w:lineRule="auto"/>
              <w:ind w:firstLine="284"/>
              <w:jc w:val="both"/>
              <w:rPr>
                <w:rFonts w:eastAsia="Calibri" w:cs="Arial"/>
                <w:color w:val="000000"/>
                <w:sz w:val="8"/>
                <w:szCs w:val="8"/>
              </w:rPr>
            </w:pPr>
          </w:p>
        </w:tc>
      </w:tr>
    </w:tbl>
    <w:p w14:paraId="7E6105F2" w14:textId="77777777" w:rsidR="00C07F83" w:rsidRPr="00AF43A2" w:rsidRDefault="00C07F83" w:rsidP="000A0528">
      <w:pPr>
        <w:pStyle w:val="affff3"/>
        <w:spacing w:after="0" w:line="240" w:lineRule="auto"/>
        <w:ind w:left="360"/>
        <w:rPr>
          <w:rFonts w:asciiTheme="minorHAnsi" w:hAnsiTheme="minorHAnsi" w:cstheme="minorHAnsi"/>
          <w:bCs/>
        </w:rPr>
      </w:pPr>
    </w:p>
    <w:p w14:paraId="7A1FC4BA" w14:textId="4E7FF184" w:rsidR="00172EDE" w:rsidRPr="00AF43A2" w:rsidRDefault="00172EDE" w:rsidP="000A0528">
      <w:pPr>
        <w:pStyle w:val="affff3"/>
        <w:numPr>
          <w:ilvl w:val="0"/>
          <w:numId w:val="23"/>
        </w:numPr>
        <w:spacing w:after="0" w:line="240" w:lineRule="auto"/>
        <w:ind w:left="360"/>
        <w:jc w:val="both"/>
        <w:rPr>
          <w:rFonts w:asciiTheme="minorHAnsi" w:eastAsia="Times New Roman" w:hAnsiTheme="minorHAnsi" w:cstheme="minorHAnsi"/>
          <w:sz w:val="21"/>
        </w:rPr>
      </w:pPr>
      <w:r w:rsidRPr="00AF43A2">
        <w:rPr>
          <w:rFonts w:asciiTheme="minorHAnsi" w:hAnsiTheme="minorHAnsi" w:cstheme="minorHAnsi"/>
          <w:sz w:val="21"/>
        </w:rPr>
        <w:t xml:space="preserve">Explain how this funding request reflects </w:t>
      </w:r>
      <w:r w:rsidRPr="00AF43A2">
        <w:rPr>
          <w:rFonts w:asciiTheme="minorHAnsi" w:hAnsiTheme="minorHAnsi" w:cstheme="minorHAnsi"/>
          <w:b/>
          <w:bCs/>
          <w:sz w:val="21"/>
        </w:rPr>
        <w:t>value for money</w:t>
      </w:r>
      <w:r w:rsidRPr="00AF43A2">
        <w:rPr>
          <w:rFonts w:asciiTheme="minorHAnsi" w:hAnsiTheme="minorHAnsi" w:cstheme="minorHAnsi"/>
          <w:sz w:val="21"/>
        </w:rPr>
        <w:t xml:space="preserve">, including examples of improvement in value for money compared to the current allocation period. To respond, refer to the Instructions for the aspects of value for money that should be considered. </w:t>
      </w:r>
    </w:p>
    <w:p w14:paraId="372F75AA" w14:textId="4A825384" w:rsidR="00485066" w:rsidRPr="00AF43A2" w:rsidRDefault="00485066" w:rsidP="000A0528">
      <w:pPr>
        <w:pStyle w:val="affff3"/>
        <w:spacing w:after="0" w:line="240" w:lineRule="auto"/>
        <w:rPr>
          <w:rFonts w:asciiTheme="minorHAnsi" w:hAnsiTheme="minorHAnsi" w:cstheme="minorHAnsi"/>
        </w:rPr>
      </w:pPr>
    </w:p>
    <w:tbl>
      <w:tblPr>
        <w:tblStyle w:val="aa"/>
        <w:tblW w:w="0" w:type="auto"/>
        <w:tblLook w:val="04A0" w:firstRow="1" w:lastRow="0" w:firstColumn="1" w:lastColumn="0" w:noHBand="0" w:noVBand="1"/>
      </w:tblPr>
      <w:tblGrid>
        <w:gridCol w:w="10456"/>
      </w:tblGrid>
      <w:tr w:rsidR="00485066" w:rsidRPr="00AF43A2" w14:paraId="7F7FF100" w14:textId="77777777" w:rsidTr="005279BC">
        <w:tc>
          <w:tcPr>
            <w:tcW w:w="10790" w:type="dxa"/>
          </w:tcPr>
          <w:p w14:paraId="3EBFD544" w14:textId="02E66409" w:rsidR="007B655C" w:rsidRPr="00AF43A2" w:rsidRDefault="007B655C" w:rsidP="000A0528">
            <w:pPr>
              <w:spacing w:after="0" w:line="240" w:lineRule="auto"/>
              <w:jc w:val="both"/>
              <w:rPr>
                <w:rFonts w:eastAsia="Calibri" w:cs="Arial"/>
                <w:color w:val="1E1E1E" w:themeColor="background2"/>
                <w:sz w:val="8"/>
                <w:szCs w:val="8"/>
                <w:lang w:val="en-GB"/>
              </w:rPr>
            </w:pPr>
            <w:r w:rsidRPr="00AF43A2">
              <w:rPr>
                <w:rFonts w:eastAsia="Calibri" w:cs="Arial"/>
                <w:b/>
                <w:i/>
                <w:color w:val="1E1E1E" w:themeColor="background2"/>
                <w:sz w:val="21"/>
                <w:szCs w:val="21"/>
                <w:lang w:val="en-GB"/>
              </w:rPr>
              <w:t>Maximising Value for Money</w:t>
            </w:r>
            <w:r w:rsidRPr="00AF43A2">
              <w:rPr>
                <w:rFonts w:eastAsia="Calibri" w:cs="Arial"/>
                <w:color w:val="1E1E1E" w:themeColor="background2"/>
                <w:sz w:val="21"/>
                <w:szCs w:val="21"/>
                <w:lang w:val="en-GB"/>
              </w:rPr>
              <w:t xml:space="preserve"> (VfM) has been a key principle throughout the development of the funding request (FR). As already mentioned, strengthening </w:t>
            </w:r>
            <w:r w:rsidRPr="00AF43A2">
              <w:rPr>
                <w:rFonts w:eastAsia="Calibri" w:cs="Arial"/>
                <w:b/>
                <w:i/>
                <w:color w:val="1E1E1E" w:themeColor="background2"/>
                <w:sz w:val="21"/>
                <w:szCs w:val="21"/>
                <w:lang w:val="en-GB"/>
              </w:rPr>
              <w:t>sustainability</w:t>
            </w:r>
            <w:r w:rsidRPr="00AF43A2">
              <w:rPr>
                <w:rFonts w:eastAsia="Calibri" w:cs="Arial"/>
                <w:color w:val="1E1E1E" w:themeColor="background2"/>
                <w:sz w:val="21"/>
                <w:szCs w:val="21"/>
                <w:lang w:val="en-GB"/>
              </w:rPr>
              <w:t xml:space="preserve"> is the major focus of the FR. Similarly, </w:t>
            </w:r>
            <w:r w:rsidRPr="00AF43A2">
              <w:rPr>
                <w:rFonts w:eastAsia="Calibri" w:cs="Arial"/>
                <w:b/>
                <w:i/>
                <w:color w:val="1E1E1E" w:themeColor="background2"/>
                <w:sz w:val="21"/>
                <w:szCs w:val="21"/>
                <w:lang w:val="en-GB"/>
              </w:rPr>
              <w:t>effectiveness</w:t>
            </w:r>
            <w:r w:rsidRPr="00AF43A2">
              <w:rPr>
                <w:rFonts w:eastAsia="Calibri" w:cs="Arial"/>
                <w:color w:val="1E1E1E" w:themeColor="background2"/>
                <w:sz w:val="21"/>
                <w:szCs w:val="21"/>
                <w:lang w:val="en-GB"/>
              </w:rPr>
              <w:t xml:space="preserve"> of the grant is central to the FR, as it aims to strengthen the </w:t>
            </w:r>
            <w:r w:rsidRPr="00AF43A2">
              <w:rPr>
                <w:rFonts w:eastAsia="Calibri" w:cs="Arial"/>
                <w:b/>
                <w:i/>
                <w:color w:val="1E1E1E" w:themeColor="background2"/>
                <w:sz w:val="21"/>
                <w:szCs w:val="21"/>
                <w:lang w:val="en-GB"/>
              </w:rPr>
              <w:t>quality and comprehensiveness</w:t>
            </w:r>
            <w:r w:rsidRPr="00AF43A2">
              <w:rPr>
                <w:rFonts w:eastAsia="Calibri" w:cs="Arial"/>
                <w:color w:val="1E1E1E" w:themeColor="background2"/>
                <w:sz w:val="21"/>
                <w:szCs w:val="21"/>
                <w:lang w:val="en-GB"/>
              </w:rPr>
              <w:t xml:space="preserve"> of key HIV prevention, testing and care and treatment services</w:t>
            </w:r>
            <w:r w:rsidR="00562FAF" w:rsidRPr="00AF43A2">
              <w:rPr>
                <w:rFonts w:eastAsia="Calibri" w:cs="Arial"/>
                <w:color w:val="1E1E1E" w:themeColor="background2"/>
                <w:sz w:val="21"/>
                <w:szCs w:val="21"/>
                <w:lang w:val="en-GB"/>
              </w:rPr>
              <w:t>. Examples include</w:t>
            </w:r>
            <w:r w:rsidRPr="00AF43A2">
              <w:rPr>
                <w:rFonts w:eastAsia="Calibri" w:cs="Arial"/>
                <w:color w:val="1E1E1E" w:themeColor="background2"/>
                <w:sz w:val="21"/>
                <w:szCs w:val="21"/>
                <w:lang w:val="en-GB"/>
              </w:rPr>
              <w:t xml:space="preserve"> efforts to strengthen service models for TG people and users of NPS; ensure adequate levels of high-quality commodities for MSM, TGs and PWID; and creating overall supportive policy environments that ensure effective policies and financing of key interventions for KPs. Examples of specific </w:t>
            </w:r>
            <w:r w:rsidRPr="00AF43A2">
              <w:rPr>
                <w:rFonts w:eastAsia="Calibri" w:cs="Arial"/>
                <w:b/>
                <w:i/>
                <w:color w:val="1E1E1E" w:themeColor="background2"/>
                <w:sz w:val="21"/>
                <w:szCs w:val="21"/>
                <w:lang w:val="en-GB"/>
              </w:rPr>
              <w:t>challenges to VfM</w:t>
            </w:r>
            <w:r w:rsidRPr="00AF43A2">
              <w:rPr>
                <w:rFonts w:eastAsia="Calibri" w:cs="Arial"/>
                <w:color w:val="1E1E1E" w:themeColor="background2"/>
                <w:sz w:val="21"/>
                <w:szCs w:val="21"/>
                <w:lang w:val="en-GB"/>
              </w:rPr>
              <w:t xml:space="preserve"> include lost investments due to:</w:t>
            </w:r>
          </w:p>
          <w:p w14:paraId="61C6249E" w14:textId="77777777" w:rsidR="00562FAF" w:rsidRPr="00AF43A2" w:rsidRDefault="00562FAF" w:rsidP="000A0528">
            <w:pPr>
              <w:spacing w:after="0" w:line="240" w:lineRule="auto"/>
              <w:jc w:val="both"/>
              <w:rPr>
                <w:rFonts w:eastAsia="Calibri" w:cs="Arial"/>
                <w:color w:val="1E1E1E" w:themeColor="background2"/>
                <w:sz w:val="8"/>
                <w:szCs w:val="8"/>
                <w:lang w:val="en-GB"/>
              </w:rPr>
            </w:pPr>
          </w:p>
          <w:p w14:paraId="606559C8" w14:textId="547E2671" w:rsidR="007B655C" w:rsidRPr="00AF43A2" w:rsidRDefault="00562FAF" w:rsidP="000A0528">
            <w:pPr>
              <w:numPr>
                <w:ilvl w:val="0"/>
                <w:numId w:val="35"/>
              </w:numPr>
              <w:spacing w:after="0" w:line="240" w:lineRule="auto"/>
              <w:ind w:left="284" w:hanging="284"/>
              <w:contextualSpacing/>
              <w:jc w:val="both"/>
              <w:rPr>
                <w:rFonts w:eastAsia="Calibri" w:cs="Arial"/>
                <w:color w:val="1E1E1E" w:themeColor="background2"/>
                <w:sz w:val="21"/>
                <w:szCs w:val="21"/>
                <w:lang w:val="en-GB"/>
              </w:rPr>
            </w:pPr>
            <w:r w:rsidRPr="00AF43A2">
              <w:rPr>
                <w:rFonts w:eastAsia="Calibri" w:cs="Arial"/>
                <w:color w:val="1E1E1E" w:themeColor="background2"/>
                <w:sz w:val="21"/>
                <w:szCs w:val="21"/>
                <w:lang w:val="en-GB"/>
              </w:rPr>
              <w:t>High l</w:t>
            </w:r>
            <w:r w:rsidR="007B655C" w:rsidRPr="00AF43A2">
              <w:rPr>
                <w:rFonts w:eastAsia="Calibri" w:cs="Arial"/>
                <w:color w:val="1E1E1E" w:themeColor="background2"/>
                <w:sz w:val="21"/>
                <w:szCs w:val="21"/>
                <w:lang w:val="en-GB"/>
              </w:rPr>
              <w:t>os</w:t>
            </w:r>
            <w:r w:rsidRPr="00AF43A2">
              <w:rPr>
                <w:rFonts w:eastAsia="Calibri" w:cs="Arial"/>
                <w:color w:val="1E1E1E" w:themeColor="background2"/>
                <w:sz w:val="21"/>
                <w:szCs w:val="21"/>
                <w:lang w:val="en-GB"/>
              </w:rPr>
              <w:t>s</w:t>
            </w:r>
            <w:r w:rsidR="007B655C" w:rsidRPr="00AF43A2">
              <w:rPr>
                <w:rFonts w:eastAsia="Calibri" w:cs="Arial"/>
                <w:color w:val="1E1E1E" w:themeColor="background2"/>
                <w:sz w:val="21"/>
                <w:szCs w:val="21"/>
                <w:lang w:val="en-GB"/>
              </w:rPr>
              <w:t xml:space="preserve"> to follow up of ART patients, especially among PWID</w:t>
            </w:r>
          </w:p>
          <w:p w14:paraId="2B3243D2" w14:textId="77777777" w:rsidR="007B655C" w:rsidRPr="00AF43A2" w:rsidRDefault="007B655C" w:rsidP="000A0528">
            <w:pPr>
              <w:numPr>
                <w:ilvl w:val="0"/>
                <w:numId w:val="35"/>
              </w:numPr>
              <w:spacing w:after="0" w:line="240" w:lineRule="auto"/>
              <w:ind w:left="284" w:hanging="284"/>
              <w:contextualSpacing/>
              <w:jc w:val="both"/>
              <w:rPr>
                <w:rFonts w:eastAsia="Calibri" w:cs="Arial"/>
                <w:color w:val="1E1E1E" w:themeColor="background2"/>
                <w:sz w:val="21"/>
                <w:szCs w:val="21"/>
                <w:lang w:val="en-GB"/>
              </w:rPr>
            </w:pPr>
            <w:r w:rsidRPr="00AF43A2">
              <w:rPr>
                <w:rFonts w:eastAsia="Calibri" w:cs="Arial"/>
                <w:color w:val="1E1E1E" w:themeColor="background2"/>
                <w:sz w:val="21"/>
                <w:szCs w:val="21"/>
                <w:lang w:val="en-GB"/>
              </w:rPr>
              <w:t>High cost of finding new HIV cases due to inefficient testing systems</w:t>
            </w:r>
          </w:p>
          <w:p w14:paraId="426093EC" w14:textId="77777777" w:rsidR="007B655C" w:rsidRPr="00AF43A2" w:rsidRDefault="007B655C" w:rsidP="000A0528">
            <w:pPr>
              <w:numPr>
                <w:ilvl w:val="0"/>
                <w:numId w:val="35"/>
              </w:numPr>
              <w:spacing w:after="0" w:line="240" w:lineRule="auto"/>
              <w:ind w:left="284" w:hanging="284"/>
              <w:contextualSpacing/>
              <w:jc w:val="both"/>
              <w:rPr>
                <w:rFonts w:eastAsia="Calibri" w:cs="Arial"/>
                <w:color w:val="1E1E1E" w:themeColor="background2"/>
                <w:sz w:val="21"/>
                <w:szCs w:val="21"/>
                <w:lang w:val="en-GB"/>
              </w:rPr>
            </w:pPr>
            <w:r w:rsidRPr="00AF43A2">
              <w:rPr>
                <w:rFonts w:eastAsia="Calibri" w:cs="Arial"/>
                <w:color w:val="1E1E1E" w:themeColor="background2"/>
                <w:sz w:val="21"/>
                <w:szCs w:val="21"/>
                <w:lang w:val="en-GB"/>
              </w:rPr>
              <w:t>Poor health outcomes due to low quality and poor comprehensiveness of services</w:t>
            </w:r>
          </w:p>
          <w:p w14:paraId="4DA65E59" w14:textId="77777777" w:rsidR="00562FAF" w:rsidRPr="00AF43A2" w:rsidRDefault="007B655C" w:rsidP="000A0528">
            <w:pPr>
              <w:numPr>
                <w:ilvl w:val="0"/>
                <w:numId w:val="35"/>
              </w:numPr>
              <w:spacing w:after="0" w:line="240" w:lineRule="auto"/>
              <w:ind w:left="284" w:hanging="284"/>
              <w:contextualSpacing/>
              <w:jc w:val="both"/>
              <w:rPr>
                <w:rFonts w:asciiTheme="minorHAnsi" w:eastAsia="Calibri" w:hAnsiTheme="minorHAnsi" w:cstheme="minorHAnsi"/>
                <w:color w:val="1E1E1E" w:themeColor="background2"/>
                <w:sz w:val="21"/>
                <w:szCs w:val="21"/>
                <w:lang w:val="en-GB"/>
              </w:rPr>
            </w:pPr>
            <w:r w:rsidRPr="00AF43A2">
              <w:rPr>
                <w:rFonts w:eastAsia="Calibri" w:cs="Arial"/>
                <w:color w:val="1E1E1E" w:themeColor="background2"/>
                <w:sz w:val="21"/>
                <w:szCs w:val="21"/>
                <w:lang w:val="en-GB"/>
              </w:rPr>
              <w:t xml:space="preserve">Poor </w:t>
            </w:r>
            <w:r w:rsidRPr="00AF43A2">
              <w:rPr>
                <w:rFonts w:asciiTheme="minorHAnsi" w:eastAsia="Calibri" w:hAnsiTheme="minorHAnsi" w:cstheme="minorHAnsi"/>
                <w:color w:val="1E1E1E" w:themeColor="background2"/>
                <w:sz w:val="21"/>
                <w:szCs w:val="21"/>
                <w:lang w:val="en-GB"/>
              </w:rPr>
              <w:t>ART adherence among PWID living with HIV due to low availability and accessibility of OST services</w:t>
            </w:r>
          </w:p>
          <w:p w14:paraId="3D5EA5BA" w14:textId="7006BDA5" w:rsidR="007B655C" w:rsidRPr="00AF43A2" w:rsidRDefault="007B655C" w:rsidP="000A0528">
            <w:pPr>
              <w:numPr>
                <w:ilvl w:val="0"/>
                <w:numId w:val="35"/>
              </w:numPr>
              <w:spacing w:after="0" w:line="240" w:lineRule="auto"/>
              <w:ind w:left="284" w:hanging="284"/>
              <w:contextualSpacing/>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1E1E1E" w:themeColor="background2"/>
                <w:sz w:val="21"/>
                <w:szCs w:val="21"/>
                <w:lang w:val="en-GB"/>
              </w:rPr>
              <w:t>Low uptake of prevention, care and treatment services due to stigma and discrimination of KPs and PLHIV</w:t>
            </w:r>
            <w:r w:rsidR="001671CA" w:rsidRPr="00AF43A2">
              <w:rPr>
                <w:rFonts w:asciiTheme="minorHAnsi" w:eastAsia="Calibri" w:hAnsiTheme="minorHAnsi" w:cstheme="minorHAnsi"/>
                <w:color w:val="1E1E1E" w:themeColor="background2"/>
                <w:sz w:val="21"/>
                <w:szCs w:val="21"/>
                <w:lang w:val="en-GB"/>
              </w:rPr>
              <w:t>.</w:t>
            </w:r>
          </w:p>
          <w:p w14:paraId="56DEBA8B" w14:textId="77777777" w:rsidR="00562FAF" w:rsidRPr="00AF43A2" w:rsidRDefault="00562FAF" w:rsidP="000A0528">
            <w:pPr>
              <w:spacing w:after="0" w:line="240" w:lineRule="auto"/>
              <w:contextualSpacing/>
              <w:jc w:val="both"/>
              <w:rPr>
                <w:rFonts w:asciiTheme="minorHAnsi" w:eastAsia="Calibri" w:hAnsiTheme="minorHAnsi" w:cstheme="minorHAnsi"/>
                <w:color w:val="1E1E1E" w:themeColor="background2"/>
                <w:sz w:val="8"/>
                <w:szCs w:val="8"/>
                <w:lang w:val="en-GB"/>
              </w:rPr>
            </w:pPr>
          </w:p>
          <w:p w14:paraId="2EA31D44" w14:textId="34006343" w:rsidR="001671CA" w:rsidRPr="00AF43A2" w:rsidRDefault="001671CA" w:rsidP="000A0528">
            <w:pPr>
              <w:spacing w:after="0" w:line="240" w:lineRule="auto"/>
              <w:contextualSpacing/>
              <w:jc w:val="both"/>
              <w:rPr>
                <w:rFonts w:asciiTheme="minorHAnsi" w:eastAsia="Calibri" w:hAnsiTheme="minorHAnsi" w:cstheme="minorHAnsi"/>
                <w:color w:val="1E1E1E" w:themeColor="background2"/>
                <w:sz w:val="21"/>
                <w:szCs w:val="21"/>
                <w:lang w:val="en-GB"/>
              </w:rPr>
            </w:pPr>
            <w:r w:rsidRPr="00AF43A2">
              <w:rPr>
                <w:rFonts w:asciiTheme="minorHAnsi" w:eastAsia="Calibri" w:hAnsiTheme="minorHAnsi" w:cstheme="minorHAnsi"/>
                <w:color w:val="1E1E1E" w:themeColor="background2"/>
                <w:sz w:val="21"/>
                <w:szCs w:val="21"/>
                <w:lang w:val="en-GB"/>
              </w:rPr>
              <w:t>Compari</w:t>
            </w:r>
            <w:r w:rsidR="00562FAF" w:rsidRPr="00AF43A2">
              <w:rPr>
                <w:rFonts w:asciiTheme="minorHAnsi" w:eastAsia="Calibri" w:hAnsiTheme="minorHAnsi" w:cstheme="minorHAnsi"/>
                <w:color w:val="1E1E1E" w:themeColor="background2"/>
                <w:sz w:val="21"/>
                <w:szCs w:val="21"/>
                <w:lang w:val="en-GB"/>
              </w:rPr>
              <w:t xml:space="preserve">ng </w:t>
            </w:r>
            <w:r w:rsidRPr="00AF43A2">
              <w:rPr>
                <w:rFonts w:asciiTheme="minorHAnsi" w:eastAsia="Calibri" w:hAnsiTheme="minorHAnsi" w:cstheme="minorHAnsi"/>
                <w:color w:val="1E1E1E" w:themeColor="background2"/>
                <w:sz w:val="21"/>
                <w:szCs w:val="21"/>
                <w:lang w:val="en-GB"/>
              </w:rPr>
              <w:t xml:space="preserve">VfM of the FR with </w:t>
            </w:r>
            <w:r w:rsidRPr="00251CA7">
              <w:rPr>
                <w:rFonts w:asciiTheme="minorHAnsi" w:eastAsia="Calibri" w:hAnsiTheme="minorHAnsi" w:cstheme="minorHAnsi"/>
                <w:color w:val="1E1E1E" w:themeColor="background2"/>
                <w:sz w:val="21"/>
                <w:szCs w:val="21"/>
                <w:lang w:val="en-GB"/>
              </w:rPr>
              <w:t>the current grant is difficult, as the current grant mainly focuses on strengthening social contracting mechanisms</w:t>
            </w:r>
            <w:r w:rsidR="00251CA7" w:rsidRPr="00251CA7">
              <w:rPr>
                <w:rFonts w:asciiTheme="minorHAnsi" w:eastAsia="Calibri" w:hAnsiTheme="minorHAnsi" w:cstheme="minorHAnsi"/>
                <w:color w:val="1E1E1E" w:themeColor="background2"/>
                <w:sz w:val="21"/>
                <w:szCs w:val="21"/>
                <w:lang w:val="en-GB"/>
              </w:rPr>
              <w:t xml:space="preserve"> as well as service delivery</w:t>
            </w:r>
            <w:r w:rsidRPr="00251CA7">
              <w:rPr>
                <w:rFonts w:asciiTheme="minorHAnsi" w:eastAsia="Calibri" w:hAnsiTheme="minorHAnsi" w:cstheme="minorHAnsi"/>
                <w:color w:val="1E1E1E" w:themeColor="background2"/>
                <w:sz w:val="21"/>
                <w:szCs w:val="21"/>
                <w:lang w:val="en-GB"/>
              </w:rPr>
              <w:t xml:space="preserve">, while the FR includes </w:t>
            </w:r>
            <w:r w:rsidRPr="00251CA7">
              <w:rPr>
                <w:rFonts w:asciiTheme="minorHAnsi" w:eastAsia="Calibri" w:hAnsiTheme="minorHAnsi" w:cstheme="minorHAnsi"/>
                <w:i/>
                <w:color w:val="1E1E1E" w:themeColor="background2"/>
                <w:sz w:val="21"/>
                <w:szCs w:val="21"/>
                <w:lang w:val="en-GB"/>
              </w:rPr>
              <w:t>additional</w:t>
            </w:r>
            <w:r w:rsidRPr="00251CA7">
              <w:rPr>
                <w:rFonts w:asciiTheme="minorHAnsi" w:eastAsia="Calibri" w:hAnsiTheme="minorHAnsi" w:cstheme="minorHAnsi"/>
                <w:color w:val="1E1E1E" w:themeColor="background2"/>
                <w:sz w:val="21"/>
                <w:szCs w:val="21"/>
                <w:lang w:val="en-GB"/>
              </w:rPr>
              <w:t xml:space="preserve"> interventions that aim to improve quality and comprehensiveness of services; remove human-rights-related barriers to service uptake; </w:t>
            </w:r>
            <w:r w:rsidR="00562FAF" w:rsidRPr="00251CA7">
              <w:rPr>
                <w:rFonts w:asciiTheme="minorHAnsi" w:eastAsia="Calibri" w:hAnsiTheme="minorHAnsi" w:cstheme="minorHAnsi"/>
                <w:color w:val="1E1E1E" w:themeColor="background2"/>
                <w:sz w:val="21"/>
                <w:szCs w:val="21"/>
                <w:lang w:val="en-GB"/>
              </w:rPr>
              <w:t>a</w:t>
            </w:r>
            <w:r w:rsidR="00C65E50" w:rsidRPr="00251CA7">
              <w:rPr>
                <w:rFonts w:asciiTheme="minorHAnsi" w:eastAsia="Calibri" w:hAnsiTheme="minorHAnsi" w:cstheme="minorHAnsi"/>
                <w:color w:val="1E1E1E" w:themeColor="background2"/>
                <w:sz w:val="21"/>
                <w:szCs w:val="21"/>
                <w:lang w:val="en-GB"/>
              </w:rPr>
              <w:t xml:space="preserve">nd additional </w:t>
            </w:r>
            <w:r w:rsidR="0090077F" w:rsidRPr="00251CA7">
              <w:rPr>
                <w:rFonts w:asciiTheme="minorHAnsi" w:eastAsia="Calibri" w:hAnsiTheme="minorHAnsi" w:cstheme="minorHAnsi"/>
                <w:color w:val="1E1E1E" w:themeColor="background2"/>
                <w:sz w:val="21"/>
                <w:szCs w:val="21"/>
                <w:lang w:val="en-GB"/>
              </w:rPr>
              <w:t xml:space="preserve">efforts to strengthen </w:t>
            </w:r>
            <w:r w:rsidR="00562FAF" w:rsidRPr="00251CA7">
              <w:rPr>
                <w:rFonts w:asciiTheme="minorHAnsi" w:eastAsia="Calibri" w:hAnsiTheme="minorHAnsi" w:cstheme="minorHAnsi"/>
                <w:color w:val="1E1E1E" w:themeColor="background2"/>
                <w:sz w:val="21"/>
                <w:szCs w:val="21"/>
                <w:lang w:val="en-GB"/>
              </w:rPr>
              <w:t>community systems</w:t>
            </w:r>
            <w:r w:rsidR="0090077F" w:rsidRPr="00251CA7">
              <w:rPr>
                <w:rFonts w:asciiTheme="minorHAnsi" w:eastAsia="Calibri" w:hAnsiTheme="minorHAnsi" w:cstheme="minorHAnsi"/>
                <w:color w:val="1E1E1E" w:themeColor="background2"/>
                <w:sz w:val="21"/>
                <w:szCs w:val="21"/>
                <w:lang w:val="en-GB"/>
              </w:rPr>
              <w:t xml:space="preserve"> (CSS)</w:t>
            </w:r>
            <w:r w:rsidR="00562FAF" w:rsidRPr="00251CA7">
              <w:rPr>
                <w:rFonts w:asciiTheme="minorHAnsi" w:eastAsia="Calibri" w:hAnsiTheme="minorHAnsi" w:cstheme="minorHAnsi"/>
                <w:color w:val="1E1E1E" w:themeColor="background2"/>
                <w:sz w:val="21"/>
                <w:szCs w:val="21"/>
                <w:lang w:val="en-GB"/>
              </w:rPr>
              <w:t xml:space="preserve">. However, it is expected that the combination of these different interventions will </w:t>
            </w:r>
            <w:r w:rsidR="00562FAF" w:rsidRPr="00AF43A2">
              <w:rPr>
                <w:rFonts w:asciiTheme="minorHAnsi" w:eastAsia="Calibri" w:hAnsiTheme="minorHAnsi" w:cstheme="minorHAnsi"/>
                <w:color w:val="1E1E1E" w:themeColor="background2"/>
                <w:sz w:val="21"/>
                <w:szCs w:val="21"/>
                <w:lang w:val="en-GB"/>
              </w:rPr>
              <w:t>have a catalytic effect, i.e. it may increase VfM</w:t>
            </w:r>
            <w:r w:rsidR="00231EFE">
              <w:rPr>
                <w:rFonts w:asciiTheme="minorHAnsi" w:eastAsia="Calibri" w:hAnsiTheme="minorHAnsi" w:cstheme="minorHAnsi"/>
                <w:color w:val="1E1E1E" w:themeColor="background2"/>
                <w:sz w:val="21"/>
                <w:szCs w:val="21"/>
                <w:lang w:val="en-GB"/>
              </w:rPr>
              <w:t>,</w:t>
            </w:r>
            <w:r w:rsidR="00562FAF" w:rsidRPr="00AF43A2">
              <w:rPr>
                <w:rFonts w:asciiTheme="minorHAnsi" w:eastAsia="Calibri" w:hAnsiTheme="minorHAnsi" w:cstheme="minorHAnsi"/>
                <w:color w:val="1E1E1E" w:themeColor="background2"/>
                <w:sz w:val="21"/>
                <w:szCs w:val="21"/>
                <w:lang w:val="en-GB"/>
              </w:rPr>
              <w:t xml:space="preserve"> because it not only focuses on supporting the development of social contracting mechanisms</w:t>
            </w:r>
            <w:r w:rsidR="00231EFE">
              <w:rPr>
                <w:rFonts w:asciiTheme="minorHAnsi" w:eastAsia="Calibri" w:hAnsiTheme="minorHAnsi" w:cstheme="minorHAnsi"/>
                <w:color w:val="1E1E1E" w:themeColor="background2"/>
                <w:sz w:val="21"/>
                <w:szCs w:val="21"/>
                <w:lang w:val="en-GB"/>
              </w:rPr>
              <w:t xml:space="preserve"> and service delivery</w:t>
            </w:r>
            <w:r w:rsidR="00562FAF" w:rsidRPr="00AF43A2">
              <w:rPr>
                <w:rFonts w:asciiTheme="minorHAnsi" w:eastAsia="Calibri" w:hAnsiTheme="minorHAnsi" w:cstheme="minorHAnsi"/>
                <w:color w:val="1E1E1E" w:themeColor="background2"/>
                <w:sz w:val="21"/>
                <w:szCs w:val="21"/>
                <w:lang w:val="en-GB"/>
              </w:rPr>
              <w:t>, but also on strengthening capacity of NGOs to successfully apply for social contracts, as well as strengthen partnerships between NGOs and local authorities.</w:t>
            </w:r>
          </w:p>
          <w:p w14:paraId="5357D1C5" w14:textId="2E1C9437" w:rsidR="007B655C" w:rsidRPr="00AF43A2" w:rsidRDefault="007B655C" w:rsidP="000A0528">
            <w:pPr>
              <w:spacing w:after="0" w:line="240" w:lineRule="auto"/>
              <w:rPr>
                <w:rFonts w:asciiTheme="minorHAnsi" w:hAnsiTheme="minorHAnsi" w:cstheme="minorHAnsi"/>
                <w:color w:val="1E1E1E" w:themeColor="background2"/>
                <w:sz w:val="21"/>
                <w:szCs w:val="21"/>
              </w:rPr>
            </w:pPr>
          </w:p>
          <w:p w14:paraId="62E13E48" w14:textId="384BEC1F" w:rsidR="001671CA" w:rsidRPr="00AF43A2" w:rsidRDefault="007B655C" w:rsidP="000A0528">
            <w:pPr>
              <w:pStyle w:val="affff9"/>
              <w:spacing w:after="0"/>
              <w:jc w:val="both"/>
              <w:rPr>
                <w:rFonts w:asciiTheme="minorHAnsi" w:eastAsia="Times New Roman" w:hAnsiTheme="minorHAnsi" w:cstheme="minorHAnsi"/>
                <w:bCs/>
                <w:color w:val="1E1E1E" w:themeColor="background2"/>
                <w:sz w:val="21"/>
                <w:szCs w:val="21"/>
              </w:rPr>
            </w:pPr>
            <w:r w:rsidRPr="00AF43A2">
              <w:rPr>
                <w:rFonts w:asciiTheme="minorHAnsi" w:hAnsiTheme="minorHAnsi" w:cstheme="minorHAnsi"/>
                <w:b/>
                <w:color w:val="1E1E1E" w:themeColor="background2"/>
                <w:sz w:val="21"/>
                <w:szCs w:val="21"/>
              </w:rPr>
              <w:t>Economy</w:t>
            </w:r>
            <w:r w:rsidRPr="00AF43A2">
              <w:rPr>
                <w:rFonts w:asciiTheme="minorHAnsi" w:hAnsiTheme="minorHAnsi" w:cstheme="minorHAnsi"/>
                <w:color w:val="1E1E1E" w:themeColor="background2"/>
                <w:sz w:val="21"/>
                <w:szCs w:val="21"/>
              </w:rPr>
              <w:t xml:space="preserve"> –</w:t>
            </w:r>
            <w:r w:rsidR="001671CA" w:rsidRPr="00AF43A2">
              <w:rPr>
                <w:rFonts w:asciiTheme="minorHAnsi" w:eastAsia="Times New Roman" w:hAnsiTheme="minorHAnsi" w:cstheme="minorHAnsi"/>
                <w:b/>
                <w:bCs/>
                <w:color w:val="1E1E1E" w:themeColor="background2"/>
                <w:sz w:val="21"/>
                <w:szCs w:val="21"/>
              </w:rPr>
              <w:t xml:space="preserve"> </w:t>
            </w:r>
            <w:r w:rsidR="001671CA" w:rsidRPr="00AF43A2">
              <w:rPr>
                <w:rFonts w:asciiTheme="minorHAnsi" w:eastAsia="Times New Roman" w:hAnsiTheme="minorHAnsi" w:cstheme="minorHAnsi"/>
                <w:bCs/>
                <w:color w:val="1E1E1E" w:themeColor="background2"/>
                <w:sz w:val="21"/>
                <w:szCs w:val="21"/>
              </w:rPr>
              <w:t>The funding request includes procurement of health products and human resources. Health products include condoms, lubricants, rapid oral tests, ARV drugs (for PrEP for MSM and ART for migrants), methadone, tablet computers, as well as laboratory equipment. Human resources include technical assistance as well as salaries for NGO staff and outreach workers.</w:t>
            </w:r>
          </w:p>
          <w:p w14:paraId="761F38C1" w14:textId="0DECC1C8" w:rsidR="001671CA" w:rsidRPr="00AF43A2" w:rsidRDefault="001671CA" w:rsidP="000A0528">
            <w:pPr>
              <w:spacing w:after="0" w:line="240" w:lineRule="auto"/>
              <w:ind w:firstLine="284"/>
              <w:jc w:val="both"/>
              <w:rPr>
                <w:rFonts w:asciiTheme="minorHAnsi" w:eastAsia="Times New Roman" w:hAnsiTheme="minorHAnsi" w:cstheme="minorHAnsi"/>
                <w:bCs/>
                <w:color w:val="1E1E1E" w:themeColor="background2"/>
                <w:sz w:val="21"/>
                <w:szCs w:val="21"/>
              </w:rPr>
            </w:pPr>
            <w:r w:rsidRPr="00AF43A2">
              <w:rPr>
                <w:rFonts w:asciiTheme="minorHAnsi" w:eastAsia="Times New Roman" w:hAnsiTheme="minorHAnsi" w:cstheme="minorHAnsi"/>
                <w:bCs/>
                <w:color w:val="1E1E1E" w:themeColor="background2"/>
                <w:sz w:val="21"/>
                <w:szCs w:val="21"/>
              </w:rPr>
              <w:t xml:space="preserve">Procurement of health products will be done using </w:t>
            </w:r>
            <w:r w:rsidR="0090077F" w:rsidRPr="00AF43A2">
              <w:rPr>
                <w:rFonts w:asciiTheme="minorHAnsi" w:eastAsia="Times New Roman" w:hAnsiTheme="minorHAnsi" w:cstheme="minorHAnsi"/>
                <w:bCs/>
                <w:color w:val="1E1E1E" w:themeColor="background2"/>
                <w:sz w:val="21"/>
                <w:szCs w:val="21"/>
              </w:rPr>
              <w:t>a Procurement Agent (UNDP served as such before)</w:t>
            </w:r>
            <w:r w:rsidRPr="00AF43A2">
              <w:rPr>
                <w:rFonts w:asciiTheme="minorHAnsi" w:eastAsia="Times New Roman" w:hAnsiTheme="minorHAnsi" w:cstheme="minorHAnsi"/>
                <w:bCs/>
                <w:color w:val="1E1E1E" w:themeColor="background2"/>
                <w:sz w:val="21"/>
                <w:szCs w:val="21"/>
              </w:rPr>
              <w:t>,</w:t>
            </w:r>
            <w:r w:rsidR="0090077F" w:rsidRPr="00AF43A2">
              <w:rPr>
                <w:rFonts w:asciiTheme="minorHAnsi" w:eastAsia="Times New Roman" w:hAnsiTheme="minorHAnsi" w:cstheme="minorHAnsi"/>
                <w:bCs/>
                <w:color w:val="1E1E1E" w:themeColor="background2"/>
                <w:sz w:val="21"/>
                <w:szCs w:val="21"/>
              </w:rPr>
              <w:t xml:space="preserve"> whose systems</w:t>
            </w:r>
            <w:r w:rsidRPr="00AF43A2">
              <w:rPr>
                <w:rFonts w:asciiTheme="minorHAnsi" w:eastAsia="Times New Roman" w:hAnsiTheme="minorHAnsi" w:cstheme="minorHAnsi"/>
                <w:bCs/>
                <w:color w:val="1E1E1E" w:themeColor="background2"/>
                <w:sz w:val="21"/>
                <w:szCs w:val="21"/>
              </w:rPr>
              <w:t xml:space="preserve"> are designed to ensure transparency, accountability, cost effectiveness and value-for-money. </w:t>
            </w:r>
            <w:r w:rsidRPr="00AF43A2">
              <w:rPr>
                <w:rFonts w:asciiTheme="minorHAnsi" w:eastAsia="Times New Roman" w:hAnsiTheme="minorHAnsi" w:cstheme="minorHAnsi"/>
                <w:bCs/>
                <w:color w:val="1E1E1E" w:themeColor="background2"/>
                <w:sz w:val="21"/>
                <w:szCs w:val="21"/>
              </w:rPr>
              <w:lastRenderedPageBreak/>
              <w:t xml:space="preserve">This implies specific attention for economy, by ensuring the </w:t>
            </w:r>
            <w:r w:rsidRPr="00AF43A2">
              <w:rPr>
                <w:rFonts w:asciiTheme="minorHAnsi" w:eastAsia="Times New Roman" w:hAnsiTheme="minorHAnsi" w:cstheme="minorHAnsi"/>
                <w:b/>
                <w:bCs/>
                <w:i/>
                <w:color w:val="1E1E1E" w:themeColor="background2"/>
                <w:sz w:val="21"/>
                <w:szCs w:val="21"/>
              </w:rPr>
              <w:t>lowest sustainable costs for quality health products</w:t>
            </w:r>
            <w:r w:rsidRPr="00AF43A2">
              <w:rPr>
                <w:rFonts w:asciiTheme="minorHAnsi" w:eastAsia="Times New Roman" w:hAnsiTheme="minorHAnsi" w:cstheme="minorHAnsi"/>
                <w:bCs/>
                <w:color w:val="1E1E1E" w:themeColor="background2"/>
                <w:sz w:val="21"/>
                <w:szCs w:val="21"/>
              </w:rPr>
              <w:t xml:space="preserve"> that produce effective health outcomes. This will involve transparent and competitive procedures for the purchase of quality-assured health products at the reference price for these products.</w:t>
            </w:r>
          </w:p>
          <w:p w14:paraId="26D133D5" w14:textId="76B6861C" w:rsidR="001671CA" w:rsidRPr="00AF43A2" w:rsidRDefault="001671CA" w:rsidP="000A0528">
            <w:pPr>
              <w:spacing w:after="0" w:line="240" w:lineRule="auto"/>
              <w:ind w:firstLine="284"/>
              <w:jc w:val="both"/>
              <w:rPr>
                <w:rFonts w:asciiTheme="minorHAnsi" w:eastAsia="Times New Roman" w:hAnsiTheme="minorHAnsi" w:cstheme="minorHAnsi"/>
                <w:color w:val="1E1E1E" w:themeColor="background2"/>
                <w:sz w:val="21"/>
                <w:szCs w:val="21"/>
              </w:rPr>
            </w:pPr>
            <w:r w:rsidRPr="00AF43A2">
              <w:rPr>
                <w:rFonts w:asciiTheme="minorHAnsi" w:eastAsia="Times New Roman" w:hAnsiTheme="minorHAnsi" w:cstheme="minorHAnsi"/>
                <w:bCs/>
                <w:color w:val="1E1E1E" w:themeColor="background2"/>
                <w:sz w:val="21"/>
                <w:szCs w:val="21"/>
              </w:rPr>
              <w:t xml:space="preserve">Special attention will be given to </w:t>
            </w:r>
            <w:r w:rsidRPr="00AF43A2">
              <w:rPr>
                <w:rFonts w:asciiTheme="minorHAnsi" w:eastAsia="Times New Roman" w:hAnsiTheme="minorHAnsi" w:cstheme="minorHAnsi"/>
                <w:b/>
                <w:bCs/>
                <w:i/>
                <w:color w:val="1E1E1E" w:themeColor="background2"/>
                <w:sz w:val="21"/>
                <w:szCs w:val="21"/>
              </w:rPr>
              <w:t xml:space="preserve">high quality </w:t>
            </w:r>
            <w:r w:rsidRPr="00AF43A2">
              <w:rPr>
                <w:rFonts w:asciiTheme="minorHAnsi" w:eastAsia="Times New Roman" w:hAnsiTheme="minorHAnsi" w:cstheme="minorHAnsi"/>
                <w:bCs/>
                <w:color w:val="1E1E1E" w:themeColor="background2"/>
                <w:sz w:val="21"/>
                <w:szCs w:val="21"/>
              </w:rPr>
              <w:t>of health products, to ensure that they effectively meet the requirements of the users. A good example in this regard are high-quality condoms that meet the expectations of MSM and TG people: while these may have a higher unit price than the cheapest available condoms, higher uptake of these high-quality condoms will ensure VfM</w:t>
            </w:r>
            <w:r w:rsidR="0090077F" w:rsidRPr="00AF43A2">
              <w:rPr>
                <w:rFonts w:asciiTheme="minorHAnsi" w:eastAsia="Times New Roman" w:hAnsiTheme="minorHAnsi" w:cstheme="minorHAnsi"/>
                <w:bCs/>
                <w:color w:val="1E1E1E" w:themeColor="background2"/>
                <w:sz w:val="21"/>
                <w:szCs w:val="21"/>
              </w:rPr>
              <w:t>, and will set a standard for subsequent procurement by the State of these commodities for MSM and TG people specifically</w:t>
            </w:r>
            <w:r w:rsidRPr="00AF43A2">
              <w:rPr>
                <w:rFonts w:asciiTheme="minorHAnsi" w:eastAsia="Times New Roman" w:hAnsiTheme="minorHAnsi" w:cstheme="minorHAnsi"/>
                <w:bCs/>
                <w:color w:val="1E1E1E" w:themeColor="background2"/>
                <w:sz w:val="21"/>
                <w:szCs w:val="21"/>
              </w:rPr>
              <w:t xml:space="preserve">. Similarly, rapid oral testing using OraQuick test will provide economy because of their higher acceptability and therefore </w:t>
            </w:r>
            <w:r w:rsidR="00DA28BD" w:rsidRPr="00AF43A2">
              <w:rPr>
                <w:rFonts w:asciiTheme="minorHAnsi" w:eastAsia="Times New Roman" w:hAnsiTheme="minorHAnsi" w:cstheme="minorHAnsi"/>
                <w:bCs/>
                <w:color w:val="1E1E1E" w:themeColor="background2"/>
                <w:sz w:val="21"/>
                <w:szCs w:val="21"/>
              </w:rPr>
              <w:t xml:space="preserve">higher </w:t>
            </w:r>
            <w:r w:rsidRPr="00AF43A2">
              <w:rPr>
                <w:rFonts w:asciiTheme="minorHAnsi" w:eastAsia="Times New Roman" w:hAnsiTheme="minorHAnsi" w:cstheme="minorHAnsi"/>
                <w:bCs/>
                <w:color w:val="1E1E1E" w:themeColor="background2"/>
                <w:sz w:val="21"/>
                <w:szCs w:val="21"/>
              </w:rPr>
              <w:t xml:space="preserve">uptake by KPs. In another example, </w:t>
            </w:r>
            <w:r w:rsidRPr="00AF43A2">
              <w:rPr>
                <w:rFonts w:asciiTheme="minorHAnsi" w:eastAsia="Times New Roman" w:hAnsiTheme="minorHAnsi" w:cstheme="minorHAnsi"/>
                <w:color w:val="1E1E1E" w:themeColor="background2"/>
                <w:sz w:val="21"/>
                <w:szCs w:val="21"/>
              </w:rPr>
              <w:t xml:space="preserve">PrEP is expected to be a cost-saving intervention, as it is predicted to result in substantial health benefits because of reductions in HIV infections. Whether it will turn out to also be </w:t>
            </w:r>
            <w:r w:rsidR="00DA28BD" w:rsidRPr="00AF43A2">
              <w:rPr>
                <w:rFonts w:asciiTheme="minorHAnsi" w:eastAsia="Times New Roman" w:hAnsiTheme="minorHAnsi" w:cstheme="minorHAnsi"/>
                <w:color w:val="1E1E1E" w:themeColor="background2"/>
                <w:sz w:val="21"/>
                <w:szCs w:val="21"/>
              </w:rPr>
              <w:t>a good investment</w:t>
            </w:r>
            <w:r w:rsidRPr="00AF43A2">
              <w:rPr>
                <w:rFonts w:asciiTheme="minorHAnsi" w:eastAsia="Times New Roman" w:hAnsiTheme="minorHAnsi" w:cstheme="minorHAnsi"/>
                <w:color w:val="1E1E1E" w:themeColor="background2"/>
                <w:sz w:val="21"/>
                <w:szCs w:val="21"/>
              </w:rPr>
              <w:t>, will depend on adherence rates, and if scaled up, on programme coverage.</w:t>
            </w:r>
          </w:p>
          <w:p w14:paraId="42BE45A0" w14:textId="4C1F0C5C" w:rsidR="001671CA" w:rsidRPr="00AF43A2" w:rsidRDefault="00D87719" w:rsidP="000A0528">
            <w:pPr>
              <w:spacing w:after="0" w:line="240" w:lineRule="auto"/>
              <w:ind w:firstLine="284"/>
              <w:jc w:val="both"/>
              <w:rPr>
                <w:rFonts w:asciiTheme="minorHAnsi" w:eastAsia="Times New Roman" w:hAnsiTheme="minorHAnsi" w:cstheme="minorHAnsi"/>
                <w:color w:val="1E1E1E" w:themeColor="background2"/>
                <w:sz w:val="21"/>
                <w:szCs w:val="21"/>
              </w:rPr>
            </w:pPr>
            <w:r w:rsidRPr="00AF43A2">
              <w:rPr>
                <w:rFonts w:asciiTheme="minorHAnsi" w:eastAsia="Times New Roman" w:hAnsiTheme="minorHAnsi" w:cstheme="minorHAnsi"/>
                <w:color w:val="1E1E1E" w:themeColor="background2"/>
                <w:sz w:val="21"/>
                <w:szCs w:val="21"/>
              </w:rPr>
              <w:t xml:space="preserve">The selection of implementing organisations </w:t>
            </w:r>
            <w:r w:rsidR="001671CA" w:rsidRPr="00AF43A2">
              <w:rPr>
                <w:rFonts w:asciiTheme="minorHAnsi" w:eastAsia="Times New Roman" w:hAnsiTheme="minorHAnsi" w:cstheme="minorHAnsi"/>
                <w:color w:val="1E1E1E" w:themeColor="background2"/>
                <w:sz w:val="21"/>
                <w:szCs w:val="21"/>
              </w:rPr>
              <w:t xml:space="preserve">shall be carried out on a </w:t>
            </w:r>
            <w:r w:rsidR="001671CA" w:rsidRPr="00AF43A2">
              <w:rPr>
                <w:rFonts w:asciiTheme="minorHAnsi" w:eastAsia="Times New Roman" w:hAnsiTheme="minorHAnsi" w:cstheme="minorHAnsi"/>
                <w:b/>
                <w:i/>
                <w:color w:val="1E1E1E" w:themeColor="background2"/>
                <w:sz w:val="21"/>
                <w:szCs w:val="21"/>
              </w:rPr>
              <w:t>competitive</w:t>
            </w:r>
            <w:r w:rsidR="001671CA" w:rsidRPr="00AF43A2">
              <w:rPr>
                <w:rFonts w:asciiTheme="minorHAnsi" w:eastAsia="Times New Roman" w:hAnsiTheme="minorHAnsi" w:cstheme="minorHAnsi"/>
                <w:color w:val="1E1E1E" w:themeColor="background2"/>
                <w:sz w:val="21"/>
                <w:szCs w:val="21"/>
              </w:rPr>
              <w:t xml:space="preserve"> basis as much as possible – except in cases where existing subrecipients and/or implementers have been providing satisfactory services at a competitive price, or when a particular service provider is in a unique position to provide these services, such as the Republican Scientific-Practical Centre for Mental Health (RSPCMH) wit</w:t>
            </w:r>
            <w:r w:rsidR="00DA28BD" w:rsidRPr="00AF43A2">
              <w:rPr>
                <w:rFonts w:asciiTheme="minorHAnsi" w:eastAsia="Times New Roman" w:hAnsiTheme="minorHAnsi" w:cstheme="minorHAnsi"/>
                <w:color w:val="1E1E1E" w:themeColor="background2"/>
                <w:sz w:val="21"/>
                <w:szCs w:val="21"/>
              </w:rPr>
              <w:t>h</w:t>
            </w:r>
            <w:r w:rsidR="001671CA" w:rsidRPr="00AF43A2">
              <w:rPr>
                <w:rFonts w:asciiTheme="minorHAnsi" w:eastAsia="Times New Roman" w:hAnsiTheme="minorHAnsi" w:cstheme="minorHAnsi"/>
                <w:color w:val="1E1E1E" w:themeColor="background2"/>
                <w:sz w:val="21"/>
                <w:szCs w:val="21"/>
              </w:rPr>
              <w:t xml:space="preserve"> regard to clinical services for drug users. In all other cases, competitive bidding will be used to select </w:t>
            </w:r>
            <w:r w:rsidRPr="00AF43A2">
              <w:rPr>
                <w:rFonts w:asciiTheme="minorHAnsi" w:eastAsia="Times New Roman" w:hAnsiTheme="minorHAnsi" w:cstheme="minorHAnsi"/>
                <w:color w:val="1E1E1E" w:themeColor="background2"/>
                <w:sz w:val="21"/>
                <w:szCs w:val="21"/>
              </w:rPr>
              <w:t>service</w:t>
            </w:r>
            <w:r w:rsidR="001671CA" w:rsidRPr="00AF43A2">
              <w:rPr>
                <w:rFonts w:asciiTheme="minorHAnsi" w:eastAsia="Times New Roman" w:hAnsiTheme="minorHAnsi" w:cstheme="minorHAnsi"/>
                <w:color w:val="1E1E1E" w:themeColor="background2"/>
                <w:sz w:val="21"/>
                <w:szCs w:val="21"/>
              </w:rPr>
              <w:t xml:space="preserve"> provider</w:t>
            </w:r>
            <w:r w:rsidRPr="00AF43A2">
              <w:rPr>
                <w:rFonts w:asciiTheme="minorHAnsi" w:eastAsia="Times New Roman" w:hAnsiTheme="minorHAnsi" w:cstheme="minorHAnsi"/>
                <w:color w:val="1E1E1E" w:themeColor="background2"/>
                <w:sz w:val="21"/>
                <w:szCs w:val="21"/>
              </w:rPr>
              <w:t>s</w:t>
            </w:r>
            <w:r w:rsidR="001671CA" w:rsidRPr="00AF43A2">
              <w:rPr>
                <w:rFonts w:asciiTheme="minorHAnsi" w:eastAsia="Times New Roman" w:hAnsiTheme="minorHAnsi" w:cstheme="minorHAnsi"/>
                <w:color w:val="1E1E1E" w:themeColor="background2"/>
                <w:sz w:val="21"/>
                <w:szCs w:val="21"/>
              </w:rPr>
              <w:t xml:space="preserve"> that offers the best value for money.</w:t>
            </w:r>
          </w:p>
          <w:p w14:paraId="1881DD66" w14:textId="0F8278DD" w:rsidR="001671CA" w:rsidRPr="00AF43A2" w:rsidRDefault="001671CA" w:rsidP="000A0528">
            <w:pPr>
              <w:spacing w:after="0" w:line="240" w:lineRule="auto"/>
              <w:ind w:firstLine="284"/>
              <w:jc w:val="both"/>
              <w:rPr>
                <w:rFonts w:asciiTheme="minorHAnsi" w:eastAsia="Times New Roman" w:hAnsiTheme="minorHAnsi" w:cstheme="minorHAnsi"/>
                <w:color w:val="1E1E1E" w:themeColor="background2"/>
                <w:sz w:val="21"/>
                <w:szCs w:val="21"/>
              </w:rPr>
            </w:pPr>
            <w:r w:rsidRPr="00AF43A2">
              <w:rPr>
                <w:rFonts w:asciiTheme="minorHAnsi" w:eastAsia="Times New Roman" w:hAnsiTheme="minorHAnsi" w:cstheme="minorHAnsi"/>
                <w:color w:val="1E1E1E" w:themeColor="background2"/>
                <w:sz w:val="21"/>
                <w:szCs w:val="21"/>
              </w:rPr>
              <w:t>Salaries for NGO outreach workers will be fully in line with those of government-employed outreach workers, based at Regional AIDS Centres</w:t>
            </w:r>
            <w:r w:rsidR="00D87719" w:rsidRPr="00AF43A2">
              <w:rPr>
                <w:rFonts w:asciiTheme="minorHAnsi" w:eastAsia="Times New Roman" w:hAnsiTheme="minorHAnsi" w:cstheme="minorHAnsi"/>
                <w:color w:val="1E1E1E" w:themeColor="background2"/>
                <w:sz w:val="21"/>
                <w:szCs w:val="21"/>
              </w:rPr>
              <w:t>.</w:t>
            </w:r>
          </w:p>
          <w:p w14:paraId="0F53C430" w14:textId="77777777" w:rsidR="007B655C" w:rsidRPr="00AF43A2" w:rsidRDefault="007B655C" w:rsidP="000A0528">
            <w:pPr>
              <w:spacing w:after="0" w:line="240" w:lineRule="auto"/>
              <w:jc w:val="both"/>
              <w:rPr>
                <w:rFonts w:eastAsia="Times New Roman" w:cs="Arial"/>
                <w:color w:val="1E1E1E" w:themeColor="background2"/>
                <w:sz w:val="21"/>
                <w:szCs w:val="21"/>
              </w:rPr>
            </w:pPr>
          </w:p>
          <w:p w14:paraId="77A518AC" w14:textId="496570F2" w:rsidR="00EF2B94" w:rsidRPr="00AF43A2" w:rsidRDefault="00EF2B94" w:rsidP="000A0528">
            <w:pPr>
              <w:spacing w:after="0" w:line="240" w:lineRule="auto"/>
              <w:jc w:val="both"/>
              <w:rPr>
                <w:rFonts w:eastAsia="Times New Roman" w:cs="Arial"/>
                <w:color w:val="000000"/>
                <w:sz w:val="21"/>
              </w:rPr>
            </w:pPr>
            <w:r w:rsidRPr="00AF43A2">
              <w:rPr>
                <w:rFonts w:eastAsia="Times New Roman" w:cs="Arial"/>
                <w:b/>
                <w:color w:val="1E1E1E" w:themeColor="background2"/>
                <w:sz w:val="21"/>
                <w:szCs w:val="21"/>
              </w:rPr>
              <w:t>Efficiency</w:t>
            </w:r>
            <w:r w:rsidRPr="00AF43A2">
              <w:rPr>
                <w:rFonts w:eastAsia="Times New Roman" w:cs="Arial"/>
                <w:color w:val="1E1E1E" w:themeColor="background2"/>
                <w:sz w:val="21"/>
                <w:szCs w:val="21"/>
              </w:rPr>
              <w:t xml:space="preserve"> – The funding request (FR) aims to strengthen efficiency of the national response both at the </w:t>
            </w:r>
            <w:r w:rsidRPr="00AF43A2">
              <w:rPr>
                <w:rFonts w:eastAsia="Times New Roman" w:cs="Arial"/>
                <w:i/>
                <w:color w:val="1E1E1E" w:themeColor="background2"/>
                <w:sz w:val="21"/>
                <w:szCs w:val="21"/>
              </w:rPr>
              <w:t>programmatic</w:t>
            </w:r>
            <w:r w:rsidRPr="00AF43A2">
              <w:rPr>
                <w:rFonts w:eastAsia="Times New Roman" w:cs="Arial"/>
                <w:color w:val="1E1E1E" w:themeColor="background2"/>
                <w:sz w:val="21"/>
              </w:rPr>
              <w:t xml:space="preserve"> and </w:t>
            </w:r>
            <w:r w:rsidRPr="00AF43A2">
              <w:rPr>
                <w:rFonts w:eastAsia="Times New Roman" w:cs="Arial"/>
                <w:i/>
                <w:color w:val="1E1E1E" w:themeColor="background2"/>
                <w:sz w:val="21"/>
              </w:rPr>
              <w:t>systems</w:t>
            </w:r>
            <w:r w:rsidRPr="00AF43A2">
              <w:rPr>
                <w:rFonts w:eastAsia="Times New Roman" w:cs="Arial"/>
                <w:color w:val="1E1E1E" w:themeColor="background2"/>
                <w:sz w:val="21"/>
              </w:rPr>
              <w:t xml:space="preserve"> level (see below). It aims to maximise outputs, outcomes and impact by focusing on key populations and geographic regions </w:t>
            </w:r>
            <w:r w:rsidRPr="00AF43A2">
              <w:rPr>
                <w:rFonts w:eastAsia="Times New Roman" w:cs="Arial"/>
                <w:color w:val="000000"/>
                <w:sz w:val="21"/>
              </w:rPr>
              <w:t>most affected by HIV; while also taking into account the support by other donors, specifically PEPFAR; as well as focusing on those KPs that are least covered by government programmes, i.e. particularly MSM and TG (and to a lesser extent PWID). The FR will focus on interventions that can add value to existing programmes, e.g. through innovative approaches or by strengthening supportive environments.</w:t>
            </w:r>
          </w:p>
          <w:p w14:paraId="0EE0B11F" w14:textId="1615C7C9" w:rsidR="00C81F99" w:rsidRPr="00AF43A2" w:rsidRDefault="00EF2B94" w:rsidP="000A0528">
            <w:pPr>
              <w:spacing w:after="0" w:line="240" w:lineRule="auto"/>
              <w:ind w:firstLine="284"/>
              <w:jc w:val="both"/>
              <w:rPr>
                <w:rFonts w:eastAsia="Times New Roman" w:cs="Arial"/>
                <w:color w:val="1E1E1E" w:themeColor="background2"/>
                <w:sz w:val="21"/>
              </w:rPr>
            </w:pPr>
            <w:r w:rsidRPr="00AF43A2">
              <w:rPr>
                <w:rFonts w:eastAsia="Times New Roman" w:cs="Arial"/>
                <w:b/>
                <w:i/>
                <w:color w:val="000000"/>
                <w:sz w:val="21"/>
              </w:rPr>
              <w:t>Allocative efficiency</w:t>
            </w:r>
            <w:r w:rsidRPr="00AF43A2">
              <w:rPr>
                <w:rFonts w:eastAsia="Times New Roman" w:cs="Arial"/>
                <w:color w:val="000000"/>
                <w:sz w:val="21"/>
              </w:rPr>
              <w:t xml:space="preserve"> – At the </w:t>
            </w:r>
            <w:r w:rsidRPr="00AF43A2">
              <w:rPr>
                <w:rFonts w:eastAsia="Times New Roman" w:cs="Arial"/>
                <w:b/>
                <w:i/>
                <w:color w:val="000000"/>
                <w:sz w:val="21"/>
              </w:rPr>
              <w:t>programmatic</w:t>
            </w:r>
            <w:r w:rsidRPr="00AF43A2">
              <w:rPr>
                <w:rFonts w:eastAsia="Times New Roman" w:cs="Arial"/>
                <w:color w:val="000000"/>
                <w:sz w:val="21"/>
              </w:rPr>
              <w:t xml:space="preserve"> level, the funding request will contribute to efficiency by focusing on KPs with the highest HIV prevalence rate, and lowest coverage with interventions: in this regard, no funds are sought for sex worker services (which State programmes will continue to provide), while major emphasis has been given to strengthening services for MSM and TG people, who are currently particularly under-served; as well as PWID. In addition, the grant will focus on regions with the highest HIV prevalence among MSM</w:t>
            </w:r>
            <w:r w:rsidRPr="00AF43A2">
              <w:rPr>
                <w:rFonts w:eastAsia="Times New Roman" w:cs="Arial"/>
                <w:color w:val="000000"/>
                <w:sz w:val="21"/>
                <w:vertAlign w:val="superscript"/>
              </w:rPr>
              <w:footnoteReference w:id="11"/>
            </w:r>
            <w:r w:rsidRPr="00AF43A2">
              <w:rPr>
                <w:rFonts w:eastAsia="Times New Roman" w:cs="Arial"/>
                <w:color w:val="000000"/>
                <w:sz w:val="21"/>
              </w:rPr>
              <w:t xml:space="preserve">: Aktobe, 11.7%; East Kazakhstan, 10.5%; Shymkent, 10.0%; Karaganda and Pavlodar, both 9.0%; and Nur-Sultan, 8% (the overall HIV rate among MSM in 2019 was 6.6%). At the </w:t>
            </w:r>
            <w:r w:rsidRPr="00AF43A2">
              <w:rPr>
                <w:rFonts w:eastAsia="Times New Roman" w:cs="Arial"/>
                <w:b/>
                <w:i/>
                <w:color w:val="000000"/>
                <w:sz w:val="21"/>
              </w:rPr>
              <w:t>systems</w:t>
            </w:r>
            <w:r w:rsidRPr="00AF43A2">
              <w:rPr>
                <w:rFonts w:eastAsia="Times New Roman" w:cs="Arial"/>
                <w:b/>
                <w:color w:val="000000"/>
                <w:sz w:val="21"/>
              </w:rPr>
              <w:t xml:space="preserve"> </w:t>
            </w:r>
            <w:r w:rsidRPr="00AF43A2">
              <w:rPr>
                <w:rFonts w:eastAsia="Times New Roman" w:cs="Arial"/>
                <w:color w:val="000000"/>
                <w:sz w:val="21"/>
              </w:rPr>
              <w:t xml:space="preserve">level, the funding request </w:t>
            </w:r>
            <w:r w:rsidRPr="00AF43A2">
              <w:rPr>
                <w:rFonts w:eastAsia="Times New Roman" w:cs="Arial"/>
                <w:i/>
                <w:color w:val="000000"/>
                <w:sz w:val="21"/>
              </w:rPr>
              <w:t>balances</w:t>
            </w:r>
            <w:r w:rsidRPr="00AF43A2">
              <w:rPr>
                <w:rFonts w:eastAsia="Times New Roman" w:cs="Arial"/>
                <w:color w:val="000000"/>
                <w:sz w:val="21"/>
              </w:rPr>
              <w:t xml:space="preserve"> investments in health and community </w:t>
            </w:r>
            <w:r w:rsidRPr="00AF43A2">
              <w:rPr>
                <w:rFonts w:eastAsia="Times New Roman" w:cs="Arial"/>
                <w:i/>
                <w:color w:val="000000"/>
                <w:sz w:val="21"/>
              </w:rPr>
              <w:t>systems</w:t>
            </w:r>
            <w:r w:rsidRPr="00AF43A2">
              <w:rPr>
                <w:rFonts w:eastAsia="Times New Roman" w:cs="Arial"/>
                <w:color w:val="000000"/>
                <w:sz w:val="21"/>
              </w:rPr>
              <w:t xml:space="preserve"> strengthening with programmatic interventions. Systems-related investments will contribute to ongoing government and health reforms, e.g. by building on and strengthening existing social contracting systems, as well as compulsory social health insurance. These systems investments will be complemented by </w:t>
            </w:r>
            <w:r w:rsidRPr="00AF43A2">
              <w:rPr>
                <w:rFonts w:eastAsia="Times New Roman" w:cs="Arial"/>
                <w:i/>
                <w:color w:val="000000"/>
                <w:sz w:val="21"/>
              </w:rPr>
              <w:t>interventions</w:t>
            </w:r>
            <w:r w:rsidRPr="00AF43A2">
              <w:rPr>
                <w:rFonts w:eastAsia="Times New Roman" w:cs="Arial"/>
                <w:color w:val="000000"/>
                <w:sz w:val="21"/>
              </w:rPr>
              <w:t xml:space="preserve"> that can make a difference – not as much by scaling up coverage, but by introducing </w:t>
            </w:r>
            <w:r w:rsidRPr="00AF43A2">
              <w:rPr>
                <w:rFonts w:eastAsia="Times New Roman" w:cs="Arial"/>
                <w:i/>
                <w:color w:val="000000"/>
                <w:sz w:val="21"/>
              </w:rPr>
              <w:t>innovations</w:t>
            </w:r>
            <w:r w:rsidRPr="00AF43A2">
              <w:rPr>
                <w:rFonts w:eastAsia="Times New Roman" w:cs="Arial"/>
                <w:color w:val="000000"/>
                <w:sz w:val="21"/>
              </w:rPr>
              <w:t xml:space="preserve"> (e.g. rapid oral testing) and </w:t>
            </w:r>
            <w:r w:rsidRPr="00AF43A2">
              <w:rPr>
                <w:rFonts w:eastAsia="Times New Roman" w:cs="Arial"/>
                <w:i/>
                <w:color w:val="000000"/>
                <w:sz w:val="21"/>
              </w:rPr>
              <w:t>novel service models</w:t>
            </w:r>
            <w:r w:rsidRPr="00AF43A2">
              <w:rPr>
                <w:rFonts w:eastAsia="Times New Roman" w:cs="Arial"/>
                <w:color w:val="000000"/>
                <w:sz w:val="21"/>
              </w:rPr>
              <w:t xml:space="preserve"> (e.g. for ART adherence support or street lawyers; or emerging key populations such as users of new psychoactive substances), as well as strengthening legal rights and supporting critical enablers, e.g. through systematic </w:t>
            </w:r>
            <w:r w:rsidRPr="00AF43A2">
              <w:rPr>
                <w:rFonts w:eastAsia="Times New Roman" w:cs="Arial"/>
                <w:color w:val="1E1E1E" w:themeColor="background2"/>
                <w:sz w:val="21"/>
              </w:rPr>
              <w:t>advocacy for OST and OD prevention.</w:t>
            </w:r>
          </w:p>
          <w:p w14:paraId="0350D6E7" w14:textId="573751AF" w:rsidR="00CB6631" w:rsidRPr="00AF43A2" w:rsidRDefault="00A701A3" w:rsidP="000A0528">
            <w:pPr>
              <w:spacing w:after="0" w:line="240" w:lineRule="auto"/>
              <w:ind w:firstLine="284"/>
              <w:jc w:val="both"/>
              <w:rPr>
                <w:rFonts w:asciiTheme="minorHAnsi" w:hAnsiTheme="minorHAnsi" w:cstheme="minorHAnsi"/>
                <w:bCs/>
                <w:iCs/>
                <w:color w:val="1E1E1E" w:themeColor="background2"/>
                <w:sz w:val="21"/>
              </w:rPr>
            </w:pPr>
            <w:r w:rsidRPr="00AF43A2">
              <w:rPr>
                <w:rFonts w:asciiTheme="minorHAnsi" w:hAnsiTheme="minorHAnsi" w:cstheme="minorHAnsi"/>
                <w:bCs/>
                <w:iCs/>
                <w:color w:val="1E1E1E" w:themeColor="background2"/>
                <w:sz w:val="21"/>
              </w:rPr>
              <w:t xml:space="preserve">In 2019, an </w:t>
            </w:r>
            <w:r w:rsidRPr="00AF43A2">
              <w:rPr>
                <w:rFonts w:asciiTheme="minorHAnsi" w:hAnsiTheme="minorHAnsi" w:cstheme="minorHAnsi"/>
                <w:b/>
                <w:bCs/>
                <w:i/>
                <w:iCs/>
                <w:color w:val="1E1E1E" w:themeColor="background2"/>
                <w:sz w:val="21"/>
              </w:rPr>
              <w:t xml:space="preserve">Optima </w:t>
            </w:r>
            <w:r w:rsidRPr="009906BE">
              <w:rPr>
                <w:rFonts w:asciiTheme="minorHAnsi" w:hAnsiTheme="minorHAnsi" w:cstheme="minorHAnsi"/>
                <w:b/>
                <w:bCs/>
                <w:i/>
                <w:iCs/>
                <w:color w:val="1E1E1E" w:themeColor="background2"/>
                <w:sz w:val="21"/>
              </w:rPr>
              <w:t>exercise</w:t>
            </w:r>
            <w:r w:rsidRPr="009906BE">
              <w:rPr>
                <w:rStyle w:val="af"/>
                <w:rFonts w:asciiTheme="minorHAnsi" w:hAnsiTheme="minorHAnsi" w:cstheme="minorHAnsi"/>
                <w:bCs/>
                <w:iCs/>
                <w:color w:val="1E1E1E" w:themeColor="background2"/>
                <w:sz w:val="21"/>
              </w:rPr>
              <w:footnoteReference w:id="12"/>
            </w:r>
            <w:r w:rsidRPr="009906BE">
              <w:rPr>
                <w:rFonts w:asciiTheme="minorHAnsi" w:hAnsiTheme="minorHAnsi" w:cstheme="minorHAnsi"/>
                <w:bCs/>
                <w:iCs/>
                <w:color w:val="1E1E1E" w:themeColor="background2"/>
                <w:sz w:val="21"/>
              </w:rPr>
              <w:t xml:space="preserve"> </w:t>
            </w:r>
            <w:r w:rsidR="00F279ED" w:rsidRPr="009906BE">
              <w:rPr>
                <w:rFonts w:asciiTheme="minorHAnsi" w:hAnsiTheme="minorHAnsi" w:cstheme="minorHAnsi"/>
                <w:bCs/>
                <w:i/>
                <w:iCs/>
                <w:color w:val="1E1E1E" w:themeColor="background2"/>
                <w:sz w:val="21"/>
              </w:rPr>
              <w:t>(see Annex 8; p.</w:t>
            </w:r>
            <w:r w:rsidR="009906BE" w:rsidRPr="009906BE">
              <w:rPr>
                <w:rFonts w:asciiTheme="minorHAnsi" w:hAnsiTheme="minorHAnsi" w:cstheme="minorHAnsi"/>
                <w:bCs/>
                <w:i/>
                <w:iCs/>
                <w:color w:val="1E1E1E" w:themeColor="background2"/>
                <w:sz w:val="21"/>
              </w:rPr>
              <w:t>1</w:t>
            </w:r>
            <w:r w:rsidR="00F279ED" w:rsidRPr="009906BE">
              <w:rPr>
                <w:rFonts w:asciiTheme="minorHAnsi" w:hAnsiTheme="minorHAnsi" w:cstheme="minorHAnsi"/>
                <w:bCs/>
                <w:i/>
                <w:iCs/>
                <w:color w:val="1E1E1E" w:themeColor="background2"/>
                <w:sz w:val="21"/>
              </w:rPr>
              <w:t>)</w:t>
            </w:r>
            <w:r w:rsidR="00D94052" w:rsidRPr="009906BE">
              <w:rPr>
                <w:rFonts w:asciiTheme="minorHAnsi" w:hAnsiTheme="minorHAnsi" w:cstheme="minorHAnsi"/>
                <w:bCs/>
                <w:i/>
                <w:iCs/>
                <w:color w:val="1E1E1E" w:themeColor="background2"/>
                <w:sz w:val="21"/>
              </w:rPr>
              <w:t xml:space="preserve"> </w:t>
            </w:r>
            <w:r w:rsidRPr="009906BE">
              <w:rPr>
                <w:rFonts w:asciiTheme="minorHAnsi" w:hAnsiTheme="minorHAnsi" w:cstheme="minorHAnsi"/>
                <w:bCs/>
                <w:iCs/>
                <w:color w:val="1E1E1E" w:themeColor="background2"/>
                <w:sz w:val="21"/>
              </w:rPr>
              <w:t>was</w:t>
            </w:r>
            <w:r w:rsidRPr="00AF43A2">
              <w:rPr>
                <w:rFonts w:asciiTheme="minorHAnsi" w:hAnsiTheme="minorHAnsi" w:cstheme="minorHAnsi"/>
                <w:bCs/>
                <w:iCs/>
                <w:color w:val="1E1E1E" w:themeColor="background2"/>
                <w:sz w:val="21"/>
              </w:rPr>
              <w:t xml:space="preserve"> conducted to support the efficient allocation of national resources for health. </w:t>
            </w:r>
            <w:r w:rsidR="00CB6631" w:rsidRPr="00AF43A2">
              <w:rPr>
                <w:rFonts w:asciiTheme="minorHAnsi" w:hAnsiTheme="minorHAnsi" w:cstheme="minorHAnsi"/>
                <w:bCs/>
                <w:iCs/>
                <w:color w:val="1E1E1E" w:themeColor="background2"/>
                <w:sz w:val="21"/>
              </w:rPr>
              <w:t xml:space="preserve">Key recommendations for </w:t>
            </w:r>
            <w:r w:rsidR="00CB6631" w:rsidRPr="00AF43A2">
              <w:rPr>
                <w:rFonts w:asciiTheme="minorHAnsi" w:hAnsiTheme="minorHAnsi" w:cstheme="minorHAnsi"/>
                <w:b/>
                <w:bCs/>
                <w:i/>
                <w:iCs/>
                <w:color w:val="1E1E1E" w:themeColor="background2"/>
                <w:sz w:val="21"/>
              </w:rPr>
              <w:t>HIV resource optimisation</w:t>
            </w:r>
            <w:r w:rsidR="00CB6631" w:rsidRPr="00AF43A2">
              <w:rPr>
                <w:rFonts w:asciiTheme="minorHAnsi" w:hAnsiTheme="minorHAnsi" w:cstheme="minorHAnsi"/>
                <w:bCs/>
                <w:iCs/>
                <w:color w:val="1E1E1E" w:themeColor="background2"/>
                <w:sz w:val="21"/>
              </w:rPr>
              <w:t xml:space="preserve"> include: </w:t>
            </w:r>
            <w:r w:rsidR="00CB6631" w:rsidRPr="00AF43A2">
              <w:rPr>
                <w:rFonts w:asciiTheme="minorHAnsi" w:hAnsiTheme="minorHAnsi" w:cstheme="minorHAnsi"/>
                <w:b/>
                <w:bCs/>
                <w:i/>
                <w:iCs/>
                <w:color w:val="1E1E1E" w:themeColor="background2"/>
                <w:sz w:val="21"/>
              </w:rPr>
              <w:t>1) Scaling up antiretroviral therapy</w:t>
            </w:r>
            <w:r w:rsidR="00CB6631" w:rsidRPr="00AF43A2">
              <w:rPr>
                <w:rFonts w:asciiTheme="minorHAnsi" w:hAnsiTheme="minorHAnsi" w:cstheme="minorHAnsi"/>
                <w:bCs/>
                <w:iCs/>
                <w:color w:val="1E1E1E" w:themeColor="background2"/>
                <w:sz w:val="21"/>
              </w:rPr>
              <w:t xml:space="preserve"> (ART), which could lead to increased treatment coverage of people diagnosed with HIV from 58% (status quo) to 68% (optimized) in 201</w:t>
            </w:r>
            <w:r w:rsidRPr="00AF43A2">
              <w:rPr>
                <w:rFonts w:asciiTheme="minorHAnsi" w:hAnsiTheme="minorHAnsi" w:cstheme="minorHAnsi"/>
                <w:bCs/>
                <w:iCs/>
                <w:color w:val="1E1E1E" w:themeColor="background2"/>
                <w:sz w:val="21"/>
              </w:rPr>
              <w:t>9: as mentioned above, the funding request will support this through adherence support by peer counsellors for PLHIV</w:t>
            </w:r>
            <w:r w:rsidR="00CB6631" w:rsidRPr="00AF43A2">
              <w:rPr>
                <w:rFonts w:asciiTheme="minorHAnsi" w:hAnsiTheme="minorHAnsi" w:cstheme="minorHAnsi"/>
                <w:bCs/>
                <w:iCs/>
                <w:color w:val="1E1E1E" w:themeColor="background2"/>
                <w:sz w:val="21"/>
              </w:rPr>
              <w:t xml:space="preserve">. </w:t>
            </w:r>
            <w:r w:rsidR="006B2D46" w:rsidRPr="00D94052">
              <w:rPr>
                <w:rFonts w:asciiTheme="minorHAnsi" w:hAnsiTheme="minorHAnsi" w:cstheme="minorHAnsi"/>
                <w:b/>
                <w:bCs/>
                <w:i/>
                <w:iCs/>
                <w:color w:val="1E1E1E" w:themeColor="background2"/>
                <w:sz w:val="21"/>
              </w:rPr>
              <w:t>2</w:t>
            </w:r>
            <w:r w:rsidR="00CB6631" w:rsidRPr="00D94052">
              <w:rPr>
                <w:rFonts w:asciiTheme="minorHAnsi" w:hAnsiTheme="minorHAnsi" w:cstheme="minorHAnsi"/>
                <w:b/>
                <w:bCs/>
                <w:i/>
                <w:iCs/>
                <w:color w:val="1E1E1E" w:themeColor="background2"/>
                <w:sz w:val="21"/>
              </w:rPr>
              <w:t>)</w:t>
            </w:r>
            <w:r w:rsidR="00CB6631" w:rsidRPr="00AF43A2">
              <w:rPr>
                <w:rFonts w:asciiTheme="minorHAnsi" w:hAnsiTheme="minorHAnsi" w:cstheme="minorHAnsi"/>
                <w:b/>
                <w:bCs/>
                <w:i/>
                <w:iCs/>
                <w:color w:val="1E1E1E" w:themeColor="background2"/>
                <w:sz w:val="21"/>
              </w:rPr>
              <w:t xml:space="preserve"> Maintaining investment</w:t>
            </w:r>
            <w:r w:rsidR="006B2D46" w:rsidRPr="00AF43A2">
              <w:rPr>
                <w:rFonts w:asciiTheme="minorHAnsi" w:hAnsiTheme="minorHAnsi" w:cstheme="minorHAnsi"/>
                <w:b/>
                <w:bCs/>
                <w:i/>
                <w:iCs/>
                <w:color w:val="1E1E1E" w:themeColor="background2"/>
                <w:sz w:val="21"/>
              </w:rPr>
              <w:t>s</w:t>
            </w:r>
            <w:r w:rsidR="00CB6631" w:rsidRPr="00AF43A2">
              <w:rPr>
                <w:rFonts w:asciiTheme="minorHAnsi" w:hAnsiTheme="minorHAnsi" w:cstheme="minorHAnsi"/>
                <w:b/>
                <w:bCs/>
                <w:i/>
                <w:iCs/>
                <w:color w:val="1E1E1E" w:themeColor="background2"/>
                <w:sz w:val="21"/>
              </w:rPr>
              <w:t xml:space="preserve"> for HIV testing and prevention programmes targeting MSM</w:t>
            </w:r>
            <w:r w:rsidR="006B2D46" w:rsidRPr="00AF43A2">
              <w:rPr>
                <w:rFonts w:asciiTheme="minorHAnsi" w:hAnsiTheme="minorHAnsi" w:cstheme="minorHAnsi"/>
                <w:b/>
                <w:bCs/>
                <w:i/>
                <w:iCs/>
                <w:color w:val="1E1E1E" w:themeColor="background2"/>
                <w:sz w:val="21"/>
              </w:rPr>
              <w:t xml:space="preserve">: </w:t>
            </w:r>
            <w:r w:rsidR="006B2D46" w:rsidRPr="00AF43A2">
              <w:rPr>
                <w:rFonts w:asciiTheme="minorHAnsi" w:hAnsiTheme="minorHAnsi" w:cstheme="minorHAnsi"/>
                <w:bCs/>
                <w:iCs/>
                <w:color w:val="1E1E1E" w:themeColor="background2"/>
                <w:sz w:val="21"/>
              </w:rPr>
              <w:t>g</w:t>
            </w:r>
            <w:r w:rsidR="00CB6631" w:rsidRPr="00AF43A2">
              <w:rPr>
                <w:rFonts w:asciiTheme="minorHAnsi" w:hAnsiTheme="minorHAnsi" w:cstheme="minorHAnsi"/>
                <w:bCs/>
                <w:iCs/>
                <w:color w:val="1E1E1E" w:themeColor="background2"/>
                <w:sz w:val="21"/>
              </w:rPr>
              <w:t>iven that over 60% of new HIV infections occurred among MSM in 2018, investment in HIV testing and prevention programmes targeting this group should be scaled-up at the 100% budget level. Should additional resources become available, investment in MSM programmes should continue to be scaled-up, along with investment in PrEP targeting MSM</w:t>
            </w:r>
            <w:r w:rsidR="006B2D46" w:rsidRPr="00AF43A2">
              <w:rPr>
                <w:rFonts w:asciiTheme="minorHAnsi" w:hAnsiTheme="minorHAnsi" w:cstheme="minorHAnsi"/>
                <w:bCs/>
                <w:iCs/>
                <w:color w:val="1E1E1E" w:themeColor="background2"/>
                <w:sz w:val="21"/>
              </w:rPr>
              <w:t>: both components are included in this funding request.</w:t>
            </w:r>
          </w:p>
          <w:p w14:paraId="4F91F359" w14:textId="77777777" w:rsidR="006B2D46" w:rsidRPr="00AF43A2" w:rsidRDefault="006B2D46" w:rsidP="000A0528">
            <w:pPr>
              <w:spacing w:after="0" w:line="240" w:lineRule="auto"/>
              <w:ind w:firstLine="284"/>
              <w:jc w:val="both"/>
              <w:rPr>
                <w:rFonts w:asciiTheme="minorHAnsi" w:hAnsiTheme="minorHAnsi" w:cstheme="minorHAnsi"/>
                <w:bCs/>
                <w:iCs/>
                <w:color w:val="1E1E1E" w:themeColor="background2"/>
                <w:sz w:val="8"/>
                <w:szCs w:val="8"/>
              </w:rPr>
            </w:pPr>
          </w:p>
          <w:p w14:paraId="25C38EF9" w14:textId="623FFFB0" w:rsidR="00A31D44" w:rsidRPr="00A31D44" w:rsidRDefault="00EF2B94" w:rsidP="000248A7">
            <w:pPr>
              <w:spacing w:after="0" w:line="240" w:lineRule="auto"/>
              <w:ind w:firstLine="284"/>
              <w:jc w:val="both"/>
              <w:rPr>
                <w:rFonts w:eastAsia="Times New Roman" w:cs="Arial"/>
                <w:color w:val="FF0000"/>
                <w:sz w:val="21"/>
                <w:szCs w:val="21"/>
              </w:rPr>
            </w:pPr>
            <w:r w:rsidRPr="00AF43A2">
              <w:rPr>
                <w:rFonts w:eastAsia="Times New Roman" w:cs="Arial"/>
                <w:b/>
                <w:i/>
                <w:color w:val="1E1E1E" w:themeColor="background2"/>
                <w:sz w:val="21"/>
              </w:rPr>
              <w:t>Technical efficiency</w:t>
            </w:r>
            <w:r w:rsidRPr="00AF43A2">
              <w:rPr>
                <w:rFonts w:eastAsia="Times New Roman" w:cs="Arial"/>
                <w:color w:val="1E1E1E" w:themeColor="background2"/>
                <w:sz w:val="21"/>
              </w:rPr>
              <w:t xml:space="preserve"> – At the </w:t>
            </w:r>
            <w:r w:rsidRPr="00AF43A2">
              <w:rPr>
                <w:rFonts w:eastAsia="Times New Roman" w:cs="Arial"/>
                <w:b/>
                <w:i/>
                <w:color w:val="1E1E1E" w:themeColor="background2"/>
                <w:sz w:val="21"/>
              </w:rPr>
              <w:t>programmatic</w:t>
            </w:r>
            <w:r w:rsidRPr="00AF43A2">
              <w:rPr>
                <w:rFonts w:eastAsia="Times New Roman" w:cs="Arial"/>
                <w:color w:val="1E1E1E" w:themeColor="background2"/>
                <w:sz w:val="21"/>
              </w:rPr>
              <w:t xml:space="preserve"> level, several proposed interventions aim to minimise the cost of service delivery while achieving the desired health outcomes. This involves interventions that will catalyse existing services, thus reducing </w:t>
            </w:r>
            <w:r w:rsidRPr="00AF43A2">
              <w:rPr>
                <w:rFonts w:eastAsia="Times New Roman" w:cs="Arial"/>
                <w:color w:val="000000"/>
                <w:sz w:val="21"/>
              </w:rPr>
              <w:t xml:space="preserve">their unit cost per outcome achieved. E.g. HIV testing will be more efficient by strengthening community-based testing and HIVST among KPs, as this will yield more HIV cases detected than </w:t>
            </w:r>
            <w:r w:rsidRPr="00AF43A2">
              <w:rPr>
                <w:rFonts w:eastAsia="Times New Roman" w:cs="Arial"/>
                <w:color w:val="000000"/>
                <w:sz w:val="21"/>
              </w:rPr>
              <w:lastRenderedPageBreak/>
              <w:t xml:space="preserve">facility-based testing, thus bringing down the unit cost per HIV case detected. Similarly, strengthening ART adherence among KPs living with HIV (especially PWID) will lead to better treatment outcomes, thus reducing lost investments in HIV testing and </w:t>
            </w:r>
            <w:r w:rsidRPr="000248A7">
              <w:rPr>
                <w:rFonts w:eastAsia="Times New Roman" w:cs="Arial"/>
                <w:color w:val="1E1E1E" w:themeColor="background2"/>
                <w:sz w:val="21"/>
              </w:rPr>
              <w:t xml:space="preserve">enrolling patients in ART who would otherwise be lost to follow up. </w:t>
            </w:r>
            <w:r w:rsidR="000248A7" w:rsidRPr="000248A7">
              <w:rPr>
                <w:rFonts w:eastAsia="Times New Roman" w:cs="Arial"/>
                <w:color w:val="1E1E1E" w:themeColor="background2"/>
                <w:sz w:val="21"/>
              </w:rPr>
              <w:t>The standardisation of PCR equipment through centralised procurement – supported by the grant – will increase VfM</w:t>
            </w:r>
            <w:r w:rsidR="000248A7" w:rsidRPr="000248A7">
              <w:rPr>
                <w:rFonts w:eastAsia="Calibri" w:cs="Calibri"/>
                <w:b/>
                <w:i/>
                <w:color w:val="1E1E1E" w:themeColor="background2"/>
                <w:sz w:val="21"/>
                <w:szCs w:val="21"/>
                <w:lang w:val="en-GB"/>
              </w:rPr>
              <w:t xml:space="preserve"> by reducing </w:t>
            </w:r>
            <w:r w:rsidR="00A31D44" w:rsidRPr="000248A7">
              <w:rPr>
                <w:rFonts w:eastAsia="Times New Roman" w:cs="Arial"/>
                <w:color w:val="1E1E1E" w:themeColor="background2"/>
                <w:sz w:val="21"/>
                <w:szCs w:val="21"/>
              </w:rPr>
              <w:t xml:space="preserve">excessive manual labour to perform the tests; and </w:t>
            </w:r>
            <w:r w:rsidR="000248A7" w:rsidRPr="000248A7">
              <w:rPr>
                <w:rFonts w:eastAsia="Times New Roman" w:cs="Arial"/>
                <w:color w:val="1E1E1E" w:themeColor="background2"/>
                <w:sz w:val="21"/>
                <w:szCs w:val="21"/>
              </w:rPr>
              <w:t>by lowering the</w:t>
            </w:r>
            <w:r w:rsidR="00A31D44" w:rsidRPr="000248A7">
              <w:rPr>
                <w:rFonts w:eastAsia="Times New Roman" w:cs="Arial"/>
                <w:color w:val="1E1E1E" w:themeColor="background2"/>
                <w:sz w:val="21"/>
                <w:szCs w:val="21"/>
              </w:rPr>
              <w:t xml:space="preserve"> risk of incorrect results. In addition, </w:t>
            </w:r>
            <w:r w:rsidR="000248A7" w:rsidRPr="000248A7">
              <w:rPr>
                <w:rFonts w:eastAsia="Times New Roman" w:cs="Arial"/>
                <w:color w:val="1E1E1E" w:themeColor="background2"/>
                <w:sz w:val="21"/>
                <w:szCs w:val="21"/>
              </w:rPr>
              <w:t xml:space="preserve">standardisation of equipment and lab commodities will </w:t>
            </w:r>
            <w:r w:rsidR="00A31D44" w:rsidRPr="000248A7">
              <w:rPr>
                <w:rFonts w:eastAsia="Times New Roman" w:cs="Arial"/>
                <w:color w:val="1E1E1E" w:themeColor="background2"/>
                <w:sz w:val="21"/>
                <w:szCs w:val="21"/>
              </w:rPr>
              <w:t xml:space="preserve">reduce the risk of stock-outs, increase quality of treatment (standard 50 ml) and reduce costs for the test systems. </w:t>
            </w:r>
            <w:r w:rsidR="000248A7">
              <w:rPr>
                <w:rFonts w:eastAsia="Times New Roman" w:cs="Arial"/>
                <w:color w:val="1E1E1E" w:themeColor="background2"/>
                <w:sz w:val="21"/>
                <w:szCs w:val="21"/>
              </w:rPr>
              <w:t>As mentioned earlier, t</w:t>
            </w:r>
            <w:r w:rsidR="000248A7" w:rsidRPr="000248A7">
              <w:rPr>
                <w:rFonts w:eastAsia="Times New Roman" w:cs="Arial"/>
                <w:color w:val="1E1E1E" w:themeColor="background2"/>
                <w:sz w:val="21"/>
                <w:szCs w:val="21"/>
              </w:rPr>
              <w:t xml:space="preserve">he </w:t>
            </w:r>
            <w:r w:rsidR="00A31D44" w:rsidRPr="000248A7">
              <w:rPr>
                <w:rFonts w:eastAsia="Times New Roman" w:cs="Arial"/>
                <w:color w:val="1E1E1E" w:themeColor="background2"/>
                <w:sz w:val="21"/>
                <w:szCs w:val="21"/>
              </w:rPr>
              <w:t>central procurement of high-quality VL test systems and reagents will achieve a discount of up to 30%, and will save about KZT 330 million (approx. USD 820,000) each year, which can be directed to other needs.</w:t>
            </w:r>
          </w:p>
          <w:p w14:paraId="7401C2CE" w14:textId="0442B9DB" w:rsidR="00EF2B94" w:rsidRPr="00AF43A2" w:rsidRDefault="00EF2B94" w:rsidP="000A0528">
            <w:pPr>
              <w:spacing w:after="0" w:line="240" w:lineRule="auto"/>
              <w:ind w:firstLine="284"/>
              <w:jc w:val="both"/>
              <w:rPr>
                <w:rFonts w:eastAsia="Times New Roman" w:cs="Arial"/>
                <w:color w:val="000000"/>
                <w:sz w:val="21"/>
              </w:rPr>
            </w:pPr>
            <w:r w:rsidRPr="00AF43A2">
              <w:rPr>
                <w:rFonts w:eastAsia="Times New Roman" w:cs="Arial"/>
                <w:color w:val="000000"/>
                <w:sz w:val="21"/>
              </w:rPr>
              <w:t xml:space="preserve">Similarly, creating a supportive environment for OST will reduce the unit cost per PWID enrolled in ART, by greatly enhancing ART adherence among HIV-infected PWID. PrEP for MSM and TG people will reduce the unit cost of prevention, testing and treatment costs for these populations, by more efficiently averting avoidable new HIV infections. At the </w:t>
            </w:r>
            <w:r w:rsidRPr="00AF43A2">
              <w:rPr>
                <w:rFonts w:eastAsia="Times New Roman" w:cs="Arial"/>
                <w:b/>
                <w:i/>
                <w:color w:val="000000"/>
                <w:sz w:val="21"/>
              </w:rPr>
              <w:t>systems</w:t>
            </w:r>
            <w:r w:rsidRPr="00AF43A2">
              <w:rPr>
                <w:rFonts w:eastAsia="Times New Roman" w:cs="Arial"/>
                <w:color w:val="000000"/>
                <w:sz w:val="21"/>
              </w:rPr>
              <w:t xml:space="preserve"> level, the funding request will contribute to technical efficiency by investing in health system components that will benefit multiple disease programmes; e.g. proposed investments in the laboratory system will benefit both HIV and TB programmes. Similarly, legal support for PLHIV and KPs will benefit both </w:t>
            </w:r>
            <w:r w:rsidRPr="00AF43A2">
              <w:rPr>
                <w:rFonts w:eastAsia="Times New Roman" w:cs="Arial"/>
                <w:color w:val="000000"/>
                <w:sz w:val="21"/>
                <w:szCs w:val="21"/>
              </w:rPr>
              <w:t>HIV and TB outcomes. The proposed interventions to strengthening community systems will improve alignment of services between the State and NGOs, and thus contribute to efficiency.</w:t>
            </w:r>
          </w:p>
          <w:p w14:paraId="029B4257" w14:textId="77777777" w:rsidR="00EF2B94" w:rsidRPr="00AF43A2" w:rsidRDefault="00EF2B94" w:rsidP="000A0528">
            <w:pPr>
              <w:spacing w:after="0" w:line="240" w:lineRule="auto"/>
              <w:jc w:val="both"/>
              <w:rPr>
                <w:rFonts w:eastAsia="Calibri" w:cs="Arial"/>
                <w:sz w:val="21"/>
                <w:szCs w:val="21"/>
                <w:lang w:val="en-GB"/>
              </w:rPr>
            </w:pPr>
          </w:p>
          <w:p w14:paraId="194CAD7E" w14:textId="77777777" w:rsidR="00EF2B94" w:rsidRPr="00AF43A2" w:rsidRDefault="00EF2B94" w:rsidP="000A0528">
            <w:pPr>
              <w:spacing w:after="0" w:line="240" w:lineRule="auto"/>
              <w:jc w:val="both"/>
              <w:rPr>
                <w:rFonts w:eastAsia="Calibri" w:cs="Arial"/>
                <w:color w:val="000000"/>
                <w:sz w:val="21"/>
                <w:szCs w:val="21"/>
                <w:lang w:val="en-GB"/>
              </w:rPr>
            </w:pPr>
            <w:r w:rsidRPr="00AF43A2">
              <w:rPr>
                <w:rFonts w:eastAsia="Calibri" w:cs="Arial"/>
                <w:b/>
                <w:sz w:val="21"/>
                <w:szCs w:val="21"/>
                <w:lang w:val="en-GB"/>
              </w:rPr>
              <w:t>Equity</w:t>
            </w:r>
            <w:r w:rsidRPr="00AF43A2">
              <w:rPr>
                <w:rFonts w:eastAsia="Calibri" w:cs="Arial"/>
                <w:sz w:val="21"/>
                <w:szCs w:val="21"/>
                <w:lang w:val="en-GB"/>
              </w:rPr>
              <w:t xml:space="preserve"> – The country dialogue process is based on an intensive process of actively involving key populations as the main stakeholders in this FR. This has allowed systematically identifying human rights and gender-</w:t>
            </w:r>
            <w:r w:rsidRPr="00AF43A2">
              <w:rPr>
                <w:rFonts w:eastAsia="Calibri" w:cs="Arial"/>
                <w:color w:val="000000"/>
                <w:sz w:val="21"/>
                <w:szCs w:val="21"/>
                <w:lang w:val="en-GB"/>
              </w:rPr>
              <w:t>related barriers to service access, uptake and retention, which lead to inequalities in health outcomes for KPs and PLHIV. Addressing these inequalities is a key programmatic priority of this funding request.</w:t>
            </w:r>
          </w:p>
          <w:p w14:paraId="2DA882DC" w14:textId="77777777" w:rsidR="00EF2B94" w:rsidRPr="00AF43A2" w:rsidRDefault="00EF2B94" w:rsidP="000A0528">
            <w:pPr>
              <w:spacing w:after="0" w:line="240" w:lineRule="auto"/>
              <w:ind w:firstLine="284"/>
              <w:jc w:val="both"/>
              <w:rPr>
                <w:rFonts w:eastAsia="Calibri" w:cs="Arial"/>
                <w:color w:val="000000"/>
                <w:sz w:val="21"/>
                <w:szCs w:val="21"/>
                <w:lang w:val="en-GB"/>
              </w:rPr>
            </w:pPr>
            <w:r w:rsidRPr="00AF43A2">
              <w:rPr>
                <w:rFonts w:eastAsia="Calibri" w:cs="Arial"/>
                <w:color w:val="000000"/>
                <w:sz w:val="21"/>
                <w:szCs w:val="21"/>
                <w:lang w:val="en-GB"/>
              </w:rPr>
              <w:t xml:space="preserve">These </w:t>
            </w:r>
            <w:r w:rsidRPr="00AF43A2">
              <w:rPr>
                <w:rFonts w:eastAsia="Calibri" w:cs="Arial"/>
                <w:b/>
                <w:i/>
                <w:color w:val="000000"/>
                <w:sz w:val="21"/>
                <w:szCs w:val="21"/>
                <w:lang w:val="en-GB"/>
              </w:rPr>
              <w:t>barriers</w:t>
            </w:r>
            <w:r w:rsidRPr="00AF43A2">
              <w:rPr>
                <w:rFonts w:eastAsia="Calibri" w:cs="Arial"/>
                <w:color w:val="000000"/>
                <w:sz w:val="21"/>
                <w:szCs w:val="21"/>
                <w:lang w:val="en-GB"/>
              </w:rPr>
              <w:t xml:space="preserve"> have been systematically addressed through the proposed interventions of this FR, which is focused on the HIV prevention, testing, care and treatment needs of KPs and PLHIV.</w:t>
            </w:r>
          </w:p>
          <w:p w14:paraId="34B0F25C" w14:textId="77777777" w:rsidR="00EF2B94" w:rsidRPr="00AF43A2" w:rsidRDefault="00EF2B94" w:rsidP="000A0528">
            <w:pPr>
              <w:spacing w:after="0" w:line="240" w:lineRule="auto"/>
              <w:ind w:firstLine="284"/>
              <w:jc w:val="both"/>
              <w:rPr>
                <w:rFonts w:eastAsia="Calibri" w:cs="Arial"/>
                <w:color w:val="000000"/>
                <w:sz w:val="21"/>
                <w:szCs w:val="21"/>
                <w:lang w:val="en-GB"/>
              </w:rPr>
            </w:pPr>
            <w:r w:rsidRPr="00AF43A2">
              <w:rPr>
                <w:rFonts w:eastAsia="Calibri" w:cs="Arial"/>
                <w:color w:val="000000"/>
                <w:sz w:val="21"/>
                <w:szCs w:val="21"/>
                <w:lang w:val="en-GB"/>
              </w:rPr>
              <w:t xml:space="preserve">With regard to </w:t>
            </w:r>
            <w:r w:rsidRPr="00AF43A2">
              <w:rPr>
                <w:rFonts w:eastAsia="Calibri" w:cs="Arial"/>
                <w:b/>
                <w:i/>
                <w:color w:val="000000"/>
                <w:sz w:val="21"/>
                <w:szCs w:val="21"/>
                <w:lang w:val="en-GB"/>
              </w:rPr>
              <w:t>financial barriers</w:t>
            </w:r>
            <w:r w:rsidRPr="00AF43A2">
              <w:rPr>
                <w:rFonts w:eastAsia="Calibri" w:cs="Arial"/>
                <w:color w:val="000000"/>
                <w:sz w:val="21"/>
                <w:szCs w:val="21"/>
                <w:lang w:val="en-GB"/>
              </w:rPr>
              <w:t xml:space="preserve"> to service access and uptake, the continued support for developing effective </w:t>
            </w:r>
            <w:r w:rsidRPr="00AF43A2">
              <w:rPr>
                <w:rFonts w:eastAsia="Calibri" w:cs="Arial"/>
                <w:b/>
                <w:i/>
                <w:color w:val="000000"/>
                <w:sz w:val="21"/>
                <w:szCs w:val="21"/>
                <w:lang w:val="en-GB"/>
              </w:rPr>
              <w:t>social contracting mechanisms</w:t>
            </w:r>
            <w:r w:rsidRPr="00AF43A2">
              <w:rPr>
                <w:rFonts w:eastAsia="Calibri" w:cs="Arial"/>
                <w:color w:val="000000"/>
                <w:sz w:val="21"/>
                <w:szCs w:val="21"/>
                <w:lang w:val="en-GB"/>
              </w:rPr>
              <w:t xml:space="preserve"> (Intervention 5.1) and inclusion of HIV services for KPs as part of the </w:t>
            </w:r>
            <w:r w:rsidRPr="00AF43A2">
              <w:rPr>
                <w:rFonts w:eastAsia="Calibri" w:cs="Arial"/>
                <w:b/>
                <w:i/>
                <w:color w:val="000000"/>
                <w:sz w:val="21"/>
                <w:szCs w:val="21"/>
                <w:lang w:val="en-GB"/>
              </w:rPr>
              <w:t>compulsory social health insurance</w:t>
            </w:r>
            <w:r w:rsidRPr="00AF43A2">
              <w:rPr>
                <w:rFonts w:eastAsia="Calibri" w:cs="Arial"/>
                <w:color w:val="000000"/>
                <w:sz w:val="21"/>
                <w:szCs w:val="21"/>
                <w:lang w:val="en-GB"/>
              </w:rPr>
              <w:t xml:space="preserve"> (Intervention 5.2) aims to strengthen equity in particular.</w:t>
            </w:r>
          </w:p>
          <w:p w14:paraId="034E955B" w14:textId="57CA29DD" w:rsidR="00EF2B94" w:rsidRPr="00AF43A2" w:rsidRDefault="00EF2B94" w:rsidP="000A0528">
            <w:pPr>
              <w:spacing w:after="0" w:line="240" w:lineRule="auto"/>
              <w:jc w:val="both"/>
              <w:rPr>
                <w:rFonts w:eastAsia="Calibri" w:cs="Arial"/>
                <w:sz w:val="21"/>
                <w:szCs w:val="21"/>
                <w:lang w:val="en-GB"/>
              </w:rPr>
            </w:pPr>
            <w:r w:rsidRPr="00AF43A2">
              <w:rPr>
                <w:rFonts w:eastAsia="Calibri" w:cs="Arial"/>
                <w:sz w:val="21"/>
                <w:szCs w:val="21"/>
                <w:lang w:val="en-GB"/>
              </w:rPr>
              <w:t xml:space="preserve">Similarly, </w:t>
            </w:r>
            <w:r w:rsidRPr="00AF43A2">
              <w:rPr>
                <w:rFonts w:eastAsia="Calibri" w:cs="Arial"/>
                <w:b/>
                <w:i/>
                <w:sz w:val="21"/>
                <w:szCs w:val="21"/>
                <w:lang w:val="en-GB"/>
              </w:rPr>
              <w:t>human rights-related barriers</w:t>
            </w:r>
            <w:r w:rsidRPr="00AF43A2">
              <w:rPr>
                <w:rFonts w:eastAsia="Calibri" w:cs="Arial"/>
                <w:sz w:val="21"/>
                <w:szCs w:val="21"/>
                <w:lang w:val="en-GB"/>
              </w:rPr>
              <w:t xml:space="preserve"> will be addressed by the development of service models that are better tailored to the needs of TG people (intervention 1.3) and KPs with HIV (e.g. Art Support by peer </w:t>
            </w:r>
            <w:r w:rsidR="009F791F" w:rsidRPr="00AF43A2">
              <w:rPr>
                <w:rFonts w:eastAsia="Calibri" w:cs="Arial"/>
                <w:sz w:val="21"/>
                <w:szCs w:val="21"/>
                <w:lang w:val="en-GB"/>
              </w:rPr>
              <w:t>counsellors</w:t>
            </w:r>
            <w:r w:rsidRPr="00AF43A2">
              <w:rPr>
                <w:rFonts w:eastAsia="Calibri" w:cs="Arial"/>
                <w:sz w:val="21"/>
                <w:szCs w:val="21"/>
                <w:lang w:val="en-GB"/>
              </w:rPr>
              <w:t xml:space="preserve">, intervention 3.1). In addition, interventions 1.5 and 1.6 aim to guarantee PWID’s right to OST and OD treatment; while interventions 2.1 and 2.2 aim to improve access to community-based testing and HIVST for KPs. Intervention 3.2 will contribute to the right to free ART (financed by the State) for undocumented migrants. Human right-s related barriers will further be addressed by providing legal support to KPs through community-based street lawyers and professional legal support. </w:t>
            </w:r>
          </w:p>
          <w:p w14:paraId="78C4870B" w14:textId="77777777" w:rsidR="00EF2B94" w:rsidRPr="00AF43A2" w:rsidRDefault="00EF2B94" w:rsidP="000A0528">
            <w:pPr>
              <w:spacing w:after="0" w:line="240" w:lineRule="auto"/>
              <w:ind w:firstLine="284"/>
              <w:jc w:val="both"/>
              <w:rPr>
                <w:rFonts w:eastAsia="Calibri" w:cs="Arial"/>
                <w:sz w:val="21"/>
                <w:szCs w:val="21"/>
                <w:lang w:val="en-GB"/>
              </w:rPr>
            </w:pPr>
            <w:r w:rsidRPr="00AF43A2">
              <w:rPr>
                <w:rFonts w:eastAsia="Calibri" w:cs="Arial"/>
                <w:b/>
                <w:i/>
                <w:sz w:val="21"/>
                <w:szCs w:val="21"/>
                <w:lang w:val="en-GB"/>
              </w:rPr>
              <w:t>Strengthening community systems</w:t>
            </w:r>
            <w:r w:rsidRPr="00AF43A2">
              <w:rPr>
                <w:rFonts w:eastAsia="Calibri" w:cs="Arial"/>
                <w:sz w:val="21"/>
                <w:szCs w:val="21"/>
                <w:lang w:val="en-GB"/>
              </w:rPr>
              <w:t xml:space="preserve"> is a major focus area of the FR, involving major investments in strengthening the institutional capacity of NGOs (Intervention 6.1), as well as strengthening community linkages between government institutions and civil society (Intervention 6.2) with a view to strengthening the access of KPs and PLHIV to health services and HIV services in particular. </w:t>
            </w:r>
          </w:p>
          <w:p w14:paraId="01CCF755" w14:textId="3521A2E8" w:rsidR="00EF2B94" w:rsidRPr="00AF43A2" w:rsidRDefault="00EF2B94" w:rsidP="000A0528">
            <w:pPr>
              <w:spacing w:after="0" w:line="240" w:lineRule="auto"/>
              <w:rPr>
                <w:rFonts w:asciiTheme="minorHAnsi" w:hAnsiTheme="minorHAnsi" w:cstheme="minorHAnsi"/>
              </w:rPr>
            </w:pPr>
          </w:p>
        </w:tc>
      </w:tr>
    </w:tbl>
    <w:p w14:paraId="319B2DEF" w14:textId="3B971106" w:rsidR="00971DBD" w:rsidRPr="00AF43A2" w:rsidRDefault="00971DBD" w:rsidP="000A0528">
      <w:pPr>
        <w:spacing w:after="0" w:line="240" w:lineRule="auto"/>
        <w:rPr>
          <w:rFonts w:asciiTheme="minorHAnsi" w:hAnsiTheme="minorHAnsi" w:cstheme="minorHAnsi"/>
          <w:bCs/>
        </w:rPr>
      </w:pPr>
    </w:p>
    <w:p w14:paraId="2D74E1C8" w14:textId="77777777" w:rsidR="00653F4B" w:rsidRPr="00AF43A2" w:rsidRDefault="00653F4B" w:rsidP="000A0528">
      <w:pPr>
        <w:spacing w:after="0" w:line="240" w:lineRule="auto"/>
        <w:rPr>
          <w:rFonts w:asciiTheme="minorHAnsi" w:hAnsiTheme="minorHAnsi" w:cstheme="minorHAnsi"/>
          <w:bCs/>
        </w:rPr>
      </w:pPr>
    </w:p>
    <w:p w14:paraId="31C1A032" w14:textId="31FDE5F3" w:rsidR="006253D6" w:rsidRPr="00AF43A2" w:rsidRDefault="008D0B88" w:rsidP="000A0528">
      <w:pPr>
        <w:pStyle w:val="21"/>
        <w:keepLines w:val="0"/>
        <w:numPr>
          <w:ilvl w:val="1"/>
          <w:numId w:val="18"/>
        </w:numPr>
        <w:spacing w:before="0" w:after="0" w:line="240" w:lineRule="auto"/>
        <w:jc w:val="both"/>
        <w:rPr>
          <w:rFonts w:asciiTheme="minorHAnsi" w:hAnsiTheme="minorHAnsi" w:cstheme="minorHAnsi"/>
        </w:rPr>
      </w:pPr>
      <w:r w:rsidRPr="00AF43A2">
        <w:rPr>
          <w:rFonts w:asciiTheme="minorHAnsi" w:eastAsia="Times New Roman" w:hAnsiTheme="minorHAnsi" w:cstheme="minorHAnsi"/>
          <w:bCs w:val="0"/>
          <w:lang w:val="en-GB"/>
        </w:rPr>
        <w:t xml:space="preserve">Matching Funds </w:t>
      </w:r>
      <w:r w:rsidR="00F401B6" w:rsidRPr="00AF43A2">
        <w:rPr>
          <w:rFonts w:asciiTheme="minorHAnsi" w:eastAsia="Times New Roman" w:hAnsiTheme="minorHAnsi" w:cstheme="minorHAnsi"/>
          <w:bCs w:val="0"/>
          <w:lang w:val="en-GB"/>
        </w:rPr>
        <w:t>(if applicable)</w:t>
      </w:r>
    </w:p>
    <w:tbl>
      <w:tblPr>
        <w:tblStyle w:val="aa"/>
        <w:tblW w:w="0" w:type="auto"/>
        <w:tblLook w:val="04A0" w:firstRow="1" w:lastRow="0" w:firstColumn="1" w:lastColumn="0" w:noHBand="0" w:noVBand="1"/>
      </w:tblPr>
      <w:tblGrid>
        <w:gridCol w:w="10456"/>
      </w:tblGrid>
      <w:tr w:rsidR="0048356F" w:rsidRPr="00AF43A2" w14:paraId="7F8F06C0" w14:textId="77777777" w:rsidTr="00653F4B">
        <w:tc>
          <w:tcPr>
            <w:tcW w:w="10790" w:type="dxa"/>
            <w:vAlign w:val="center"/>
          </w:tcPr>
          <w:p w14:paraId="1F1C3A80" w14:textId="127CDF1A" w:rsidR="00397B91" w:rsidRPr="00AF43A2" w:rsidRDefault="00653F4B" w:rsidP="000A0528">
            <w:pPr>
              <w:spacing w:after="0" w:line="240" w:lineRule="auto"/>
              <w:rPr>
                <w:rFonts w:asciiTheme="minorHAnsi" w:hAnsiTheme="minorHAnsi" w:cstheme="minorHAnsi"/>
                <w:b/>
                <w:color w:val="FF0000"/>
              </w:rPr>
            </w:pPr>
            <w:r w:rsidRPr="00AF43A2">
              <w:rPr>
                <w:rFonts w:asciiTheme="minorHAnsi" w:hAnsiTheme="minorHAnsi" w:cstheme="minorHAnsi"/>
                <w:b/>
                <w:color w:val="1E1E1E" w:themeColor="background2"/>
              </w:rPr>
              <w:t>Not applicable</w:t>
            </w:r>
          </w:p>
        </w:tc>
      </w:tr>
    </w:tbl>
    <w:p w14:paraId="38A3CF94" w14:textId="7FBBD9D5" w:rsidR="004B4E06" w:rsidRPr="00AF43A2" w:rsidRDefault="004B4E06" w:rsidP="000A0528">
      <w:pPr>
        <w:spacing w:after="0" w:line="240" w:lineRule="auto"/>
        <w:rPr>
          <w:rFonts w:asciiTheme="minorHAnsi" w:hAnsiTheme="minorHAnsi" w:cstheme="minorHAnsi"/>
          <w:szCs w:val="20"/>
        </w:rPr>
      </w:pPr>
    </w:p>
    <w:p w14:paraId="029FFBE8" w14:textId="7BC4C48C" w:rsidR="001F7F10" w:rsidRPr="00AF43A2" w:rsidRDefault="00397B91" w:rsidP="000A0528">
      <w:pPr>
        <w:tabs>
          <w:tab w:val="left" w:pos="921"/>
        </w:tabs>
        <w:spacing w:after="0" w:line="240" w:lineRule="auto"/>
        <w:rPr>
          <w:rFonts w:asciiTheme="minorHAnsi" w:hAnsiTheme="minorHAnsi" w:cstheme="minorHAnsi"/>
          <w:szCs w:val="20"/>
        </w:rPr>
      </w:pPr>
      <w:r w:rsidRPr="00AF43A2">
        <w:rPr>
          <w:rFonts w:asciiTheme="minorHAnsi" w:hAnsiTheme="minorHAnsi" w:cstheme="minorHAnsi"/>
          <w:szCs w:val="20"/>
        </w:rPr>
        <w:tab/>
      </w:r>
    </w:p>
    <w:p w14:paraId="412779C7" w14:textId="6BCABE4A" w:rsidR="00485066" w:rsidRPr="00AF43A2" w:rsidRDefault="00824D66" w:rsidP="000A0528">
      <w:pPr>
        <w:pStyle w:val="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pacing w:before="0" w:after="0" w:line="240" w:lineRule="auto"/>
        <w:jc w:val="both"/>
        <w:rPr>
          <w:rFonts w:asciiTheme="minorHAnsi" w:hAnsiTheme="minorHAnsi" w:cstheme="minorHAnsi"/>
          <w:b/>
          <w:sz w:val="30"/>
        </w:rPr>
      </w:pPr>
      <w:bookmarkStart w:id="1" w:name="_Toc7075896"/>
      <w:bookmarkStart w:id="2" w:name="_Toc7080092"/>
      <w:bookmarkStart w:id="3" w:name="_Toc7080213"/>
      <w:bookmarkStart w:id="4" w:name="_Toc7080228"/>
      <w:bookmarkStart w:id="5" w:name="_Toc7082335"/>
      <w:bookmarkStart w:id="6" w:name="_Toc1122238"/>
      <w:bookmarkStart w:id="7" w:name="_Toc1127667"/>
      <w:bookmarkStart w:id="8" w:name="_Toc5011519"/>
      <w:bookmarkStart w:id="9" w:name="_Toc5195533"/>
      <w:bookmarkStart w:id="10" w:name="_Toc6994679"/>
      <w:bookmarkStart w:id="11" w:name="_Toc7000520"/>
      <w:bookmarkStart w:id="12" w:name="_Toc7000630"/>
      <w:bookmarkStart w:id="13" w:name="_Toc7074796"/>
      <w:r w:rsidRPr="00AF43A2">
        <w:rPr>
          <w:rFonts w:asciiTheme="minorHAnsi" w:hAnsiTheme="minorHAnsi" w:cstheme="minorHAnsi"/>
          <w:b/>
          <w:sz w:val="30"/>
        </w:rPr>
        <w:t xml:space="preserve">Section 2: </w:t>
      </w:r>
      <w:r w:rsidR="00485066" w:rsidRPr="00AF43A2">
        <w:rPr>
          <w:rFonts w:asciiTheme="minorHAnsi" w:hAnsiTheme="minorHAnsi" w:cstheme="minorHAnsi"/>
          <w:b/>
          <w:sz w:val="30"/>
        </w:rPr>
        <w:t>Operationali</w:t>
      </w:r>
      <w:r w:rsidR="005F0694" w:rsidRPr="00AF43A2">
        <w:rPr>
          <w:rFonts w:asciiTheme="minorHAnsi" w:hAnsiTheme="minorHAnsi" w:cstheme="minorHAnsi"/>
          <w:b/>
          <w:sz w:val="30"/>
        </w:rPr>
        <w:t>s</w:t>
      </w:r>
      <w:r w:rsidR="00485066" w:rsidRPr="00AF43A2">
        <w:rPr>
          <w:rFonts w:asciiTheme="minorHAnsi" w:hAnsiTheme="minorHAnsi" w:cstheme="minorHAnsi"/>
          <w:b/>
          <w:sz w:val="30"/>
        </w:rPr>
        <w:t xml:space="preserve">ation and Implementation Arrangements </w:t>
      </w:r>
    </w:p>
    <w:bookmarkEnd w:id="1"/>
    <w:bookmarkEnd w:id="2"/>
    <w:bookmarkEnd w:id="3"/>
    <w:bookmarkEnd w:id="4"/>
    <w:bookmarkEnd w:id="5"/>
    <w:bookmarkEnd w:id="6"/>
    <w:bookmarkEnd w:id="7"/>
    <w:bookmarkEnd w:id="8"/>
    <w:bookmarkEnd w:id="9"/>
    <w:bookmarkEnd w:id="10"/>
    <w:bookmarkEnd w:id="11"/>
    <w:bookmarkEnd w:id="12"/>
    <w:bookmarkEnd w:id="13"/>
    <w:p w14:paraId="45778DA3" w14:textId="77777777" w:rsidR="00AA45C3" w:rsidRPr="00AF43A2" w:rsidRDefault="00AA45C3" w:rsidP="000A0528">
      <w:pPr>
        <w:spacing w:after="0" w:line="240" w:lineRule="auto"/>
        <w:contextualSpacing/>
        <w:rPr>
          <w:rFonts w:asciiTheme="minorHAnsi" w:hAnsiTheme="minorHAnsi" w:cstheme="minorHAnsi"/>
          <w:bCs/>
          <w:iCs/>
          <w:sz w:val="21"/>
          <w:szCs w:val="21"/>
        </w:rPr>
      </w:pPr>
    </w:p>
    <w:p w14:paraId="4B7380D8" w14:textId="72DFC3CB" w:rsidR="00A375A9" w:rsidRPr="00AF43A2" w:rsidRDefault="00485066" w:rsidP="000A0528">
      <w:pPr>
        <w:spacing w:after="0" w:line="240" w:lineRule="auto"/>
        <w:contextualSpacing/>
        <w:jc w:val="both"/>
        <w:rPr>
          <w:rFonts w:asciiTheme="minorHAnsi" w:hAnsiTheme="minorHAnsi" w:cstheme="minorHAnsi"/>
          <w:bCs/>
          <w:iCs/>
          <w:sz w:val="21"/>
          <w:szCs w:val="21"/>
        </w:rPr>
      </w:pPr>
      <w:r w:rsidRPr="00AF43A2">
        <w:rPr>
          <w:rFonts w:asciiTheme="minorHAnsi" w:hAnsiTheme="minorHAnsi" w:cstheme="minorHAnsi"/>
          <w:bCs/>
          <w:iCs/>
          <w:sz w:val="21"/>
          <w:szCs w:val="21"/>
        </w:rPr>
        <w:t>To respond</w:t>
      </w:r>
      <w:r w:rsidR="00A522BA" w:rsidRPr="00AF43A2">
        <w:rPr>
          <w:rFonts w:asciiTheme="minorHAnsi" w:hAnsiTheme="minorHAnsi" w:cstheme="minorHAnsi"/>
          <w:bCs/>
          <w:iCs/>
          <w:sz w:val="21"/>
          <w:szCs w:val="21"/>
        </w:rPr>
        <w:t xml:space="preserve"> to the questions below</w:t>
      </w:r>
      <w:r w:rsidRPr="00AF43A2">
        <w:rPr>
          <w:rFonts w:asciiTheme="minorHAnsi" w:hAnsiTheme="minorHAnsi" w:cstheme="minorHAnsi"/>
          <w:bCs/>
          <w:iCs/>
          <w:sz w:val="21"/>
          <w:szCs w:val="21"/>
        </w:rPr>
        <w:t xml:space="preserve">, refer to the </w:t>
      </w:r>
      <w:r w:rsidRPr="00AF43A2">
        <w:rPr>
          <w:rFonts w:asciiTheme="minorHAnsi" w:hAnsiTheme="minorHAnsi" w:cstheme="minorHAnsi"/>
          <w:i/>
          <w:sz w:val="21"/>
          <w:szCs w:val="21"/>
        </w:rPr>
        <w:t>Instructions</w:t>
      </w:r>
      <w:r w:rsidR="000E0ACF" w:rsidRPr="00AF43A2">
        <w:rPr>
          <w:rFonts w:asciiTheme="minorHAnsi" w:hAnsiTheme="minorHAnsi" w:cstheme="minorHAnsi"/>
          <w:bCs/>
          <w:iCs/>
          <w:sz w:val="21"/>
          <w:szCs w:val="21"/>
        </w:rPr>
        <w:t xml:space="preserve"> </w:t>
      </w:r>
      <w:r w:rsidR="00E46CA3" w:rsidRPr="00AF43A2">
        <w:rPr>
          <w:rFonts w:asciiTheme="minorHAnsi" w:hAnsiTheme="minorHAnsi" w:cstheme="minorHAnsi"/>
          <w:bCs/>
          <w:iCs/>
          <w:sz w:val="21"/>
          <w:szCs w:val="21"/>
        </w:rPr>
        <w:t xml:space="preserve">and </w:t>
      </w:r>
      <w:r w:rsidR="002E1987" w:rsidRPr="00AF43A2">
        <w:rPr>
          <w:rFonts w:asciiTheme="minorHAnsi" w:hAnsiTheme="minorHAnsi" w:cstheme="minorHAnsi"/>
          <w:bCs/>
          <w:iCs/>
          <w:sz w:val="21"/>
          <w:szCs w:val="21"/>
        </w:rPr>
        <w:t xml:space="preserve">an </w:t>
      </w:r>
      <w:r w:rsidR="00475BE9" w:rsidRPr="00AF43A2">
        <w:rPr>
          <w:rFonts w:asciiTheme="minorHAnsi" w:hAnsiTheme="minorHAnsi" w:cstheme="minorHAnsi"/>
          <w:bCs/>
          <w:iCs/>
          <w:sz w:val="21"/>
          <w:szCs w:val="21"/>
        </w:rPr>
        <w:t xml:space="preserve">updated </w:t>
      </w:r>
      <w:r w:rsidR="0004628A" w:rsidRPr="00AF43A2">
        <w:rPr>
          <w:rFonts w:asciiTheme="minorHAnsi" w:hAnsiTheme="minorHAnsi" w:cstheme="minorHAnsi"/>
          <w:b/>
          <w:bCs/>
          <w:iCs/>
          <w:sz w:val="21"/>
          <w:szCs w:val="21"/>
        </w:rPr>
        <w:t>I</w:t>
      </w:r>
      <w:r w:rsidR="000242DD" w:rsidRPr="00AF43A2">
        <w:rPr>
          <w:rFonts w:asciiTheme="minorHAnsi" w:hAnsiTheme="minorHAnsi" w:cstheme="minorHAnsi"/>
          <w:b/>
          <w:bCs/>
          <w:iCs/>
          <w:sz w:val="21"/>
          <w:szCs w:val="21"/>
        </w:rPr>
        <w:t xml:space="preserve">mplementation </w:t>
      </w:r>
      <w:r w:rsidR="0004628A" w:rsidRPr="00AF43A2">
        <w:rPr>
          <w:rFonts w:asciiTheme="minorHAnsi" w:hAnsiTheme="minorHAnsi" w:cstheme="minorHAnsi"/>
          <w:b/>
          <w:bCs/>
          <w:iCs/>
          <w:sz w:val="21"/>
          <w:szCs w:val="21"/>
        </w:rPr>
        <w:t>Arrangement Map</w:t>
      </w:r>
      <w:r w:rsidR="000242DD" w:rsidRPr="00AF43A2">
        <w:rPr>
          <w:rStyle w:val="af"/>
          <w:rFonts w:asciiTheme="minorHAnsi" w:hAnsiTheme="minorHAnsi" w:cstheme="minorHAnsi"/>
          <w:bCs/>
          <w:iCs/>
          <w:sz w:val="21"/>
          <w:szCs w:val="21"/>
        </w:rPr>
        <w:footnoteReference w:id="13"/>
      </w:r>
      <w:r w:rsidRPr="00AF43A2">
        <w:rPr>
          <w:rFonts w:asciiTheme="minorHAnsi" w:hAnsiTheme="minorHAnsi" w:cstheme="minorHAnsi"/>
          <w:bCs/>
          <w:iCs/>
          <w:sz w:val="21"/>
          <w:szCs w:val="21"/>
        </w:rPr>
        <w:t>.</w:t>
      </w:r>
    </w:p>
    <w:p w14:paraId="399C718E" w14:textId="73EEF74E" w:rsidR="00485066" w:rsidRPr="00AF43A2" w:rsidRDefault="00485066" w:rsidP="000A0528">
      <w:pPr>
        <w:pStyle w:val="affff3"/>
        <w:numPr>
          <w:ilvl w:val="0"/>
          <w:numId w:val="20"/>
        </w:numPr>
        <w:spacing w:after="0" w:line="240" w:lineRule="auto"/>
        <w:rPr>
          <w:rFonts w:asciiTheme="minorHAnsi" w:hAnsiTheme="minorHAnsi" w:cstheme="minorHAnsi"/>
          <w:sz w:val="21"/>
          <w:szCs w:val="21"/>
        </w:rPr>
      </w:pPr>
      <w:r w:rsidRPr="00AF43A2">
        <w:rPr>
          <w:rFonts w:asciiTheme="minorHAnsi" w:hAnsiTheme="minorHAnsi" w:cstheme="minorHAnsi"/>
          <w:sz w:val="21"/>
          <w:szCs w:val="21"/>
        </w:rPr>
        <w:t xml:space="preserve">Describe how the proposed </w:t>
      </w:r>
      <w:r w:rsidRPr="00AF43A2">
        <w:rPr>
          <w:rFonts w:asciiTheme="minorHAnsi" w:hAnsiTheme="minorHAnsi" w:cstheme="minorHAnsi"/>
          <w:b/>
          <w:sz w:val="21"/>
          <w:szCs w:val="21"/>
        </w:rPr>
        <w:t>implementation arrangements</w:t>
      </w:r>
      <w:r w:rsidRPr="00AF43A2">
        <w:rPr>
          <w:rFonts w:asciiTheme="minorHAnsi" w:hAnsiTheme="minorHAnsi" w:cstheme="minorHAnsi"/>
          <w:sz w:val="21"/>
          <w:szCs w:val="21"/>
        </w:rPr>
        <w:t xml:space="preserve"> will ensure efficient program</w:t>
      </w:r>
      <w:r w:rsidR="00B72728" w:rsidRPr="00AF43A2">
        <w:rPr>
          <w:rFonts w:asciiTheme="minorHAnsi" w:hAnsiTheme="minorHAnsi" w:cstheme="minorHAnsi"/>
          <w:sz w:val="21"/>
          <w:szCs w:val="21"/>
        </w:rPr>
        <w:t>me</w:t>
      </w:r>
      <w:r w:rsidRPr="00AF43A2">
        <w:rPr>
          <w:rFonts w:asciiTheme="minorHAnsi" w:hAnsiTheme="minorHAnsi" w:cstheme="minorHAnsi"/>
          <w:sz w:val="21"/>
          <w:szCs w:val="21"/>
        </w:rPr>
        <w:t xml:space="preserve"> delivery</w:t>
      </w:r>
      <w:r w:rsidR="00D87F02" w:rsidRPr="00AF43A2">
        <w:rPr>
          <w:rFonts w:asciiTheme="minorHAnsi" w:hAnsiTheme="minorHAnsi" w:cstheme="minorHAnsi"/>
          <w:sz w:val="21"/>
          <w:szCs w:val="21"/>
        </w:rPr>
        <w:t>.</w:t>
      </w:r>
    </w:p>
    <w:p w14:paraId="31925A62" w14:textId="77777777" w:rsidR="0048356F" w:rsidRPr="00AF43A2" w:rsidRDefault="0048356F" w:rsidP="000A0528">
      <w:pPr>
        <w:pStyle w:val="affff3"/>
        <w:spacing w:after="0" w:line="240" w:lineRule="auto"/>
        <w:ind w:left="360"/>
        <w:rPr>
          <w:rFonts w:asciiTheme="minorHAnsi" w:hAnsiTheme="minorHAnsi" w:cstheme="minorHAnsi"/>
          <w:sz w:val="21"/>
          <w:szCs w:val="21"/>
        </w:rPr>
      </w:pPr>
    </w:p>
    <w:tbl>
      <w:tblPr>
        <w:tblStyle w:val="aa"/>
        <w:tblW w:w="0" w:type="auto"/>
        <w:tblLook w:val="04A0" w:firstRow="1" w:lastRow="0" w:firstColumn="1" w:lastColumn="0" w:noHBand="0" w:noVBand="1"/>
      </w:tblPr>
      <w:tblGrid>
        <w:gridCol w:w="10456"/>
      </w:tblGrid>
      <w:tr w:rsidR="00485066" w:rsidRPr="00AF43A2" w14:paraId="375CA32D" w14:textId="77777777" w:rsidTr="005279BC">
        <w:tc>
          <w:tcPr>
            <w:tcW w:w="10790" w:type="dxa"/>
          </w:tcPr>
          <w:p w14:paraId="56455F05" w14:textId="1ED38E80" w:rsidR="000260D9" w:rsidRPr="00AF43A2" w:rsidRDefault="000260D9" w:rsidP="000A0528">
            <w:pPr>
              <w:spacing w:after="0" w:line="240" w:lineRule="auto"/>
              <w:jc w:val="both"/>
              <w:rPr>
                <w:rFonts w:asciiTheme="minorHAnsi" w:eastAsia="Calibri" w:hAnsiTheme="minorHAnsi" w:cstheme="minorHAnsi"/>
                <w:color w:val="000000"/>
                <w:sz w:val="21"/>
              </w:rPr>
            </w:pPr>
            <w:r w:rsidRPr="00AF43A2">
              <w:rPr>
                <w:rFonts w:asciiTheme="minorHAnsi" w:eastAsia="Calibri" w:hAnsiTheme="minorHAnsi" w:cstheme="minorHAnsi"/>
                <w:color w:val="000000"/>
                <w:sz w:val="21"/>
              </w:rPr>
              <w:t xml:space="preserve">The attached </w:t>
            </w:r>
            <w:r w:rsidRPr="00AF43A2">
              <w:rPr>
                <w:rFonts w:asciiTheme="minorHAnsi" w:eastAsia="Calibri" w:hAnsiTheme="minorHAnsi" w:cstheme="minorHAnsi"/>
                <w:b/>
                <w:i/>
                <w:color w:val="000000"/>
                <w:sz w:val="21"/>
              </w:rPr>
              <w:t>Implementation Arrangements Map</w:t>
            </w:r>
            <w:r w:rsidRPr="00AF43A2">
              <w:rPr>
                <w:rFonts w:asciiTheme="minorHAnsi" w:eastAsia="Calibri" w:hAnsiTheme="minorHAnsi" w:cstheme="minorHAnsi"/>
                <w:color w:val="000000"/>
                <w:sz w:val="21"/>
              </w:rPr>
              <w:t xml:space="preserve"> gives an overview of the roles and responsibilities of the different institutions involved in grant implementation.</w:t>
            </w:r>
          </w:p>
          <w:p w14:paraId="3E5B29D8" w14:textId="4CE05C66" w:rsidR="000260D9" w:rsidRPr="00AF43A2" w:rsidRDefault="000260D9" w:rsidP="000A0528">
            <w:pPr>
              <w:spacing w:after="0" w:line="240" w:lineRule="auto"/>
              <w:ind w:firstLine="284"/>
              <w:jc w:val="both"/>
              <w:rPr>
                <w:rFonts w:asciiTheme="minorHAnsi" w:eastAsia="Calibri" w:hAnsiTheme="minorHAnsi" w:cstheme="minorHAnsi"/>
                <w:color w:val="000000"/>
                <w:sz w:val="21"/>
              </w:rPr>
            </w:pPr>
            <w:r w:rsidRPr="00AF43A2">
              <w:rPr>
                <w:rFonts w:asciiTheme="minorHAnsi" w:eastAsia="Calibri" w:hAnsiTheme="minorHAnsi" w:cstheme="minorHAnsi"/>
                <w:color w:val="000000"/>
                <w:sz w:val="21"/>
              </w:rPr>
              <w:t xml:space="preserve">The MOH-based </w:t>
            </w:r>
            <w:r w:rsidRPr="00AF43A2">
              <w:rPr>
                <w:rFonts w:asciiTheme="minorHAnsi" w:eastAsia="Calibri" w:hAnsiTheme="minorHAnsi" w:cstheme="minorHAnsi"/>
                <w:b/>
                <w:i/>
                <w:color w:val="000000"/>
                <w:sz w:val="21"/>
              </w:rPr>
              <w:t>Kazakh Scientific Centre of Dermatology and Infectious Diseases (</w:t>
            </w:r>
            <w:r w:rsidR="001D3332" w:rsidRPr="00AF43A2">
              <w:rPr>
                <w:rFonts w:asciiTheme="minorHAnsi" w:eastAsia="Calibri" w:hAnsiTheme="minorHAnsi" w:cstheme="minorHAnsi"/>
                <w:b/>
                <w:i/>
                <w:color w:val="000000"/>
                <w:sz w:val="21"/>
              </w:rPr>
              <w:t>KNCDID</w:t>
            </w:r>
            <w:r w:rsidRPr="00AF43A2">
              <w:rPr>
                <w:rFonts w:asciiTheme="minorHAnsi" w:eastAsia="Calibri" w:hAnsiTheme="minorHAnsi" w:cstheme="minorHAnsi"/>
                <w:b/>
                <w:i/>
                <w:color w:val="000000"/>
                <w:sz w:val="21"/>
              </w:rPr>
              <w:t>)</w:t>
            </w:r>
            <w:r w:rsidRPr="00AF43A2">
              <w:rPr>
                <w:rFonts w:asciiTheme="minorHAnsi" w:eastAsia="Calibri" w:hAnsiTheme="minorHAnsi" w:cstheme="minorHAnsi"/>
                <w:color w:val="000000"/>
                <w:sz w:val="21"/>
              </w:rPr>
              <w:t xml:space="preserve"> will continue to be the PR. As an MOH-based institution, the selection of the </w:t>
            </w:r>
            <w:r w:rsidR="001D3332" w:rsidRPr="00AF43A2">
              <w:rPr>
                <w:rFonts w:asciiTheme="minorHAnsi" w:eastAsia="Calibri" w:hAnsiTheme="minorHAnsi" w:cstheme="minorHAnsi"/>
                <w:color w:val="000000"/>
                <w:sz w:val="21"/>
              </w:rPr>
              <w:t>KNCDID</w:t>
            </w:r>
            <w:r w:rsidRPr="00AF43A2">
              <w:rPr>
                <w:rFonts w:asciiTheme="minorHAnsi" w:eastAsia="Calibri" w:hAnsiTheme="minorHAnsi" w:cstheme="minorHAnsi"/>
                <w:color w:val="000000"/>
                <w:sz w:val="21"/>
              </w:rPr>
              <w:t xml:space="preserve"> as PR will support national ownership and will build national capacity for programme implementation. The Project Implementation Unit (PIU) will execute its functions in accordance with Global Fund requirements and in compliance with the national </w:t>
            </w:r>
            <w:r w:rsidRPr="00AF43A2">
              <w:rPr>
                <w:rFonts w:asciiTheme="minorHAnsi" w:eastAsia="Calibri" w:hAnsiTheme="minorHAnsi" w:cstheme="minorHAnsi"/>
                <w:color w:val="000000"/>
                <w:sz w:val="21"/>
              </w:rPr>
              <w:lastRenderedPageBreak/>
              <w:t xml:space="preserve">legislation. The PR/PIU will develop workplans for project implementation and </w:t>
            </w:r>
            <w:r w:rsidR="00231EFE">
              <w:rPr>
                <w:rFonts w:asciiTheme="minorHAnsi" w:eastAsia="Calibri" w:hAnsiTheme="minorHAnsi" w:cstheme="minorHAnsi"/>
                <w:color w:val="000000"/>
                <w:sz w:val="21"/>
              </w:rPr>
              <w:t xml:space="preserve">will </w:t>
            </w:r>
            <w:r w:rsidRPr="00AF43A2">
              <w:rPr>
                <w:rFonts w:asciiTheme="minorHAnsi" w:eastAsia="Calibri" w:hAnsiTheme="minorHAnsi" w:cstheme="minorHAnsi"/>
                <w:color w:val="000000"/>
                <w:sz w:val="21"/>
              </w:rPr>
              <w:t>present performance reports to the CCM. The current PR/PIU possesses strong technical management capacity, which will allow the smooth continuation of the Global Fund grants, and transition from the current grant to the next one. The PR/PIU will be responsible for all operational and managerial issues related to implementation of the grant, including:</w:t>
            </w:r>
          </w:p>
          <w:p w14:paraId="4A6113F1" w14:textId="77777777" w:rsidR="000260D9" w:rsidRPr="00AF43A2" w:rsidRDefault="000260D9" w:rsidP="000A0528">
            <w:pPr>
              <w:spacing w:after="0" w:line="240" w:lineRule="auto"/>
              <w:jc w:val="both"/>
              <w:rPr>
                <w:rFonts w:asciiTheme="minorHAnsi" w:eastAsia="Calibri" w:hAnsiTheme="minorHAnsi" w:cstheme="minorHAnsi"/>
                <w:color w:val="000000"/>
                <w:sz w:val="8"/>
                <w:szCs w:val="8"/>
              </w:rPr>
            </w:pPr>
          </w:p>
          <w:p w14:paraId="0946E18A" w14:textId="77777777" w:rsidR="000260D9" w:rsidRPr="00AF43A2" w:rsidRDefault="000260D9" w:rsidP="000A0528">
            <w:pPr>
              <w:numPr>
                <w:ilvl w:val="0"/>
                <w:numId w:val="36"/>
              </w:numPr>
              <w:spacing w:after="0" w:line="240" w:lineRule="auto"/>
              <w:ind w:left="284" w:hanging="284"/>
              <w:contextualSpacing/>
              <w:jc w:val="both"/>
              <w:rPr>
                <w:rFonts w:asciiTheme="minorHAnsi" w:eastAsia="Calibri" w:hAnsiTheme="minorHAnsi" w:cstheme="minorHAnsi"/>
                <w:color w:val="000000"/>
                <w:sz w:val="21"/>
              </w:rPr>
            </w:pPr>
            <w:r w:rsidRPr="00AF43A2">
              <w:rPr>
                <w:rFonts w:asciiTheme="minorHAnsi" w:eastAsia="Calibri" w:hAnsiTheme="minorHAnsi" w:cstheme="minorHAnsi"/>
                <w:color w:val="000000"/>
                <w:sz w:val="21"/>
              </w:rPr>
              <w:t>Grant Programme management, including financial management and coordination</w:t>
            </w:r>
          </w:p>
          <w:p w14:paraId="7F472E91" w14:textId="77777777" w:rsidR="000260D9" w:rsidRPr="00AF43A2" w:rsidRDefault="000260D9" w:rsidP="000A0528">
            <w:pPr>
              <w:numPr>
                <w:ilvl w:val="0"/>
                <w:numId w:val="36"/>
              </w:numPr>
              <w:spacing w:after="0" w:line="240" w:lineRule="auto"/>
              <w:ind w:left="284" w:hanging="284"/>
              <w:contextualSpacing/>
              <w:jc w:val="both"/>
              <w:rPr>
                <w:rFonts w:asciiTheme="minorHAnsi" w:eastAsia="Calibri" w:hAnsiTheme="minorHAnsi" w:cstheme="minorHAnsi"/>
                <w:color w:val="000000"/>
                <w:sz w:val="21"/>
              </w:rPr>
            </w:pPr>
            <w:r w:rsidRPr="00AF43A2">
              <w:rPr>
                <w:rFonts w:asciiTheme="minorHAnsi" w:eastAsia="Calibri" w:hAnsiTheme="minorHAnsi" w:cstheme="minorHAnsi"/>
                <w:color w:val="000000"/>
                <w:sz w:val="21"/>
              </w:rPr>
              <w:t xml:space="preserve">Harmonisation and coordination of the National HIV, STI, and Hepatitis programme </w:t>
            </w:r>
          </w:p>
          <w:p w14:paraId="68D25CCC" w14:textId="77777777" w:rsidR="000260D9" w:rsidRPr="00AF43A2" w:rsidRDefault="000260D9" w:rsidP="000A0528">
            <w:pPr>
              <w:numPr>
                <w:ilvl w:val="0"/>
                <w:numId w:val="36"/>
              </w:numPr>
              <w:spacing w:after="0" w:line="240" w:lineRule="auto"/>
              <w:ind w:left="284" w:hanging="284"/>
              <w:contextualSpacing/>
              <w:jc w:val="both"/>
              <w:rPr>
                <w:rFonts w:asciiTheme="minorHAnsi" w:eastAsia="Calibri" w:hAnsiTheme="minorHAnsi" w:cstheme="minorHAnsi"/>
                <w:color w:val="000000"/>
                <w:sz w:val="21"/>
              </w:rPr>
            </w:pPr>
            <w:r w:rsidRPr="00AF43A2">
              <w:rPr>
                <w:rFonts w:asciiTheme="minorHAnsi" w:eastAsia="Calibri" w:hAnsiTheme="minorHAnsi" w:cstheme="minorHAnsi"/>
                <w:color w:val="000000"/>
                <w:sz w:val="21"/>
              </w:rPr>
              <w:t>Organisational, methodological and technical assistance to Regional AIDS Centres and NGOs at the regional level</w:t>
            </w:r>
          </w:p>
          <w:p w14:paraId="693EDC24" w14:textId="77777777" w:rsidR="000260D9" w:rsidRPr="00AF43A2" w:rsidRDefault="000260D9" w:rsidP="000A0528">
            <w:pPr>
              <w:numPr>
                <w:ilvl w:val="0"/>
                <w:numId w:val="36"/>
              </w:numPr>
              <w:spacing w:after="0" w:line="240" w:lineRule="auto"/>
              <w:ind w:left="284" w:hanging="284"/>
              <w:contextualSpacing/>
              <w:jc w:val="both"/>
              <w:rPr>
                <w:rFonts w:asciiTheme="minorHAnsi" w:eastAsia="Calibri" w:hAnsiTheme="minorHAnsi" w:cstheme="minorHAnsi"/>
                <w:color w:val="000000"/>
                <w:sz w:val="21"/>
              </w:rPr>
            </w:pPr>
            <w:r w:rsidRPr="00AF43A2">
              <w:rPr>
                <w:rFonts w:asciiTheme="minorHAnsi" w:eastAsia="Calibri" w:hAnsiTheme="minorHAnsi" w:cstheme="minorHAnsi"/>
                <w:color w:val="000000"/>
                <w:sz w:val="21"/>
              </w:rPr>
              <w:t>Management, coordination and oversight of SRs –</w:t>
            </w:r>
            <w:r w:rsidRPr="00AF43A2">
              <w:rPr>
                <w:rFonts w:asciiTheme="minorHAnsi" w:eastAsia="Calibri" w:hAnsiTheme="minorHAnsi" w:cstheme="minorHAnsi"/>
                <w:b/>
                <w:color w:val="000000"/>
                <w:sz w:val="21"/>
              </w:rPr>
              <w:t xml:space="preserve"> </w:t>
            </w:r>
            <w:r w:rsidRPr="00AF43A2">
              <w:rPr>
                <w:rFonts w:asciiTheme="minorHAnsi" w:eastAsia="Calibri" w:hAnsiTheme="minorHAnsi" w:cstheme="minorHAnsi"/>
                <w:color w:val="000000"/>
                <w:sz w:val="21"/>
              </w:rPr>
              <w:t>NGOs at the national level and in 8 priority regions</w:t>
            </w:r>
          </w:p>
          <w:p w14:paraId="2B904FB5" w14:textId="77777777" w:rsidR="000260D9" w:rsidRPr="00AF43A2" w:rsidRDefault="000260D9" w:rsidP="000A0528">
            <w:pPr>
              <w:numPr>
                <w:ilvl w:val="0"/>
                <w:numId w:val="36"/>
              </w:numPr>
              <w:spacing w:after="0" w:line="240" w:lineRule="auto"/>
              <w:ind w:left="284" w:hanging="284"/>
              <w:contextualSpacing/>
              <w:jc w:val="both"/>
              <w:rPr>
                <w:rFonts w:asciiTheme="minorHAnsi" w:eastAsia="Calibri" w:hAnsiTheme="minorHAnsi" w:cstheme="minorHAnsi"/>
                <w:color w:val="000000"/>
                <w:sz w:val="21"/>
              </w:rPr>
            </w:pPr>
            <w:r w:rsidRPr="00AF43A2">
              <w:rPr>
                <w:rFonts w:asciiTheme="minorHAnsi" w:eastAsia="Calibri" w:hAnsiTheme="minorHAnsi" w:cstheme="minorHAnsi"/>
                <w:color w:val="000000"/>
                <w:sz w:val="21"/>
              </w:rPr>
              <w:t>Management and coordination of SRs and subcontractors, including NGO service providers in 8 priority regions; as well as SRs providing specialised services and/or programmes</w:t>
            </w:r>
          </w:p>
          <w:p w14:paraId="5A4EAB8B" w14:textId="77777777" w:rsidR="000260D9" w:rsidRPr="00AF43A2" w:rsidRDefault="000260D9" w:rsidP="000A0528">
            <w:pPr>
              <w:numPr>
                <w:ilvl w:val="0"/>
                <w:numId w:val="36"/>
              </w:numPr>
              <w:spacing w:after="0" w:line="240" w:lineRule="auto"/>
              <w:ind w:left="284" w:hanging="284"/>
              <w:contextualSpacing/>
              <w:jc w:val="both"/>
              <w:rPr>
                <w:rFonts w:asciiTheme="minorHAnsi" w:eastAsia="Calibri" w:hAnsiTheme="minorHAnsi" w:cstheme="minorHAnsi"/>
                <w:color w:val="000000"/>
                <w:sz w:val="21"/>
              </w:rPr>
            </w:pPr>
            <w:r w:rsidRPr="00AF43A2">
              <w:rPr>
                <w:rFonts w:asciiTheme="minorHAnsi" w:eastAsia="Calibri" w:hAnsiTheme="minorHAnsi" w:cstheme="minorHAnsi"/>
                <w:color w:val="000000"/>
                <w:sz w:val="21"/>
              </w:rPr>
              <w:t>Monitoring and supervision of grant implementation</w:t>
            </w:r>
          </w:p>
          <w:p w14:paraId="1717D6B4" w14:textId="77777777" w:rsidR="000260D9" w:rsidRPr="00AF43A2" w:rsidRDefault="000260D9" w:rsidP="000A0528">
            <w:pPr>
              <w:numPr>
                <w:ilvl w:val="0"/>
                <w:numId w:val="36"/>
              </w:numPr>
              <w:spacing w:after="0" w:line="240" w:lineRule="auto"/>
              <w:ind w:left="284" w:hanging="284"/>
              <w:contextualSpacing/>
              <w:jc w:val="both"/>
              <w:rPr>
                <w:rFonts w:asciiTheme="minorHAnsi" w:eastAsia="Calibri" w:hAnsiTheme="minorHAnsi" w:cstheme="minorHAnsi"/>
                <w:color w:val="000000"/>
                <w:sz w:val="21"/>
              </w:rPr>
            </w:pPr>
            <w:r w:rsidRPr="00AF43A2">
              <w:rPr>
                <w:rFonts w:asciiTheme="minorHAnsi" w:eastAsia="Calibri" w:hAnsiTheme="minorHAnsi" w:cstheme="minorHAnsi"/>
                <w:color w:val="000000"/>
                <w:sz w:val="21"/>
              </w:rPr>
              <w:t>Procurement of technical assistance and human resources (NGO staff and outreach workers; experts). Procurement of health products will be delegated to an international procurement agent (see below).</w:t>
            </w:r>
          </w:p>
          <w:p w14:paraId="08947DC1" w14:textId="77777777" w:rsidR="000260D9" w:rsidRPr="00AF43A2" w:rsidRDefault="000260D9" w:rsidP="000A0528">
            <w:pPr>
              <w:spacing w:after="0" w:line="240" w:lineRule="auto"/>
              <w:jc w:val="both"/>
              <w:rPr>
                <w:rFonts w:asciiTheme="minorHAnsi" w:eastAsia="Calibri" w:hAnsiTheme="minorHAnsi" w:cstheme="minorHAnsi"/>
                <w:b/>
                <w:i/>
                <w:color w:val="000000"/>
                <w:sz w:val="8"/>
                <w:szCs w:val="8"/>
              </w:rPr>
            </w:pPr>
          </w:p>
          <w:p w14:paraId="43A8F7BB" w14:textId="77777777" w:rsidR="000260D9" w:rsidRPr="00AF43A2" w:rsidRDefault="000260D9" w:rsidP="000A0528">
            <w:pPr>
              <w:spacing w:after="0" w:line="240" w:lineRule="auto"/>
              <w:jc w:val="both"/>
              <w:rPr>
                <w:rFonts w:asciiTheme="minorHAnsi" w:eastAsia="Calibri" w:hAnsiTheme="minorHAnsi" w:cstheme="minorHAnsi"/>
                <w:color w:val="000000"/>
                <w:sz w:val="21"/>
              </w:rPr>
            </w:pPr>
            <w:r w:rsidRPr="00AF43A2">
              <w:rPr>
                <w:rFonts w:asciiTheme="minorHAnsi" w:eastAsia="Calibri" w:hAnsiTheme="minorHAnsi" w:cstheme="minorHAnsi"/>
                <w:b/>
                <w:i/>
                <w:color w:val="000000"/>
                <w:sz w:val="21"/>
              </w:rPr>
              <w:t>Sub-recipients</w:t>
            </w:r>
            <w:r w:rsidRPr="00AF43A2">
              <w:rPr>
                <w:rFonts w:asciiTheme="minorHAnsi" w:eastAsia="Calibri" w:hAnsiTheme="minorHAnsi" w:cstheme="minorHAnsi"/>
                <w:color w:val="000000"/>
                <w:sz w:val="21"/>
              </w:rPr>
              <w:t xml:space="preserve"> – A number of SRs will be responsible for the implementation of specific components of the grant, in accordance with their specific responsibilities and/or technical expertise. One SR has already been pre-selected: the MOH-based</w:t>
            </w:r>
            <w:r w:rsidRPr="00AF43A2">
              <w:rPr>
                <w:rFonts w:asciiTheme="minorHAnsi" w:eastAsia="Calibri" w:hAnsiTheme="minorHAnsi" w:cstheme="minorHAnsi"/>
                <w:b/>
                <w:i/>
                <w:color w:val="000000"/>
                <w:sz w:val="21"/>
              </w:rPr>
              <w:t xml:space="preserve"> Republican Scientific-Practical Centre for Mental Health (RSPCMH)</w:t>
            </w:r>
            <w:r w:rsidRPr="00AF43A2">
              <w:rPr>
                <w:rFonts w:asciiTheme="minorHAnsi" w:eastAsia="Calibri" w:hAnsiTheme="minorHAnsi" w:cstheme="minorHAnsi"/>
                <w:color w:val="000000"/>
                <w:sz w:val="21"/>
              </w:rPr>
              <w:t xml:space="preserve"> will be responsible for implementing three major interventions (1.5, 1.6 and 1.7) related to strengthening OST, Overdose management and development of programmes for NPS users. The RSPCMH being under the MOH will facilitate the integration of these components in the services provided by the MOH.</w:t>
            </w:r>
          </w:p>
          <w:p w14:paraId="443497A0" w14:textId="77777777" w:rsidR="000260D9" w:rsidRPr="00AF43A2" w:rsidRDefault="000260D9" w:rsidP="000A0528">
            <w:pPr>
              <w:spacing w:after="0" w:line="240" w:lineRule="auto"/>
              <w:ind w:firstLine="284"/>
              <w:jc w:val="both"/>
              <w:rPr>
                <w:rFonts w:asciiTheme="minorHAnsi" w:eastAsia="Calibri" w:hAnsiTheme="minorHAnsi" w:cstheme="minorHAnsi"/>
                <w:color w:val="1E1E1E" w:themeColor="background2"/>
                <w:sz w:val="21"/>
              </w:rPr>
            </w:pPr>
            <w:r w:rsidRPr="00AF43A2">
              <w:rPr>
                <w:rFonts w:asciiTheme="minorHAnsi" w:eastAsia="Calibri" w:hAnsiTheme="minorHAnsi" w:cstheme="minorHAnsi"/>
                <w:color w:val="000000"/>
                <w:sz w:val="21"/>
              </w:rPr>
              <w:t xml:space="preserve">Other SRs will include </w:t>
            </w:r>
            <w:r w:rsidRPr="00AF43A2">
              <w:rPr>
                <w:rFonts w:asciiTheme="minorHAnsi" w:eastAsia="Calibri" w:hAnsiTheme="minorHAnsi" w:cstheme="minorHAnsi"/>
                <w:b/>
                <w:i/>
                <w:color w:val="000000"/>
                <w:sz w:val="21"/>
              </w:rPr>
              <w:t>NGO service providers in 8 regions</w:t>
            </w:r>
            <w:r w:rsidRPr="00AF43A2">
              <w:rPr>
                <w:rFonts w:asciiTheme="minorHAnsi" w:eastAsia="Calibri" w:hAnsiTheme="minorHAnsi" w:cstheme="minorHAnsi"/>
                <w:color w:val="000000"/>
                <w:sz w:val="21"/>
              </w:rPr>
              <w:t xml:space="preserve"> that have been prioritised for HIV service delivery to KPs (Aktobe, Almaty Region, East Kazakhstan, Karaganda, Kostanay, Nur-Sultan, Pavlodar and Shymkent); as well as SRs yet to be selected through a competitive bidding process to provide </w:t>
            </w:r>
            <w:r w:rsidRPr="00AF43A2">
              <w:rPr>
                <w:rFonts w:asciiTheme="minorHAnsi" w:eastAsia="Calibri" w:hAnsiTheme="minorHAnsi" w:cstheme="minorHAnsi"/>
                <w:b/>
                <w:i/>
                <w:color w:val="000000"/>
                <w:sz w:val="21"/>
              </w:rPr>
              <w:t>specialised services and interventions</w:t>
            </w:r>
            <w:r w:rsidRPr="00AF43A2">
              <w:rPr>
                <w:rFonts w:asciiTheme="minorHAnsi" w:eastAsia="Calibri" w:hAnsiTheme="minorHAnsi" w:cstheme="minorHAnsi"/>
                <w:color w:val="000000"/>
                <w:sz w:val="21"/>
              </w:rPr>
              <w:t xml:space="preserve">, including: 1) services for PLHIV (e.g. NGO capacity building, HIVST, reducing stigma and discrimination); 2) the introduction of a PrEP programme; 3) Legal support for KPs and PLHIV, including for undocumented </w:t>
            </w:r>
            <w:r w:rsidRPr="00AF43A2">
              <w:rPr>
                <w:rFonts w:asciiTheme="minorHAnsi" w:eastAsia="Calibri" w:hAnsiTheme="minorHAnsi" w:cstheme="minorHAnsi"/>
                <w:color w:val="1E1E1E" w:themeColor="background2"/>
                <w:sz w:val="21"/>
              </w:rPr>
              <w:t xml:space="preserve">migrants with HIV; 4) the further development of social contracting mechanisms for HIV services; 5) incorporation of HIV services in Compulsory Social Health Insurance (CSHI); 6) strengthening the institutional capacity of NGOs; and 7) advocacy and strengthening partnerships at the regional level. </w:t>
            </w:r>
          </w:p>
          <w:p w14:paraId="3F9960A3" w14:textId="052B5026" w:rsidR="00D87719" w:rsidRPr="00AF43A2" w:rsidRDefault="000260D9" w:rsidP="000A0528">
            <w:pPr>
              <w:spacing w:after="0" w:line="240" w:lineRule="auto"/>
              <w:ind w:firstLine="284"/>
              <w:jc w:val="both"/>
              <w:rPr>
                <w:rFonts w:asciiTheme="minorHAnsi" w:eastAsia="Calibri" w:hAnsiTheme="minorHAnsi" w:cstheme="minorHAnsi"/>
                <w:color w:val="1E1E1E" w:themeColor="background2"/>
                <w:sz w:val="21"/>
              </w:rPr>
            </w:pPr>
            <w:r w:rsidRPr="00AF43A2">
              <w:rPr>
                <w:rFonts w:asciiTheme="minorHAnsi" w:eastAsia="Calibri" w:hAnsiTheme="minorHAnsi" w:cstheme="minorHAnsi"/>
                <w:color w:val="1E1E1E" w:themeColor="background2"/>
                <w:sz w:val="21"/>
              </w:rPr>
              <w:t xml:space="preserve">Some national institutions with demonstrated capacity have already shown an interest in being involved in the implementation of these services, and/or have submitted specific project proposals to that effect. However, the final selection of SRs will be subject to a transparent </w:t>
            </w:r>
            <w:proofErr w:type="spellStart"/>
            <w:r w:rsidRPr="00AF43A2">
              <w:rPr>
                <w:rFonts w:asciiTheme="minorHAnsi" w:eastAsia="Calibri" w:hAnsiTheme="minorHAnsi" w:cstheme="minorHAnsi"/>
                <w:color w:val="1E1E1E" w:themeColor="background2"/>
                <w:sz w:val="21"/>
              </w:rPr>
              <w:t>compe</w:t>
            </w:r>
            <w:r w:rsidR="007B5DF7">
              <w:rPr>
                <w:rFonts w:asciiTheme="minorHAnsi" w:eastAsia="Calibri" w:hAnsiTheme="minorHAnsi" w:cstheme="minorHAnsi"/>
                <w:color w:val="1E1E1E" w:themeColor="background2"/>
                <w:sz w:val="21"/>
              </w:rPr>
              <w:t>regulatory</w:t>
            </w:r>
            <w:proofErr w:type="spellEnd"/>
            <w:r w:rsidR="007B5DF7">
              <w:rPr>
                <w:rFonts w:asciiTheme="minorHAnsi" w:eastAsia="Calibri" w:hAnsiTheme="minorHAnsi" w:cstheme="minorHAnsi"/>
                <w:color w:val="1E1E1E" w:themeColor="background2"/>
                <w:sz w:val="21"/>
              </w:rPr>
              <w:t xml:space="preserve"> </w:t>
            </w:r>
            <w:proofErr w:type="spellStart"/>
            <w:r w:rsidRPr="00AF43A2">
              <w:rPr>
                <w:rFonts w:asciiTheme="minorHAnsi" w:eastAsia="Calibri" w:hAnsiTheme="minorHAnsi" w:cstheme="minorHAnsi"/>
                <w:color w:val="1E1E1E" w:themeColor="background2"/>
                <w:sz w:val="21"/>
              </w:rPr>
              <w:t>titive</w:t>
            </w:r>
            <w:proofErr w:type="spellEnd"/>
            <w:r w:rsidRPr="00AF43A2">
              <w:rPr>
                <w:rFonts w:asciiTheme="minorHAnsi" w:eastAsia="Calibri" w:hAnsiTheme="minorHAnsi" w:cstheme="minorHAnsi"/>
                <w:color w:val="1E1E1E" w:themeColor="background2"/>
                <w:sz w:val="21"/>
              </w:rPr>
              <w:t xml:space="preserve"> bidding process, in accordance with Global Fund rules and regulations, to be held in the course of 2020</w:t>
            </w:r>
            <w:r w:rsidR="00D87719" w:rsidRPr="00AF43A2">
              <w:rPr>
                <w:rFonts w:asciiTheme="minorHAnsi" w:eastAsia="Calibri" w:hAnsiTheme="minorHAnsi" w:cstheme="minorHAnsi"/>
                <w:color w:val="1E1E1E" w:themeColor="background2"/>
                <w:sz w:val="21"/>
              </w:rPr>
              <w:t>, except in cases where existing subrecipients and/or implementers have been providing satisfactory services at a competitive price, or when a particular service provider is in a unique position to provide these services, such as the Republican Scientific-Practical Centre for Mental Health (RSPCMH) with regard to clinical services for drug users.</w:t>
            </w:r>
          </w:p>
          <w:p w14:paraId="7992E0EC" w14:textId="77777777" w:rsidR="000260D9" w:rsidRPr="00AF43A2" w:rsidRDefault="000260D9" w:rsidP="000A0528">
            <w:pPr>
              <w:spacing w:after="0" w:line="240" w:lineRule="auto"/>
              <w:ind w:firstLine="284"/>
              <w:jc w:val="both"/>
              <w:rPr>
                <w:rFonts w:asciiTheme="minorHAnsi" w:eastAsia="Calibri" w:hAnsiTheme="minorHAnsi" w:cstheme="minorHAnsi"/>
                <w:color w:val="1E1E1E" w:themeColor="background2"/>
                <w:sz w:val="10"/>
                <w:szCs w:val="10"/>
              </w:rPr>
            </w:pPr>
          </w:p>
          <w:p w14:paraId="37727147" w14:textId="139C0F7B" w:rsidR="00485066" w:rsidRPr="00AF43A2" w:rsidRDefault="000260D9" w:rsidP="000A0528">
            <w:pPr>
              <w:spacing w:after="0" w:line="240" w:lineRule="auto"/>
              <w:jc w:val="both"/>
              <w:rPr>
                <w:rFonts w:asciiTheme="minorHAnsi" w:eastAsia="Calibri" w:hAnsiTheme="minorHAnsi" w:cstheme="minorHAnsi"/>
                <w:color w:val="000000"/>
                <w:sz w:val="8"/>
                <w:szCs w:val="8"/>
              </w:rPr>
            </w:pPr>
            <w:r w:rsidRPr="00AF43A2">
              <w:rPr>
                <w:rFonts w:asciiTheme="minorHAnsi" w:eastAsia="Calibri" w:hAnsiTheme="minorHAnsi" w:cstheme="minorHAnsi"/>
                <w:b/>
                <w:i/>
                <w:color w:val="1E1E1E" w:themeColor="background2"/>
                <w:sz w:val="21"/>
              </w:rPr>
              <w:t>International Procurement Agent (IPA)</w:t>
            </w:r>
            <w:r w:rsidRPr="00AF43A2">
              <w:rPr>
                <w:rFonts w:asciiTheme="minorHAnsi" w:eastAsia="Calibri" w:hAnsiTheme="minorHAnsi" w:cstheme="minorHAnsi"/>
                <w:color w:val="1E1E1E" w:themeColor="background2"/>
                <w:sz w:val="21"/>
              </w:rPr>
              <w:t xml:space="preserve"> – The PR/PIU will delegate functions of procurement of health and non-health products to </w:t>
            </w:r>
            <w:r w:rsidR="004930C3" w:rsidRPr="00AF43A2">
              <w:rPr>
                <w:rFonts w:asciiTheme="minorHAnsi" w:eastAsia="Calibri" w:hAnsiTheme="minorHAnsi" w:cstheme="minorHAnsi"/>
                <w:color w:val="1E1E1E" w:themeColor="background2"/>
                <w:sz w:val="21"/>
              </w:rPr>
              <w:t xml:space="preserve">a procurement agent (potentially </w:t>
            </w:r>
            <w:r w:rsidRPr="00AF43A2">
              <w:rPr>
                <w:rFonts w:asciiTheme="minorHAnsi" w:eastAsia="Calibri" w:hAnsiTheme="minorHAnsi" w:cstheme="minorHAnsi"/>
                <w:color w:val="1E1E1E" w:themeColor="background2"/>
                <w:sz w:val="21"/>
              </w:rPr>
              <w:t>UNDP</w:t>
            </w:r>
            <w:r w:rsidR="004930C3" w:rsidRPr="00AF43A2">
              <w:rPr>
                <w:rFonts w:asciiTheme="minorHAnsi" w:eastAsia="Calibri" w:hAnsiTheme="minorHAnsi" w:cstheme="minorHAnsi"/>
                <w:color w:val="1E1E1E" w:themeColor="background2"/>
                <w:sz w:val="21"/>
              </w:rPr>
              <w:t>, which successfully fulfilled this role before)</w:t>
            </w:r>
            <w:r w:rsidRPr="00AF43A2">
              <w:rPr>
                <w:rFonts w:asciiTheme="minorHAnsi" w:eastAsia="Calibri" w:hAnsiTheme="minorHAnsi" w:cstheme="minorHAnsi"/>
                <w:color w:val="1E1E1E" w:themeColor="background2"/>
                <w:sz w:val="21"/>
              </w:rPr>
              <w:t xml:space="preserve">, including condoms, lubricants, </w:t>
            </w:r>
            <w:r w:rsidRPr="00AF43A2">
              <w:rPr>
                <w:rFonts w:asciiTheme="minorHAnsi" w:eastAsia="Calibri" w:hAnsiTheme="minorHAnsi" w:cstheme="minorHAnsi"/>
                <w:color w:val="000000"/>
                <w:sz w:val="21"/>
              </w:rPr>
              <w:t>ARV drugs (for migrants), rapid oral test kits, Methadone, as well as computer and laboratory equipment.</w:t>
            </w:r>
          </w:p>
          <w:p w14:paraId="18FCF4CD" w14:textId="0C91262E" w:rsidR="000260D9" w:rsidRPr="00AF43A2" w:rsidRDefault="000260D9" w:rsidP="000A0528">
            <w:pPr>
              <w:spacing w:after="0" w:line="240" w:lineRule="auto"/>
              <w:jc w:val="both"/>
              <w:rPr>
                <w:rFonts w:ascii="Calibri" w:eastAsia="Calibri" w:hAnsi="Calibri" w:cs="Calibri"/>
                <w:color w:val="000000"/>
                <w:sz w:val="8"/>
                <w:szCs w:val="8"/>
              </w:rPr>
            </w:pPr>
          </w:p>
        </w:tc>
      </w:tr>
    </w:tbl>
    <w:p w14:paraId="77ECCEE2" w14:textId="67513B2D" w:rsidR="00485066" w:rsidRPr="00AF43A2" w:rsidRDefault="00485066" w:rsidP="000A0528">
      <w:pPr>
        <w:spacing w:after="0" w:line="240" w:lineRule="auto"/>
        <w:contextualSpacing/>
        <w:rPr>
          <w:rFonts w:asciiTheme="minorHAnsi" w:hAnsiTheme="minorHAnsi" w:cstheme="minorHAnsi"/>
          <w:bCs/>
          <w:iCs/>
          <w:sz w:val="21"/>
          <w:szCs w:val="21"/>
        </w:rPr>
      </w:pPr>
    </w:p>
    <w:p w14:paraId="6B7B6961" w14:textId="145A18A9" w:rsidR="00E442A2" w:rsidRPr="00AF43A2" w:rsidRDefault="00B2724B" w:rsidP="000A0528">
      <w:pPr>
        <w:pStyle w:val="affff3"/>
        <w:numPr>
          <w:ilvl w:val="0"/>
          <w:numId w:val="21"/>
        </w:numPr>
        <w:spacing w:after="0" w:line="240" w:lineRule="auto"/>
        <w:jc w:val="both"/>
        <w:rPr>
          <w:rFonts w:asciiTheme="minorHAnsi" w:hAnsiTheme="minorHAnsi" w:cstheme="minorHAnsi"/>
          <w:sz w:val="21"/>
          <w:szCs w:val="21"/>
        </w:rPr>
      </w:pPr>
      <w:r w:rsidRPr="00AF43A2">
        <w:rPr>
          <w:rFonts w:asciiTheme="minorHAnsi" w:hAnsiTheme="minorHAnsi" w:cstheme="minorHAnsi"/>
          <w:sz w:val="21"/>
          <w:szCs w:val="21"/>
        </w:rPr>
        <w:t>De</w:t>
      </w:r>
      <w:r w:rsidR="00E442A2" w:rsidRPr="00AF43A2">
        <w:rPr>
          <w:rFonts w:asciiTheme="minorHAnsi" w:hAnsiTheme="minorHAnsi" w:cstheme="minorHAnsi"/>
          <w:sz w:val="21"/>
          <w:szCs w:val="21"/>
        </w:rPr>
        <w:t xml:space="preserve">scribe the role that </w:t>
      </w:r>
      <w:r w:rsidR="00E442A2" w:rsidRPr="00AF43A2">
        <w:rPr>
          <w:rFonts w:asciiTheme="minorHAnsi" w:hAnsiTheme="minorHAnsi" w:cstheme="minorHAnsi"/>
          <w:b/>
          <w:sz w:val="21"/>
          <w:szCs w:val="21"/>
        </w:rPr>
        <w:t>community-based organi</w:t>
      </w:r>
      <w:r w:rsidR="005F0694" w:rsidRPr="00AF43A2">
        <w:rPr>
          <w:rFonts w:asciiTheme="minorHAnsi" w:hAnsiTheme="minorHAnsi" w:cstheme="minorHAnsi"/>
          <w:b/>
          <w:sz w:val="21"/>
          <w:szCs w:val="21"/>
        </w:rPr>
        <w:t>s</w:t>
      </w:r>
      <w:r w:rsidR="00E442A2" w:rsidRPr="00AF43A2">
        <w:rPr>
          <w:rFonts w:asciiTheme="minorHAnsi" w:hAnsiTheme="minorHAnsi" w:cstheme="minorHAnsi"/>
          <w:b/>
          <w:sz w:val="21"/>
          <w:szCs w:val="21"/>
        </w:rPr>
        <w:t>ations</w:t>
      </w:r>
      <w:r w:rsidR="00E442A2" w:rsidRPr="00AF43A2">
        <w:rPr>
          <w:rFonts w:asciiTheme="minorHAnsi" w:hAnsiTheme="minorHAnsi" w:cstheme="minorHAnsi"/>
          <w:sz w:val="21"/>
          <w:szCs w:val="21"/>
        </w:rPr>
        <w:t xml:space="preserve"> will play under the implementation arrangements.</w:t>
      </w:r>
    </w:p>
    <w:p w14:paraId="7886AAC4" w14:textId="77777777" w:rsidR="00E442A2" w:rsidRPr="00AF43A2" w:rsidRDefault="00E442A2" w:rsidP="000A0528">
      <w:pPr>
        <w:pStyle w:val="affff3"/>
        <w:spacing w:after="0" w:line="240" w:lineRule="auto"/>
        <w:ind w:left="360"/>
        <w:rPr>
          <w:rFonts w:asciiTheme="minorHAnsi" w:hAnsiTheme="minorHAnsi" w:cstheme="minorHAnsi"/>
          <w:bCs/>
          <w:iCs/>
          <w:sz w:val="21"/>
          <w:szCs w:val="21"/>
        </w:rPr>
      </w:pPr>
    </w:p>
    <w:tbl>
      <w:tblPr>
        <w:tblStyle w:val="aa"/>
        <w:tblW w:w="0" w:type="auto"/>
        <w:tblLook w:val="04A0" w:firstRow="1" w:lastRow="0" w:firstColumn="1" w:lastColumn="0" w:noHBand="0" w:noVBand="1"/>
      </w:tblPr>
      <w:tblGrid>
        <w:gridCol w:w="10456"/>
      </w:tblGrid>
      <w:tr w:rsidR="00E442A2" w:rsidRPr="00AF43A2" w14:paraId="052E012C" w14:textId="77777777" w:rsidTr="009B1BDA">
        <w:tc>
          <w:tcPr>
            <w:tcW w:w="10790" w:type="dxa"/>
          </w:tcPr>
          <w:p w14:paraId="7D3CC10D" w14:textId="77777777" w:rsidR="00365AB4" w:rsidRPr="00AF43A2" w:rsidRDefault="00365AB4" w:rsidP="000A0528">
            <w:pPr>
              <w:spacing w:after="0" w:line="240" w:lineRule="auto"/>
              <w:jc w:val="both"/>
              <w:rPr>
                <w:rFonts w:eastAsia="Calibri" w:cs="Arial"/>
                <w:color w:val="000000"/>
                <w:sz w:val="21"/>
                <w:szCs w:val="21"/>
              </w:rPr>
            </w:pPr>
            <w:r w:rsidRPr="00AF43A2">
              <w:rPr>
                <w:rFonts w:eastAsia="Calibri" w:cs="Arial"/>
                <w:color w:val="000000"/>
                <w:sz w:val="21"/>
              </w:rPr>
              <w:t xml:space="preserve">CBOs and NGOs play a key role in the implementation arrangements. As explained in section 2.a, </w:t>
            </w:r>
            <w:r w:rsidRPr="00AF43A2">
              <w:rPr>
                <w:rFonts w:eastAsia="Calibri" w:cs="Arial"/>
                <w:b/>
                <w:i/>
                <w:color w:val="000000"/>
                <w:sz w:val="21"/>
              </w:rPr>
              <w:t xml:space="preserve">NGO service providers </w:t>
            </w:r>
            <w:r w:rsidRPr="00AF43A2">
              <w:rPr>
                <w:rFonts w:eastAsia="Calibri" w:cs="Arial"/>
                <w:color w:val="000000"/>
                <w:sz w:val="21"/>
              </w:rPr>
              <w:t xml:space="preserve">to KPs (MSM, TG people and PWID) and PLHIV will be involved in HIV service delivery to KPs and PLHIV in 8 priority regions, with higher HIV prevalence among KPs, and/or high numbers of KPs and PLHIV. In these regions, CBOs and NGOs will work in close collaboration and coordination with the Regional AIDS Centres, which will also be involved in service delivery to KPs and PLHIV through State-financed outreach workers. Some of the CBOs and NGOs that will be involved in direct service delivery are already involved in service delivery under the current grant and are likely to continue as such. Additional NGO service providers will be contracted in the newly selected priority Regions. These NGOs will be selected based on their experience and technical expertise in service delivery; active involvement of KPs in the NGOs activities will be a key selection criterion. In addition, NGOs with representation of KPs on their board </w:t>
            </w:r>
            <w:r w:rsidRPr="00AF43A2">
              <w:rPr>
                <w:rFonts w:eastAsia="Calibri" w:cs="Arial"/>
                <w:color w:val="000000"/>
                <w:sz w:val="21"/>
                <w:szCs w:val="21"/>
              </w:rPr>
              <w:t>and/or management will be prioritised to ensure proper representation of their constituents. The specific roles and other involvement of CBOs/NGOs in the grant include the following:</w:t>
            </w:r>
          </w:p>
          <w:p w14:paraId="1EC70105" w14:textId="77777777" w:rsidR="00365AB4" w:rsidRPr="00AF43A2" w:rsidRDefault="00365AB4" w:rsidP="000A0528">
            <w:pPr>
              <w:spacing w:after="0" w:line="240" w:lineRule="auto"/>
              <w:jc w:val="both"/>
              <w:rPr>
                <w:rFonts w:eastAsia="Calibri" w:cs="Arial"/>
                <w:color w:val="000000"/>
                <w:sz w:val="21"/>
                <w:szCs w:val="21"/>
              </w:rPr>
            </w:pPr>
            <w:r w:rsidRPr="00AF43A2">
              <w:rPr>
                <w:rFonts w:eastAsia="Calibri" w:cs="Arial"/>
                <w:b/>
                <w:i/>
                <w:color w:val="000000"/>
                <w:sz w:val="21"/>
                <w:szCs w:val="21"/>
              </w:rPr>
              <w:t>1. NGOs that play a key role in service delivery</w:t>
            </w:r>
            <w:r w:rsidRPr="00AF43A2">
              <w:rPr>
                <w:rFonts w:eastAsia="Calibri" w:cs="Arial"/>
                <w:color w:val="000000"/>
                <w:sz w:val="21"/>
                <w:szCs w:val="21"/>
              </w:rPr>
              <w:t xml:space="preserve"> will benefit from support for programme staff and outreach workers; as well as provision of key commodities (condoms and lubricants, oral test kits) and capacity building. CBOs and NGOs will be involved in the following types of activities and services: </w:t>
            </w:r>
          </w:p>
          <w:p w14:paraId="537ED995" w14:textId="77777777" w:rsidR="00365AB4" w:rsidRPr="00AF43A2" w:rsidRDefault="00365AB4" w:rsidP="000A0528">
            <w:pPr>
              <w:numPr>
                <w:ilvl w:val="0"/>
                <w:numId w:val="24"/>
              </w:numPr>
              <w:spacing w:after="0" w:line="240" w:lineRule="auto"/>
              <w:ind w:left="319" w:hanging="319"/>
              <w:contextualSpacing/>
              <w:jc w:val="both"/>
              <w:rPr>
                <w:rFonts w:eastAsia="Calibri" w:cs="Arial"/>
                <w:color w:val="000000"/>
                <w:sz w:val="21"/>
                <w:szCs w:val="21"/>
              </w:rPr>
            </w:pPr>
            <w:r w:rsidRPr="00AF43A2">
              <w:rPr>
                <w:rFonts w:eastAsia="Calibri" w:cs="Arial"/>
                <w:color w:val="000000"/>
                <w:sz w:val="21"/>
                <w:szCs w:val="21"/>
              </w:rPr>
              <w:t>Delivery of HIV prevention services to MSM, TG people and PLHIV (8 regions) (interventions 1.1-1.2)</w:t>
            </w:r>
          </w:p>
          <w:p w14:paraId="446E0EE2" w14:textId="77777777" w:rsidR="00365AB4" w:rsidRPr="00AF43A2" w:rsidRDefault="00365AB4" w:rsidP="000A0528">
            <w:pPr>
              <w:numPr>
                <w:ilvl w:val="0"/>
                <w:numId w:val="24"/>
              </w:numPr>
              <w:spacing w:after="0" w:line="240" w:lineRule="auto"/>
              <w:ind w:left="319" w:hanging="319"/>
              <w:contextualSpacing/>
              <w:jc w:val="both"/>
              <w:rPr>
                <w:rFonts w:eastAsia="Calibri" w:cs="Arial"/>
                <w:color w:val="000000"/>
                <w:sz w:val="21"/>
                <w:szCs w:val="21"/>
              </w:rPr>
            </w:pPr>
            <w:r w:rsidRPr="00AF43A2">
              <w:rPr>
                <w:rFonts w:eastAsia="Calibri" w:cs="Arial"/>
                <w:color w:val="000000"/>
                <w:sz w:val="21"/>
                <w:szCs w:val="21"/>
              </w:rPr>
              <w:lastRenderedPageBreak/>
              <w:t>Service delivery for TG (intervention 1.3)</w:t>
            </w:r>
          </w:p>
          <w:p w14:paraId="4D3DC134" w14:textId="77777777" w:rsidR="00365AB4" w:rsidRPr="00AF43A2" w:rsidRDefault="00365AB4" w:rsidP="000A0528">
            <w:pPr>
              <w:numPr>
                <w:ilvl w:val="0"/>
                <w:numId w:val="24"/>
              </w:numPr>
              <w:spacing w:after="0" w:line="240" w:lineRule="auto"/>
              <w:ind w:left="319" w:hanging="319"/>
              <w:contextualSpacing/>
              <w:jc w:val="both"/>
              <w:rPr>
                <w:rFonts w:eastAsia="Calibri" w:cs="Arial"/>
                <w:color w:val="000000"/>
                <w:sz w:val="21"/>
                <w:szCs w:val="21"/>
              </w:rPr>
            </w:pPr>
            <w:r w:rsidRPr="00AF43A2">
              <w:rPr>
                <w:rFonts w:eastAsia="Calibri" w:cs="Arial"/>
                <w:color w:val="000000"/>
                <w:sz w:val="21"/>
                <w:szCs w:val="21"/>
              </w:rPr>
              <w:t>PrEP for MSM and TG people (intervention 1.4)</w:t>
            </w:r>
          </w:p>
          <w:p w14:paraId="5529BE35" w14:textId="77777777" w:rsidR="00365AB4" w:rsidRPr="00AF43A2" w:rsidRDefault="00365AB4" w:rsidP="000A0528">
            <w:pPr>
              <w:numPr>
                <w:ilvl w:val="0"/>
                <w:numId w:val="24"/>
              </w:numPr>
              <w:spacing w:after="0" w:line="240" w:lineRule="auto"/>
              <w:ind w:left="319" w:hanging="319"/>
              <w:contextualSpacing/>
              <w:jc w:val="both"/>
              <w:rPr>
                <w:rFonts w:eastAsia="Calibri" w:cs="Arial"/>
                <w:color w:val="000000"/>
                <w:sz w:val="21"/>
                <w:szCs w:val="21"/>
              </w:rPr>
            </w:pPr>
            <w:r w:rsidRPr="00AF43A2">
              <w:rPr>
                <w:rFonts w:eastAsia="Calibri" w:cs="Arial"/>
                <w:color w:val="000000"/>
                <w:sz w:val="21"/>
                <w:szCs w:val="21"/>
              </w:rPr>
              <w:t>Community-based testing for KPs and HIVST for partners of PLHIV (interventions 2.1 &amp; 2.2)</w:t>
            </w:r>
          </w:p>
          <w:p w14:paraId="3D72DAAF" w14:textId="77777777" w:rsidR="00365AB4" w:rsidRPr="00AF43A2" w:rsidRDefault="00365AB4" w:rsidP="000A0528">
            <w:pPr>
              <w:numPr>
                <w:ilvl w:val="0"/>
                <w:numId w:val="24"/>
              </w:numPr>
              <w:spacing w:after="0" w:line="240" w:lineRule="auto"/>
              <w:ind w:left="319" w:hanging="319"/>
              <w:contextualSpacing/>
              <w:jc w:val="both"/>
              <w:rPr>
                <w:rFonts w:eastAsia="Calibri" w:cs="Arial"/>
                <w:color w:val="000000"/>
                <w:sz w:val="21"/>
                <w:szCs w:val="21"/>
              </w:rPr>
            </w:pPr>
            <w:r w:rsidRPr="00AF43A2">
              <w:rPr>
                <w:rFonts w:eastAsia="Calibri" w:cs="Arial"/>
                <w:color w:val="000000"/>
                <w:sz w:val="21"/>
                <w:szCs w:val="21"/>
              </w:rPr>
              <w:t>Supporting to strengthen ART adherence among PLHIV, especially PWID</w:t>
            </w:r>
          </w:p>
          <w:p w14:paraId="7A3C46D5" w14:textId="77777777" w:rsidR="00365AB4" w:rsidRPr="00AF43A2" w:rsidRDefault="00365AB4" w:rsidP="000A0528">
            <w:pPr>
              <w:spacing w:after="0" w:line="240" w:lineRule="auto"/>
              <w:jc w:val="both"/>
              <w:rPr>
                <w:rFonts w:eastAsia="Calibri" w:cs="Arial"/>
                <w:color w:val="000000"/>
                <w:sz w:val="21"/>
                <w:szCs w:val="21"/>
              </w:rPr>
            </w:pPr>
            <w:r w:rsidRPr="00AF43A2">
              <w:rPr>
                <w:rFonts w:eastAsia="Calibri" w:cs="Arial"/>
                <w:b/>
                <w:i/>
                <w:color w:val="000000"/>
                <w:sz w:val="21"/>
                <w:szCs w:val="21"/>
              </w:rPr>
              <w:t>2. NGOs/CBOs will benefit from the strong investments in the development of sustainable finance mechanisms</w:t>
            </w:r>
            <w:r w:rsidRPr="00AF43A2">
              <w:rPr>
                <w:rFonts w:eastAsia="Calibri" w:cs="Arial"/>
                <w:i/>
                <w:color w:val="000000"/>
                <w:sz w:val="21"/>
                <w:szCs w:val="21"/>
              </w:rPr>
              <w:t>,</w:t>
            </w:r>
            <w:r w:rsidRPr="00AF43A2">
              <w:rPr>
                <w:rFonts w:eastAsia="Calibri" w:cs="Arial"/>
                <w:color w:val="000000"/>
                <w:sz w:val="21"/>
                <w:szCs w:val="21"/>
              </w:rPr>
              <w:t xml:space="preserve"> including Intervention 5.1: Strengthening social contracting (through State Social Orders and Stage Grants), as well as Intervention 5.2: Support for the inclusion of HIV services for KPs in the </w:t>
            </w:r>
            <w:r w:rsidRPr="00AF43A2">
              <w:rPr>
                <w:rFonts w:eastAsia="Calibri" w:cs="Arial"/>
                <w:color w:val="000000"/>
                <w:sz w:val="21"/>
                <w:szCs w:val="21"/>
                <w:lang w:val="en-GB"/>
              </w:rPr>
              <w:t>Compulsory Social Health Insurance (CSHI)</w:t>
            </w:r>
            <w:r w:rsidRPr="00AF43A2">
              <w:rPr>
                <w:rFonts w:eastAsia="Calibri" w:cs="Arial"/>
                <w:color w:val="000000"/>
                <w:sz w:val="21"/>
                <w:szCs w:val="21"/>
              </w:rPr>
              <w:t>.</w:t>
            </w:r>
          </w:p>
          <w:p w14:paraId="757662B8" w14:textId="77777777" w:rsidR="00365AB4" w:rsidRPr="00AF43A2" w:rsidRDefault="00365AB4" w:rsidP="000A0528">
            <w:pPr>
              <w:spacing w:after="0" w:line="240" w:lineRule="auto"/>
              <w:jc w:val="both"/>
              <w:rPr>
                <w:rFonts w:eastAsia="Calibri" w:cs="Arial"/>
                <w:color w:val="000000"/>
                <w:sz w:val="21"/>
              </w:rPr>
            </w:pPr>
            <w:r w:rsidRPr="00AF43A2">
              <w:rPr>
                <w:rFonts w:eastAsia="Calibri" w:cs="Arial"/>
                <w:b/>
                <w:i/>
                <w:color w:val="000000"/>
                <w:sz w:val="21"/>
              </w:rPr>
              <w:t>3. NGOs/CBOs will benefit from technical and institutional capacity building</w:t>
            </w:r>
            <w:r w:rsidRPr="00AF43A2">
              <w:rPr>
                <w:rFonts w:eastAsia="Calibri" w:cs="Arial"/>
                <w:color w:val="000000"/>
                <w:sz w:val="21"/>
              </w:rPr>
              <w:t xml:space="preserve"> (Intervention 6.1): this includes capacity building in wide range of technical areas related to service delivery; as well as an extensive programme to strengthen the institutional &amp; organisational capacity of CSOs, with a focus on strengthening organisational systems.</w:t>
            </w:r>
          </w:p>
          <w:p w14:paraId="59B62B19" w14:textId="69EFE602" w:rsidR="00365AB4" w:rsidRPr="00AF43A2" w:rsidRDefault="00365AB4" w:rsidP="000A0528">
            <w:pPr>
              <w:spacing w:after="0" w:line="240" w:lineRule="auto"/>
              <w:jc w:val="both"/>
              <w:rPr>
                <w:rFonts w:eastAsia="Calibri" w:cs="Arial"/>
                <w:color w:val="000000"/>
                <w:sz w:val="21"/>
              </w:rPr>
            </w:pPr>
            <w:r w:rsidRPr="00AF43A2">
              <w:rPr>
                <w:rFonts w:eastAsia="Calibri" w:cs="Arial"/>
                <w:b/>
                <w:i/>
                <w:color w:val="000000"/>
                <w:sz w:val="21"/>
              </w:rPr>
              <w:t>4. NGOs/CBOs will benefit from strengthening of linkages, partnerships and</w:t>
            </w:r>
            <w:r w:rsidRPr="00AF43A2">
              <w:rPr>
                <w:rFonts w:eastAsia="Calibri" w:cs="Arial"/>
                <w:i/>
                <w:color w:val="000000"/>
                <w:sz w:val="21"/>
              </w:rPr>
              <w:t xml:space="preserve"> </w:t>
            </w:r>
            <w:r w:rsidRPr="00AF43A2">
              <w:rPr>
                <w:rFonts w:eastAsia="Calibri" w:cs="Arial"/>
                <w:b/>
                <w:i/>
                <w:color w:val="000000"/>
                <w:sz w:val="21"/>
              </w:rPr>
              <w:t>coordination</w:t>
            </w:r>
            <w:r w:rsidRPr="00AF43A2">
              <w:rPr>
                <w:rFonts w:eastAsia="Calibri" w:cs="Arial"/>
                <w:color w:val="000000"/>
                <w:sz w:val="21"/>
              </w:rPr>
              <w:t xml:space="preserve"> between State authorities and CSOs at the national, regional and akimat level (Intervention 6.2). This systematic effort to forge partnerships at all levels, will facilitate collaboration in service delivery, as well as in mobilisation of resources for CSOs from State authorities.</w:t>
            </w:r>
          </w:p>
          <w:p w14:paraId="372E4586" w14:textId="28EE57C0" w:rsidR="00B449E5" w:rsidRPr="00AF43A2" w:rsidRDefault="00B449E5" w:rsidP="000A0528">
            <w:pPr>
              <w:spacing w:after="0" w:line="240" w:lineRule="auto"/>
              <w:jc w:val="both"/>
              <w:rPr>
                <w:rFonts w:asciiTheme="minorHAnsi" w:hAnsiTheme="minorHAnsi" w:cstheme="minorHAnsi"/>
                <w:sz w:val="8"/>
                <w:szCs w:val="8"/>
              </w:rPr>
            </w:pPr>
          </w:p>
        </w:tc>
      </w:tr>
    </w:tbl>
    <w:p w14:paraId="325816A0" w14:textId="4241C3CF" w:rsidR="00E442A2" w:rsidRPr="00AF43A2" w:rsidRDefault="00E442A2" w:rsidP="000A0528">
      <w:pPr>
        <w:spacing w:after="0" w:line="240" w:lineRule="auto"/>
        <w:contextualSpacing/>
        <w:rPr>
          <w:rFonts w:asciiTheme="minorHAnsi" w:hAnsiTheme="minorHAnsi" w:cstheme="minorHAnsi"/>
          <w:bCs/>
          <w:iCs/>
        </w:rPr>
      </w:pPr>
    </w:p>
    <w:p w14:paraId="7913DB28" w14:textId="7B4A8BA8" w:rsidR="00906417" w:rsidRPr="00AF43A2" w:rsidRDefault="00906417" w:rsidP="000A0528">
      <w:pPr>
        <w:pStyle w:val="affff3"/>
        <w:numPr>
          <w:ilvl w:val="0"/>
          <w:numId w:val="21"/>
        </w:numPr>
        <w:spacing w:after="0" w:line="240" w:lineRule="auto"/>
        <w:jc w:val="both"/>
        <w:rPr>
          <w:rFonts w:asciiTheme="minorHAnsi" w:hAnsiTheme="minorHAnsi" w:cstheme="minorHAnsi"/>
        </w:rPr>
      </w:pPr>
      <w:r w:rsidRPr="00AF43A2">
        <w:rPr>
          <w:rFonts w:asciiTheme="minorHAnsi" w:hAnsiTheme="minorHAnsi" w:cstheme="minorHAnsi"/>
        </w:rPr>
        <w:t xml:space="preserve">Is the Principal Recipient an </w:t>
      </w:r>
      <w:r w:rsidRPr="00AF43A2">
        <w:rPr>
          <w:rFonts w:asciiTheme="minorHAnsi" w:hAnsiTheme="minorHAnsi" w:cstheme="minorHAnsi"/>
          <w:b/>
        </w:rPr>
        <w:t>international institution</w:t>
      </w:r>
      <w:r w:rsidRPr="00AF43A2">
        <w:rPr>
          <w:rFonts w:asciiTheme="minorHAnsi" w:hAnsiTheme="minorHAnsi" w:cstheme="minorHAnsi"/>
        </w:rPr>
        <w:t xml:space="preserve"> (</w:t>
      </w:r>
      <w:r w:rsidR="00F112AD" w:rsidRPr="00AF43A2">
        <w:rPr>
          <w:rFonts w:asciiTheme="minorHAnsi" w:hAnsiTheme="minorHAnsi" w:cstheme="minorHAnsi"/>
        </w:rPr>
        <w:t>for example</w:t>
      </w:r>
      <w:r w:rsidR="002B6A8E" w:rsidRPr="00AF43A2">
        <w:rPr>
          <w:rFonts w:asciiTheme="minorHAnsi" w:hAnsiTheme="minorHAnsi" w:cstheme="minorHAnsi"/>
        </w:rPr>
        <w:t>, international NGO</w:t>
      </w:r>
      <w:r w:rsidR="00EC2673" w:rsidRPr="00AF43A2">
        <w:rPr>
          <w:rFonts w:asciiTheme="minorHAnsi" w:hAnsiTheme="minorHAnsi" w:cstheme="minorHAnsi"/>
        </w:rPr>
        <w:t xml:space="preserve"> or</w:t>
      </w:r>
      <w:r w:rsidR="001F7F10" w:rsidRPr="00AF43A2">
        <w:rPr>
          <w:rFonts w:asciiTheme="minorHAnsi" w:hAnsiTheme="minorHAnsi" w:cstheme="minorHAnsi"/>
        </w:rPr>
        <w:t xml:space="preserve"> </w:t>
      </w:r>
      <w:r w:rsidR="002B6A8E" w:rsidRPr="00AF43A2">
        <w:rPr>
          <w:rFonts w:asciiTheme="minorHAnsi" w:hAnsiTheme="minorHAnsi" w:cstheme="minorHAnsi"/>
        </w:rPr>
        <w:t>UN agency</w:t>
      </w:r>
      <w:r w:rsidRPr="00AF43A2">
        <w:rPr>
          <w:rFonts w:asciiTheme="minorHAnsi" w:hAnsiTheme="minorHAnsi" w:cstheme="minorHAnsi"/>
        </w:rPr>
        <w:t>)</w:t>
      </w:r>
      <w:r w:rsidR="002B6A8E" w:rsidRPr="00AF43A2">
        <w:rPr>
          <w:rFonts w:asciiTheme="minorHAnsi" w:hAnsiTheme="minorHAnsi" w:cstheme="minorHAnsi"/>
        </w:rPr>
        <w:t>?</w:t>
      </w:r>
      <w:r w:rsidRPr="00AF43A2">
        <w:rPr>
          <w:rFonts w:asciiTheme="minorHAnsi" w:hAnsiTheme="minorHAnsi" w:cstheme="minorHAnsi"/>
        </w:rPr>
        <w:t xml:space="preserve"> </w:t>
      </w:r>
    </w:p>
    <w:p w14:paraId="09CB819A" w14:textId="77777777" w:rsidR="00906417" w:rsidRPr="00AF43A2" w:rsidRDefault="00906417" w:rsidP="000A0528">
      <w:pPr>
        <w:pStyle w:val="affff3"/>
        <w:spacing w:after="0" w:line="240" w:lineRule="auto"/>
        <w:ind w:left="360"/>
        <w:jc w:val="both"/>
        <w:rPr>
          <w:rFonts w:asciiTheme="minorHAnsi" w:hAnsiTheme="minorHAnsi" w:cstheme="minorHAnsi"/>
        </w:rPr>
      </w:pPr>
    </w:p>
    <w:p w14:paraId="5F379A61" w14:textId="242EE502" w:rsidR="00906417" w:rsidRPr="00AF43A2" w:rsidRDefault="00946163" w:rsidP="000A0528">
      <w:pPr>
        <w:pStyle w:val="affff3"/>
        <w:spacing w:after="0" w:line="240" w:lineRule="auto"/>
        <w:jc w:val="both"/>
        <w:rPr>
          <w:rFonts w:asciiTheme="minorHAnsi" w:hAnsiTheme="minorHAnsi" w:cstheme="minorHAnsi"/>
          <w:bCs/>
          <w:iCs/>
        </w:rPr>
      </w:pPr>
      <w:sdt>
        <w:sdtPr>
          <w:rPr>
            <w:rFonts w:asciiTheme="minorHAnsi" w:eastAsia="MS Gothic" w:hAnsiTheme="minorHAnsi" w:cstheme="minorHAnsi"/>
            <w:bCs/>
            <w:iCs/>
          </w:rPr>
          <w:id w:val="-869147715"/>
          <w14:checkbox>
            <w14:checked w14:val="0"/>
            <w14:checkedState w14:val="2612" w14:font="MS Gothic"/>
            <w14:uncheckedState w14:val="2610" w14:font="MS Gothic"/>
          </w14:checkbox>
        </w:sdtPr>
        <w:sdtEndPr/>
        <w:sdtContent>
          <w:r w:rsidR="00663D90" w:rsidRPr="00AF43A2">
            <w:rPr>
              <w:rFonts w:ascii="Segoe UI Symbol" w:eastAsia="MS Gothic" w:hAnsi="Segoe UI Symbol" w:cs="Segoe UI Symbol"/>
              <w:bCs/>
              <w:iCs/>
            </w:rPr>
            <w:t>☐</w:t>
          </w:r>
        </w:sdtContent>
      </w:sdt>
      <w:r w:rsidR="00906417" w:rsidRPr="00AF43A2">
        <w:rPr>
          <w:rFonts w:asciiTheme="minorHAnsi" w:hAnsiTheme="minorHAnsi" w:cstheme="minorHAnsi"/>
          <w:bCs/>
          <w:iCs/>
        </w:rPr>
        <w:t xml:space="preserve"> Yes         </w:t>
      </w:r>
      <w:sdt>
        <w:sdtPr>
          <w:rPr>
            <w:rFonts w:asciiTheme="minorHAnsi" w:hAnsiTheme="minorHAnsi" w:cstheme="minorHAnsi"/>
            <w:b/>
            <w:bCs/>
            <w:iCs/>
          </w:rPr>
          <w:id w:val="996544432"/>
          <w14:checkbox>
            <w14:checked w14:val="1"/>
            <w14:checkedState w14:val="2612" w14:font="MS Gothic"/>
            <w14:uncheckedState w14:val="2610" w14:font="MS Gothic"/>
          </w14:checkbox>
        </w:sdtPr>
        <w:sdtEndPr/>
        <w:sdtContent>
          <w:r w:rsidR="0048356F" w:rsidRPr="00AF43A2">
            <w:rPr>
              <w:rFonts w:ascii="Segoe UI Symbol" w:eastAsia="MS Gothic" w:hAnsi="Segoe UI Symbol" w:cs="Segoe UI Symbol"/>
              <w:b/>
              <w:bCs/>
              <w:iCs/>
            </w:rPr>
            <w:t>☒</w:t>
          </w:r>
        </w:sdtContent>
      </w:sdt>
      <w:r w:rsidR="00906417" w:rsidRPr="00AF43A2">
        <w:rPr>
          <w:rFonts w:asciiTheme="minorHAnsi" w:hAnsiTheme="minorHAnsi" w:cstheme="minorHAnsi"/>
          <w:b/>
          <w:bCs/>
          <w:iCs/>
        </w:rPr>
        <w:t xml:space="preserve"> No</w:t>
      </w:r>
    </w:p>
    <w:p w14:paraId="003B2C01" w14:textId="77777777" w:rsidR="00906417" w:rsidRPr="00AF43A2" w:rsidRDefault="00906417" w:rsidP="000A0528">
      <w:pPr>
        <w:spacing w:after="0" w:line="240" w:lineRule="auto"/>
        <w:contextualSpacing/>
        <w:rPr>
          <w:rFonts w:asciiTheme="minorHAnsi" w:hAnsiTheme="minorHAnsi" w:cstheme="minorHAnsi"/>
          <w:bCs/>
          <w:iCs/>
        </w:rPr>
      </w:pPr>
    </w:p>
    <w:p w14:paraId="6AD3EB19" w14:textId="44FE3870" w:rsidR="00BD1700" w:rsidRPr="00AF43A2" w:rsidRDefault="006326F8" w:rsidP="000A0528">
      <w:pPr>
        <w:pStyle w:val="affff3"/>
        <w:numPr>
          <w:ilvl w:val="0"/>
          <w:numId w:val="21"/>
        </w:numPr>
        <w:spacing w:after="0" w:line="240" w:lineRule="auto"/>
        <w:jc w:val="both"/>
        <w:rPr>
          <w:rStyle w:val="normaltextrun"/>
          <w:rFonts w:asciiTheme="minorHAnsi" w:hAnsiTheme="minorHAnsi" w:cstheme="minorHAnsi"/>
        </w:rPr>
      </w:pPr>
      <w:r w:rsidRPr="00AF43A2">
        <w:rPr>
          <w:rStyle w:val="normaltextrun"/>
          <w:rFonts w:asciiTheme="minorHAnsi" w:hAnsiTheme="minorHAnsi" w:cstheme="minorHAnsi"/>
          <w:color w:val="000000"/>
          <w:shd w:val="clear" w:color="auto" w:fill="FFFFFF"/>
        </w:rPr>
        <w:t xml:space="preserve">Describe </w:t>
      </w:r>
      <w:r w:rsidR="001C0EA4" w:rsidRPr="00AF43A2">
        <w:rPr>
          <w:rStyle w:val="normaltextrun"/>
          <w:rFonts w:asciiTheme="minorHAnsi" w:hAnsiTheme="minorHAnsi" w:cstheme="minorHAnsi"/>
          <w:color w:val="000000"/>
          <w:shd w:val="clear" w:color="auto" w:fill="FFFFFF"/>
        </w:rPr>
        <w:t xml:space="preserve">the </w:t>
      </w:r>
      <w:r w:rsidR="001C0EA4" w:rsidRPr="00AF43A2">
        <w:rPr>
          <w:rStyle w:val="normaltextrun"/>
          <w:rFonts w:asciiTheme="minorHAnsi" w:hAnsiTheme="minorHAnsi" w:cstheme="minorHAnsi"/>
          <w:b/>
          <w:color w:val="000000"/>
          <w:shd w:val="clear" w:color="auto" w:fill="FFFFFF"/>
        </w:rPr>
        <w:t>top three a</w:t>
      </w:r>
      <w:r w:rsidRPr="00AF43A2">
        <w:rPr>
          <w:rStyle w:val="normaltextrun"/>
          <w:rFonts w:asciiTheme="minorHAnsi" w:hAnsiTheme="minorHAnsi" w:cstheme="minorHAnsi"/>
          <w:b/>
          <w:color w:val="000000"/>
          <w:shd w:val="clear" w:color="auto" w:fill="FFFFFF"/>
        </w:rPr>
        <w:t>nticipated implementation risks</w:t>
      </w:r>
      <w:r w:rsidRPr="00AF43A2">
        <w:rPr>
          <w:rStyle w:val="normaltextrun"/>
          <w:rFonts w:asciiTheme="minorHAnsi" w:hAnsiTheme="minorHAnsi" w:cstheme="minorHAnsi"/>
          <w:color w:val="000000"/>
          <w:shd w:val="clear" w:color="auto" w:fill="FFFFFF"/>
        </w:rPr>
        <w:t xml:space="preserve"> that might negatively affect</w:t>
      </w:r>
      <w:r w:rsidR="00B6467A" w:rsidRPr="00AF43A2">
        <w:rPr>
          <w:rStyle w:val="normaltextrun"/>
          <w:rFonts w:asciiTheme="minorHAnsi" w:hAnsiTheme="minorHAnsi" w:cstheme="minorHAnsi"/>
          <w:color w:val="000000"/>
          <w:shd w:val="clear" w:color="auto" w:fill="FFFFFF"/>
        </w:rPr>
        <w:t xml:space="preserve">: </w:t>
      </w:r>
      <w:r w:rsidR="00663D90" w:rsidRPr="00AF43A2">
        <w:rPr>
          <w:rStyle w:val="normaltextrun"/>
          <w:rFonts w:asciiTheme="minorHAnsi" w:hAnsiTheme="minorHAnsi" w:cstheme="minorHAnsi"/>
          <w:color w:val="000000"/>
          <w:shd w:val="clear" w:color="auto" w:fill="FFFFFF"/>
        </w:rPr>
        <w:t>(</w:t>
      </w:r>
      <w:r w:rsidR="00B6467A" w:rsidRPr="00AF43A2">
        <w:rPr>
          <w:rStyle w:val="normaltextrun"/>
          <w:rFonts w:asciiTheme="minorHAnsi" w:hAnsiTheme="minorHAnsi" w:cstheme="minorHAnsi"/>
          <w:color w:val="000000"/>
          <w:shd w:val="clear" w:color="auto" w:fill="FFFFFF"/>
        </w:rPr>
        <w:t>i)</w:t>
      </w:r>
      <w:r w:rsidRPr="00AF43A2">
        <w:rPr>
          <w:rStyle w:val="normaltextrun"/>
          <w:rFonts w:asciiTheme="minorHAnsi" w:hAnsiTheme="minorHAnsi" w:cstheme="minorHAnsi"/>
          <w:color w:val="000000"/>
          <w:shd w:val="clear" w:color="auto" w:fill="FFFFFF"/>
        </w:rPr>
        <w:t xml:space="preserve"> the delivery of the program</w:t>
      </w:r>
      <w:r w:rsidR="00662FE7" w:rsidRPr="00AF43A2">
        <w:rPr>
          <w:rStyle w:val="normaltextrun"/>
          <w:rFonts w:asciiTheme="minorHAnsi" w:hAnsiTheme="minorHAnsi" w:cstheme="minorHAnsi"/>
          <w:color w:val="000000"/>
          <w:shd w:val="clear" w:color="auto" w:fill="FFFFFF"/>
        </w:rPr>
        <w:t>me</w:t>
      </w:r>
      <w:r w:rsidRPr="00AF43A2">
        <w:rPr>
          <w:rStyle w:val="normaltextrun"/>
          <w:rFonts w:asciiTheme="minorHAnsi" w:hAnsiTheme="minorHAnsi" w:cstheme="minorHAnsi"/>
          <w:color w:val="000000"/>
          <w:shd w:val="clear" w:color="auto" w:fill="FFFFFF"/>
        </w:rPr>
        <w:t xml:space="preserve"> objectives supported </w:t>
      </w:r>
      <w:r w:rsidR="00B6467A" w:rsidRPr="00AF43A2">
        <w:rPr>
          <w:rStyle w:val="normaltextrun"/>
          <w:rFonts w:asciiTheme="minorHAnsi" w:hAnsiTheme="minorHAnsi" w:cstheme="minorHAnsi"/>
          <w:color w:val="000000"/>
          <w:shd w:val="clear" w:color="auto" w:fill="FFFFFF"/>
        </w:rPr>
        <w:t xml:space="preserve">by the </w:t>
      </w:r>
      <w:r w:rsidRPr="00AF43A2">
        <w:rPr>
          <w:rStyle w:val="normaltextrun"/>
          <w:rFonts w:asciiTheme="minorHAnsi" w:hAnsiTheme="minorHAnsi" w:cstheme="minorHAnsi"/>
          <w:color w:val="000000"/>
          <w:shd w:val="clear" w:color="auto" w:fill="FFFFFF"/>
        </w:rPr>
        <w:t>Global Fund</w:t>
      </w:r>
      <w:r w:rsidR="00B6467A" w:rsidRPr="00AF43A2">
        <w:rPr>
          <w:rStyle w:val="normaltextrun"/>
          <w:rFonts w:asciiTheme="minorHAnsi" w:hAnsiTheme="minorHAnsi" w:cstheme="minorHAnsi"/>
          <w:color w:val="000000"/>
          <w:shd w:val="clear" w:color="auto" w:fill="FFFFFF"/>
        </w:rPr>
        <w:t>;</w:t>
      </w:r>
      <w:r w:rsidRPr="00AF43A2">
        <w:rPr>
          <w:rStyle w:val="normaltextrun"/>
          <w:rFonts w:asciiTheme="minorHAnsi" w:hAnsiTheme="minorHAnsi" w:cstheme="minorHAnsi"/>
          <w:color w:val="000000"/>
          <w:shd w:val="clear" w:color="auto" w:fill="FFFFFF"/>
        </w:rPr>
        <w:t> and/or</w:t>
      </w:r>
      <w:r w:rsidR="00B6467A" w:rsidRPr="00AF43A2">
        <w:rPr>
          <w:rStyle w:val="normaltextrun"/>
          <w:rFonts w:asciiTheme="minorHAnsi" w:hAnsiTheme="minorHAnsi" w:cstheme="minorHAnsi"/>
          <w:color w:val="000000"/>
          <w:shd w:val="clear" w:color="auto" w:fill="FFFFFF"/>
        </w:rPr>
        <w:t xml:space="preserve"> </w:t>
      </w:r>
      <w:r w:rsidR="00663D90" w:rsidRPr="00AF43A2">
        <w:rPr>
          <w:rStyle w:val="normaltextrun"/>
          <w:rFonts w:asciiTheme="minorHAnsi" w:hAnsiTheme="minorHAnsi" w:cstheme="minorHAnsi"/>
          <w:color w:val="000000"/>
          <w:shd w:val="clear" w:color="auto" w:fill="FFFFFF"/>
        </w:rPr>
        <w:t>(</w:t>
      </w:r>
      <w:r w:rsidR="00B6467A" w:rsidRPr="00AF43A2">
        <w:rPr>
          <w:rStyle w:val="normaltextrun"/>
          <w:rFonts w:asciiTheme="minorHAnsi" w:hAnsiTheme="minorHAnsi" w:cstheme="minorHAnsi"/>
          <w:color w:val="000000"/>
          <w:shd w:val="clear" w:color="auto" w:fill="FFFFFF"/>
        </w:rPr>
        <w:t>ii)</w:t>
      </w:r>
      <w:r w:rsidRPr="00AF43A2">
        <w:rPr>
          <w:rStyle w:val="normaltextrun"/>
          <w:rFonts w:asciiTheme="minorHAnsi" w:hAnsiTheme="minorHAnsi" w:cstheme="minorHAnsi"/>
          <w:color w:val="000000"/>
          <w:shd w:val="clear" w:color="auto" w:fill="FFFFFF"/>
        </w:rPr>
        <w:t xml:space="preserve"> the broader healt</w:t>
      </w:r>
      <w:r w:rsidR="00662FE7" w:rsidRPr="00AF43A2">
        <w:rPr>
          <w:rStyle w:val="normaltextrun"/>
          <w:rFonts w:asciiTheme="minorHAnsi" w:hAnsiTheme="minorHAnsi" w:cstheme="minorHAnsi"/>
          <w:color w:val="000000"/>
          <w:shd w:val="clear" w:color="auto" w:fill="FFFFFF"/>
        </w:rPr>
        <w:t xml:space="preserve">h </w:t>
      </w:r>
      <w:r w:rsidRPr="00AF43A2">
        <w:rPr>
          <w:rStyle w:val="normaltextrun"/>
          <w:rFonts w:asciiTheme="minorHAnsi" w:hAnsiTheme="minorHAnsi" w:cstheme="minorHAnsi"/>
          <w:color w:val="000000"/>
          <w:shd w:val="clear" w:color="auto" w:fill="FFFFFF"/>
        </w:rPr>
        <w:t>system. </w:t>
      </w:r>
      <w:r w:rsidR="00B6467A" w:rsidRPr="00AF43A2">
        <w:rPr>
          <w:rStyle w:val="normaltextrun"/>
          <w:rFonts w:asciiTheme="minorHAnsi" w:hAnsiTheme="minorHAnsi" w:cstheme="minorHAnsi"/>
          <w:color w:val="000000"/>
          <w:shd w:val="clear" w:color="auto" w:fill="FFFFFF"/>
        </w:rPr>
        <w:t>Then</w:t>
      </w:r>
      <w:r w:rsidR="00F112AD" w:rsidRPr="00AF43A2">
        <w:rPr>
          <w:rStyle w:val="normaltextrun"/>
          <w:rFonts w:asciiTheme="minorHAnsi" w:hAnsiTheme="minorHAnsi" w:cstheme="minorHAnsi"/>
          <w:color w:val="000000"/>
          <w:shd w:val="clear" w:color="auto" w:fill="FFFFFF"/>
        </w:rPr>
        <w:t>,</w:t>
      </w:r>
      <w:r w:rsidRPr="00AF43A2">
        <w:rPr>
          <w:rStyle w:val="normaltextrun"/>
          <w:rFonts w:asciiTheme="minorHAnsi" w:hAnsiTheme="minorHAnsi" w:cstheme="minorHAnsi"/>
          <w:color w:val="000000"/>
          <w:shd w:val="clear" w:color="auto" w:fill="FFFFFF"/>
        </w:rPr>
        <w:t xml:space="preserve"> describe the mitigation measures that address these risks. </w:t>
      </w:r>
    </w:p>
    <w:p w14:paraId="266DC181" w14:textId="77777777" w:rsidR="000646CF" w:rsidRPr="00AF43A2" w:rsidRDefault="000646CF" w:rsidP="000A0528">
      <w:pPr>
        <w:pStyle w:val="affff3"/>
        <w:spacing w:after="0" w:line="240" w:lineRule="auto"/>
        <w:ind w:left="360"/>
        <w:jc w:val="both"/>
        <w:rPr>
          <w:rFonts w:asciiTheme="minorHAnsi" w:hAnsiTheme="minorHAnsi" w:cstheme="minorHAnsi"/>
        </w:rPr>
      </w:pPr>
    </w:p>
    <w:tbl>
      <w:tblPr>
        <w:tblStyle w:val="TableGrid1"/>
        <w:tblW w:w="10435" w:type="dxa"/>
        <w:tblLayout w:type="fixed"/>
        <w:tblLook w:val="0000" w:firstRow="0" w:lastRow="0" w:firstColumn="0" w:lastColumn="0" w:noHBand="0" w:noVBand="0"/>
      </w:tblPr>
      <w:tblGrid>
        <w:gridCol w:w="3681"/>
        <w:gridCol w:w="6754"/>
      </w:tblGrid>
      <w:tr w:rsidR="003F4F26" w:rsidRPr="00AF43A2" w14:paraId="10CE5D3F" w14:textId="77777777" w:rsidTr="007B0E3B">
        <w:trPr>
          <w:trHeight w:val="377"/>
        </w:trPr>
        <w:tc>
          <w:tcPr>
            <w:tcW w:w="3681" w:type="dxa"/>
            <w:shd w:val="clear" w:color="auto" w:fill="D9D9D9" w:themeFill="background1" w:themeFillShade="D9"/>
            <w:vAlign w:val="center"/>
          </w:tcPr>
          <w:p w14:paraId="286D9ED0" w14:textId="77777777" w:rsidR="003F4F26" w:rsidRPr="00AF43A2" w:rsidRDefault="003F4F26" w:rsidP="000A0528">
            <w:pPr>
              <w:autoSpaceDE w:val="0"/>
              <w:autoSpaceDN w:val="0"/>
              <w:adjustRightInd w:val="0"/>
              <w:spacing w:after="0" w:line="240" w:lineRule="auto"/>
              <w:jc w:val="center"/>
              <w:rPr>
                <w:rFonts w:asciiTheme="minorHAnsi" w:hAnsiTheme="minorHAnsi" w:cstheme="minorHAnsi"/>
                <w:b/>
                <w:color w:val="000000"/>
              </w:rPr>
            </w:pPr>
            <w:r w:rsidRPr="00AF43A2">
              <w:rPr>
                <w:rFonts w:asciiTheme="minorHAnsi" w:hAnsiTheme="minorHAnsi" w:cstheme="minorHAnsi"/>
                <w:b/>
                <w:bCs/>
                <w:color w:val="000000"/>
              </w:rPr>
              <w:t>Key Implementation Risks</w:t>
            </w:r>
          </w:p>
        </w:tc>
        <w:tc>
          <w:tcPr>
            <w:tcW w:w="6754" w:type="dxa"/>
            <w:shd w:val="clear" w:color="auto" w:fill="D9D9D9" w:themeFill="background1" w:themeFillShade="D9"/>
            <w:vAlign w:val="center"/>
          </w:tcPr>
          <w:p w14:paraId="10726D0E" w14:textId="2E3C1DBA" w:rsidR="003F4F26" w:rsidRPr="00AF43A2" w:rsidRDefault="003F4F26" w:rsidP="000A0528">
            <w:pPr>
              <w:autoSpaceDE w:val="0"/>
              <w:autoSpaceDN w:val="0"/>
              <w:adjustRightInd w:val="0"/>
              <w:spacing w:after="0" w:line="240" w:lineRule="auto"/>
              <w:jc w:val="center"/>
              <w:rPr>
                <w:rFonts w:asciiTheme="minorHAnsi" w:hAnsiTheme="minorHAnsi" w:cstheme="minorHAnsi"/>
                <w:b/>
                <w:color w:val="000000"/>
              </w:rPr>
            </w:pPr>
            <w:r w:rsidRPr="00AF43A2">
              <w:rPr>
                <w:rFonts w:asciiTheme="minorHAnsi" w:hAnsiTheme="minorHAnsi" w:cstheme="minorHAnsi"/>
                <w:b/>
                <w:bCs/>
                <w:color w:val="000000"/>
              </w:rPr>
              <w:t>Corresponding Mitigati</w:t>
            </w:r>
            <w:r w:rsidR="006326F8" w:rsidRPr="00AF43A2">
              <w:rPr>
                <w:rFonts w:asciiTheme="minorHAnsi" w:hAnsiTheme="minorHAnsi" w:cstheme="minorHAnsi"/>
                <w:b/>
                <w:bCs/>
                <w:color w:val="000000"/>
              </w:rPr>
              <w:t>on Measures</w:t>
            </w:r>
          </w:p>
        </w:tc>
      </w:tr>
      <w:tr w:rsidR="003F4F26" w:rsidRPr="00AF43A2" w14:paraId="7DF4C74C" w14:textId="77777777" w:rsidTr="007B0E3B">
        <w:trPr>
          <w:trHeight w:val="400"/>
        </w:trPr>
        <w:tc>
          <w:tcPr>
            <w:tcW w:w="3681" w:type="dxa"/>
          </w:tcPr>
          <w:p w14:paraId="2EC5B113" w14:textId="57CD9FAC" w:rsidR="003F4F26" w:rsidRPr="00AF43A2" w:rsidRDefault="00DD47EB" w:rsidP="000A0528">
            <w:pPr>
              <w:autoSpaceDE w:val="0"/>
              <w:autoSpaceDN w:val="0"/>
              <w:adjustRightInd w:val="0"/>
              <w:spacing w:after="0" w:line="240" w:lineRule="auto"/>
              <w:rPr>
                <w:rFonts w:asciiTheme="minorHAnsi" w:hAnsiTheme="minorHAnsi" w:cstheme="minorHAnsi"/>
                <w:color w:val="000000"/>
                <w:sz w:val="21"/>
              </w:rPr>
            </w:pPr>
            <w:r w:rsidRPr="00AF43A2">
              <w:rPr>
                <w:rFonts w:asciiTheme="minorHAnsi" w:hAnsiTheme="minorHAnsi" w:cstheme="minorHAnsi"/>
                <w:b/>
                <w:i/>
                <w:color w:val="000000"/>
                <w:sz w:val="21"/>
              </w:rPr>
              <w:t>C</w:t>
            </w:r>
            <w:r w:rsidR="00084DA1" w:rsidRPr="00AF43A2">
              <w:rPr>
                <w:rFonts w:asciiTheme="minorHAnsi" w:hAnsiTheme="minorHAnsi" w:cstheme="minorHAnsi"/>
                <w:b/>
                <w:i/>
                <w:color w:val="000000"/>
                <w:sz w:val="21"/>
              </w:rPr>
              <w:t>ovid</w:t>
            </w:r>
            <w:r w:rsidRPr="00AF43A2">
              <w:rPr>
                <w:rFonts w:asciiTheme="minorHAnsi" w:hAnsiTheme="minorHAnsi" w:cstheme="minorHAnsi"/>
                <w:b/>
                <w:i/>
                <w:color w:val="000000"/>
                <w:sz w:val="21"/>
              </w:rPr>
              <w:t>-19</w:t>
            </w:r>
            <w:r w:rsidR="00602F2B" w:rsidRPr="00AF43A2">
              <w:rPr>
                <w:rFonts w:asciiTheme="minorHAnsi" w:hAnsiTheme="minorHAnsi" w:cstheme="minorHAnsi"/>
                <w:color w:val="000000"/>
                <w:sz w:val="21"/>
              </w:rPr>
              <w:t xml:space="preserve"> may have a serious and long-lasting impact, particularly on key and vulnerable populations, and disadvantaged communities: Covid-19 measure may hamper HIV and harm reduction services; it may over</w:t>
            </w:r>
            <w:r w:rsidR="007B0E3B" w:rsidRPr="00AF43A2">
              <w:rPr>
                <w:rFonts w:asciiTheme="minorHAnsi" w:hAnsiTheme="minorHAnsi" w:cstheme="minorHAnsi"/>
                <w:color w:val="000000"/>
                <w:sz w:val="21"/>
              </w:rPr>
              <w:t>-</w:t>
            </w:r>
            <w:r w:rsidR="00602F2B" w:rsidRPr="00AF43A2">
              <w:rPr>
                <w:rFonts w:asciiTheme="minorHAnsi" w:hAnsiTheme="minorHAnsi" w:cstheme="minorHAnsi"/>
                <w:color w:val="000000"/>
                <w:sz w:val="21"/>
              </w:rPr>
              <w:t>burden the health system; it may take away financial resources from the State that are needed to absorb the cost of HIV services supported by the GF grant</w:t>
            </w:r>
            <w:r w:rsidR="0056127B" w:rsidRPr="00AF43A2">
              <w:rPr>
                <w:rFonts w:asciiTheme="minorHAnsi" w:hAnsiTheme="minorHAnsi" w:cstheme="minorHAnsi"/>
                <w:color w:val="000000"/>
                <w:sz w:val="21"/>
              </w:rPr>
              <w:t>. This may include fulfilment of co-financing commit</w:t>
            </w:r>
            <w:r w:rsidR="00231EFE">
              <w:rPr>
                <w:rFonts w:asciiTheme="minorHAnsi" w:hAnsiTheme="minorHAnsi" w:cstheme="minorHAnsi"/>
                <w:color w:val="000000"/>
                <w:sz w:val="21"/>
              </w:rPr>
              <w:t>-</w:t>
            </w:r>
            <w:proofErr w:type="spellStart"/>
            <w:r w:rsidR="0056127B" w:rsidRPr="00AF43A2">
              <w:rPr>
                <w:rFonts w:asciiTheme="minorHAnsi" w:hAnsiTheme="minorHAnsi" w:cstheme="minorHAnsi"/>
                <w:color w:val="000000"/>
                <w:sz w:val="21"/>
              </w:rPr>
              <w:t>ments</w:t>
            </w:r>
            <w:proofErr w:type="spellEnd"/>
            <w:r w:rsidR="007B0E3B" w:rsidRPr="00AF43A2">
              <w:rPr>
                <w:rFonts w:asciiTheme="minorHAnsi" w:hAnsiTheme="minorHAnsi" w:cstheme="minorHAnsi"/>
                <w:color w:val="000000"/>
                <w:sz w:val="21"/>
              </w:rPr>
              <w:t>,</w:t>
            </w:r>
            <w:r w:rsidR="003412E4" w:rsidRPr="00AF43A2">
              <w:rPr>
                <w:rFonts w:asciiTheme="minorHAnsi" w:hAnsiTheme="minorHAnsi" w:cstheme="minorHAnsi"/>
                <w:color w:val="000000"/>
                <w:sz w:val="21"/>
              </w:rPr>
              <w:t xml:space="preserve"> especially in </w:t>
            </w:r>
            <w:r w:rsidR="007B0E3B" w:rsidRPr="00AF43A2">
              <w:rPr>
                <w:rFonts w:asciiTheme="minorHAnsi" w:hAnsiTheme="minorHAnsi" w:cstheme="minorHAnsi"/>
                <w:color w:val="000000"/>
                <w:sz w:val="21"/>
              </w:rPr>
              <w:t xml:space="preserve">the </w:t>
            </w:r>
            <w:r w:rsidR="003412E4" w:rsidRPr="00AF43A2">
              <w:rPr>
                <w:rFonts w:asciiTheme="minorHAnsi" w:hAnsiTheme="minorHAnsi" w:cstheme="minorHAnsi"/>
                <w:color w:val="000000"/>
                <w:sz w:val="21"/>
              </w:rPr>
              <w:t>context of a projected contraction of the global and Kazakh economy.</w:t>
            </w:r>
          </w:p>
        </w:tc>
        <w:tc>
          <w:tcPr>
            <w:tcW w:w="6754" w:type="dxa"/>
          </w:tcPr>
          <w:p w14:paraId="7126F0E7" w14:textId="398A3C08" w:rsidR="00602F2B" w:rsidRPr="00AF43A2" w:rsidRDefault="00084DA1" w:rsidP="000A0528">
            <w:pPr>
              <w:autoSpaceDE w:val="0"/>
              <w:autoSpaceDN w:val="0"/>
              <w:adjustRightInd w:val="0"/>
              <w:spacing w:after="0" w:line="240" w:lineRule="auto"/>
              <w:jc w:val="both"/>
              <w:rPr>
                <w:rFonts w:asciiTheme="minorHAnsi" w:hAnsiTheme="minorHAnsi" w:cstheme="minorHAnsi"/>
                <w:color w:val="000000"/>
                <w:sz w:val="21"/>
              </w:rPr>
            </w:pPr>
            <w:r w:rsidRPr="00AF43A2">
              <w:rPr>
                <w:rFonts w:asciiTheme="minorHAnsi" w:hAnsiTheme="minorHAnsi" w:cstheme="minorHAnsi"/>
                <w:color w:val="000000"/>
                <w:sz w:val="21"/>
              </w:rPr>
              <w:t>It is difficult to anticipate the long-lasting health and economic impact of Covid-19</w:t>
            </w:r>
            <w:r w:rsidR="0056127B" w:rsidRPr="00AF43A2">
              <w:rPr>
                <w:rFonts w:asciiTheme="minorHAnsi" w:hAnsiTheme="minorHAnsi" w:cstheme="minorHAnsi"/>
                <w:color w:val="000000"/>
                <w:sz w:val="21"/>
              </w:rPr>
              <w:t>. At the service-delivery level</w:t>
            </w:r>
            <w:r w:rsidR="00231EFE">
              <w:rPr>
                <w:rFonts w:asciiTheme="minorHAnsi" w:hAnsiTheme="minorHAnsi" w:cstheme="minorHAnsi"/>
                <w:color w:val="000000"/>
                <w:sz w:val="21"/>
              </w:rPr>
              <w:t>,</w:t>
            </w:r>
            <w:r w:rsidR="0056127B" w:rsidRPr="00AF43A2">
              <w:rPr>
                <w:rFonts w:asciiTheme="minorHAnsi" w:hAnsiTheme="minorHAnsi" w:cstheme="minorHAnsi"/>
                <w:color w:val="000000"/>
                <w:sz w:val="21"/>
              </w:rPr>
              <w:t xml:space="preserve"> HIV programmes for KPs have continued, albeit with special measures and facing certain restrictions. This shows the resilience of these programmes and the commitment of government and civil society services even under </w:t>
            </w:r>
            <w:r w:rsidR="00231EFE">
              <w:rPr>
                <w:rFonts w:asciiTheme="minorHAnsi" w:hAnsiTheme="minorHAnsi" w:cstheme="minorHAnsi"/>
                <w:color w:val="000000"/>
                <w:sz w:val="21"/>
              </w:rPr>
              <w:t xml:space="preserve">very </w:t>
            </w:r>
            <w:r w:rsidR="0056127B" w:rsidRPr="00AF43A2">
              <w:rPr>
                <w:rFonts w:asciiTheme="minorHAnsi" w:hAnsiTheme="minorHAnsi" w:cstheme="minorHAnsi"/>
                <w:color w:val="000000"/>
                <w:sz w:val="21"/>
              </w:rPr>
              <w:t xml:space="preserve">difficult circumstances. The funding request has a number of components that aim to strengthen community systems and sustainable finance for HIV programmes. This includes support for social contracting and social health insurance support for HIV programmes (Interventions 5.1 and 5.2). In addition, measures to strengthen community systems (e.g. Interventions </w:t>
            </w:r>
            <w:r w:rsidR="007B0E3B" w:rsidRPr="00AF43A2">
              <w:rPr>
                <w:rFonts w:asciiTheme="minorHAnsi" w:hAnsiTheme="minorHAnsi" w:cstheme="minorHAnsi"/>
                <w:color w:val="000000"/>
                <w:sz w:val="21"/>
              </w:rPr>
              <w:t xml:space="preserve">6.2, 4.1 and 4.2) </w:t>
            </w:r>
            <w:r w:rsidR="0056127B" w:rsidRPr="00AF43A2">
              <w:rPr>
                <w:rFonts w:asciiTheme="minorHAnsi" w:hAnsiTheme="minorHAnsi" w:cstheme="minorHAnsi"/>
                <w:color w:val="000000"/>
                <w:sz w:val="21"/>
              </w:rPr>
              <w:t>are also expected to strengthen continuity of services despite the impact of Covid-19. Furthermore, strengthening the institutional capacity of NGOs (Intervention 6.1) will strengthen their ability to continue service delivery even under difficult economic circumstances.</w:t>
            </w:r>
          </w:p>
        </w:tc>
      </w:tr>
      <w:tr w:rsidR="00BE0F0C" w:rsidRPr="00AF43A2" w14:paraId="6A26F3E3" w14:textId="77777777" w:rsidTr="007B0E3B">
        <w:trPr>
          <w:trHeight w:val="400"/>
        </w:trPr>
        <w:tc>
          <w:tcPr>
            <w:tcW w:w="3681" w:type="dxa"/>
          </w:tcPr>
          <w:p w14:paraId="610B5A7F" w14:textId="7BAEE576" w:rsidR="00BE0F0C" w:rsidRPr="00AF43A2" w:rsidRDefault="000115A3" w:rsidP="000A0528">
            <w:pPr>
              <w:autoSpaceDE w:val="0"/>
              <w:autoSpaceDN w:val="0"/>
              <w:adjustRightInd w:val="0"/>
              <w:spacing w:after="0" w:line="240" w:lineRule="auto"/>
              <w:rPr>
                <w:rFonts w:asciiTheme="minorHAnsi" w:hAnsiTheme="minorHAnsi" w:cstheme="minorHAnsi"/>
                <w:color w:val="1E1E1E" w:themeColor="background2"/>
                <w:sz w:val="21"/>
              </w:rPr>
            </w:pPr>
            <w:r w:rsidRPr="00AF43A2">
              <w:rPr>
                <w:rFonts w:asciiTheme="minorHAnsi" w:hAnsiTheme="minorHAnsi" w:cstheme="minorHAnsi"/>
                <w:b/>
                <w:i/>
                <w:color w:val="1E1E1E" w:themeColor="background2"/>
                <w:sz w:val="21"/>
              </w:rPr>
              <w:t>Insufficient prioritisation by regional authorities to allocate funds to HIV prevention services by NGOs</w:t>
            </w:r>
            <w:r w:rsidRPr="00AF43A2">
              <w:rPr>
                <w:rFonts w:asciiTheme="minorHAnsi" w:hAnsiTheme="minorHAnsi" w:cstheme="minorHAnsi"/>
                <w:color w:val="1E1E1E" w:themeColor="background2"/>
                <w:sz w:val="21"/>
              </w:rPr>
              <w:t xml:space="preserve">, resulting in inadequate funds to </w:t>
            </w:r>
            <w:r w:rsidR="00DD47EB" w:rsidRPr="00AF43A2">
              <w:rPr>
                <w:rFonts w:asciiTheme="minorHAnsi" w:hAnsiTheme="minorHAnsi" w:cstheme="minorHAnsi"/>
                <w:color w:val="1E1E1E" w:themeColor="background2"/>
                <w:sz w:val="21"/>
              </w:rPr>
              <w:t>gradually absorb the cost of service delivery</w:t>
            </w:r>
            <w:r w:rsidR="00602F2B" w:rsidRPr="00AF43A2">
              <w:rPr>
                <w:rFonts w:asciiTheme="minorHAnsi" w:hAnsiTheme="minorHAnsi" w:cstheme="minorHAnsi"/>
                <w:color w:val="1E1E1E" w:themeColor="background2"/>
                <w:sz w:val="21"/>
              </w:rPr>
              <w:t>, and/or expand key services beyond priority Regions supported by the grant</w:t>
            </w:r>
            <w:r w:rsidRPr="00AF43A2">
              <w:rPr>
                <w:rFonts w:asciiTheme="minorHAnsi" w:hAnsiTheme="minorHAnsi" w:cstheme="minorHAnsi"/>
                <w:color w:val="1E1E1E" w:themeColor="background2"/>
                <w:sz w:val="21"/>
              </w:rPr>
              <w:t xml:space="preserve">. In addition, insufficient interest of NGOs to use existing social contracting mechanisms. </w:t>
            </w:r>
          </w:p>
        </w:tc>
        <w:tc>
          <w:tcPr>
            <w:tcW w:w="6754" w:type="dxa"/>
          </w:tcPr>
          <w:p w14:paraId="0B9B916F" w14:textId="1AA6A285" w:rsidR="00BE0F0C" w:rsidRPr="00AF43A2" w:rsidRDefault="003412E4" w:rsidP="000A0528">
            <w:pPr>
              <w:autoSpaceDE w:val="0"/>
              <w:autoSpaceDN w:val="0"/>
              <w:adjustRightInd w:val="0"/>
              <w:spacing w:after="0" w:line="240" w:lineRule="auto"/>
              <w:jc w:val="both"/>
              <w:rPr>
                <w:rFonts w:asciiTheme="minorHAnsi" w:hAnsiTheme="minorHAnsi" w:cstheme="minorHAnsi"/>
                <w:color w:val="1E1E1E" w:themeColor="background2"/>
                <w:sz w:val="21"/>
              </w:rPr>
            </w:pPr>
            <w:r w:rsidRPr="00AF43A2">
              <w:rPr>
                <w:rFonts w:asciiTheme="minorHAnsi" w:hAnsiTheme="minorHAnsi" w:cstheme="minorHAnsi"/>
                <w:color w:val="1E1E1E" w:themeColor="background2"/>
                <w:sz w:val="21"/>
              </w:rPr>
              <w:t>The funding request addresses this risk by</w:t>
            </w:r>
            <w:r w:rsidR="003119C0" w:rsidRPr="00AF43A2">
              <w:rPr>
                <w:rFonts w:asciiTheme="minorHAnsi" w:hAnsiTheme="minorHAnsi" w:cstheme="minorHAnsi"/>
                <w:color w:val="1E1E1E" w:themeColor="background2"/>
                <w:sz w:val="21"/>
              </w:rPr>
              <w:t xml:space="preserve"> strengthening government commitments at national and local levels. This includes: 1) written commitments already given by the central Government to fulfil co-financing requirements; as well as: 2</w:t>
            </w:r>
            <w:r w:rsidRPr="00AF43A2">
              <w:rPr>
                <w:rFonts w:asciiTheme="minorHAnsi" w:hAnsiTheme="minorHAnsi" w:cstheme="minorHAnsi"/>
                <w:color w:val="1E1E1E" w:themeColor="background2"/>
                <w:sz w:val="21"/>
              </w:rPr>
              <w:t>) Intervention 6.2 specifically aims to strengthen commitment and budget allocations by regional Governments to HIV services for KPs, including by NGOs. This will be done by strengthening local partnerships between government and civil society organisations.</w:t>
            </w:r>
          </w:p>
        </w:tc>
      </w:tr>
      <w:tr w:rsidR="00BE0F0C" w:rsidRPr="00AF43A2" w14:paraId="28EAD993" w14:textId="77777777" w:rsidTr="007B0E3B">
        <w:trPr>
          <w:trHeight w:val="400"/>
        </w:trPr>
        <w:tc>
          <w:tcPr>
            <w:tcW w:w="3681" w:type="dxa"/>
          </w:tcPr>
          <w:p w14:paraId="11A6897D" w14:textId="7E53BD29" w:rsidR="00BE0F0C" w:rsidRPr="00AF43A2" w:rsidRDefault="00DD47EB" w:rsidP="000A0528">
            <w:pPr>
              <w:autoSpaceDE w:val="0"/>
              <w:autoSpaceDN w:val="0"/>
              <w:adjustRightInd w:val="0"/>
              <w:spacing w:after="0" w:line="240" w:lineRule="auto"/>
              <w:rPr>
                <w:rFonts w:asciiTheme="minorHAnsi" w:hAnsiTheme="minorHAnsi" w:cstheme="minorHAnsi"/>
                <w:b/>
                <w:i/>
                <w:color w:val="000000"/>
                <w:sz w:val="21"/>
              </w:rPr>
            </w:pPr>
            <w:r w:rsidRPr="00AF43A2">
              <w:rPr>
                <w:rFonts w:asciiTheme="minorHAnsi" w:hAnsiTheme="minorHAnsi" w:cstheme="minorHAnsi"/>
                <w:b/>
                <w:i/>
                <w:color w:val="000000"/>
                <w:sz w:val="21"/>
              </w:rPr>
              <w:t>Political and societal opposition to OST</w:t>
            </w:r>
            <w:r w:rsidR="001934BF" w:rsidRPr="00AF43A2">
              <w:rPr>
                <w:rFonts w:asciiTheme="minorHAnsi" w:hAnsiTheme="minorHAnsi" w:cstheme="minorHAnsi"/>
                <w:b/>
                <w:i/>
                <w:color w:val="000000"/>
                <w:sz w:val="21"/>
              </w:rPr>
              <w:t xml:space="preserve"> programmes</w:t>
            </w:r>
          </w:p>
        </w:tc>
        <w:tc>
          <w:tcPr>
            <w:tcW w:w="6754" w:type="dxa"/>
          </w:tcPr>
          <w:p w14:paraId="7FF3C143" w14:textId="77777777" w:rsidR="00BE0F0C" w:rsidRPr="00AF43A2" w:rsidRDefault="003412E4" w:rsidP="000A0528">
            <w:pPr>
              <w:autoSpaceDE w:val="0"/>
              <w:autoSpaceDN w:val="0"/>
              <w:adjustRightInd w:val="0"/>
              <w:spacing w:after="0" w:line="240" w:lineRule="auto"/>
              <w:jc w:val="both"/>
              <w:rPr>
                <w:rFonts w:asciiTheme="minorHAnsi" w:hAnsiTheme="minorHAnsi" w:cstheme="minorHAnsi"/>
                <w:color w:val="000000"/>
                <w:sz w:val="21"/>
              </w:rPr>
            </w:pPr>
            <w:r w:rsidRPr="00AF43A2">
              <w:rPr>
                <w:rFonts w:asciiTheme="minorHAnsi" w:hAnsiTheme="minorHAnsi" w:cstheme="minorHAnsi"/>
                <w:color w:val="000000"/>
                <w:sz w:val="21"/>
              </w:rPr>
              <w:t>The funding request includes a major intervention to specifically address the lack of support for OST among certain elements of society by supporting ongoing, systematic advocacy and sensitisation programmes, which will also include capacity building of Narcological staff. This aims to change the current context and strengthen active support among the highest decision makers for this core intervention.</w:t>
            </w:r>
          </w:p>
          <w:p w14:paraId="3CF5487E" w14:textId="16A62C07" w:rsidR="00AC7E53" w:rsidRPr="00AF43A2" w:rsidRDefault="00AC7E53" w:rsidP="000A0528">
            <w:pPr>
              <w:autoSpaceDE w:val="0"/>
              <w:autoSpaceDN w:val="0"/>
              <w:adjustRightInd w:val="0"/>
              <w:spacing w:after="0" w:line="240" w:lineRule="auto"/>
              <w:jc w:val="both"/>
              <w:rPr>
                <w:rFonts w:asciiTheme="minorHAnsi" w:hAnsiTheme="minorHAnsi" w:cstheme="minorHAnsi"/>
                <w:color w:val="000000"/>
                <w:sz w:val="8"/>
                <w:szCs w:val="8"/>
              </w:rPr>
            </w:pPr>
          </w:p>
        </w:tc>
      </w:tr>
    </w:tbl>
    <w:p w14:paraId="65883D5C" w14:textId="77777777" w:rsidR="00485066" w:rsidRPr="00AF43A2" w:rsidRDefault="00485066" w:rsidP="000A0528">
      <w:pPr>
        <w:pStyle w:val="affff3"/>
        <w:spacing w:after="0" w:line="240" w:lineRule="auto"/>
        <w:ind w:left="360"/>
        <w:jc w:val="both"/>
        <w:rPr>
          <w:rFonts w:asciiTheme="minorHAnsi" w:hAnsiTheme="minorHAnsi" w:cstheme="minorHAnsi"/>
          <w:bCs/>
          <w:iCs/>
          <w:sz w:val="21"/>
        </w:rPr>
      </w:pPr>
    </w:p>
    <w:p w14:paraId="144A166C" w14:textId="641BE764" w:rsidR="00485066" w:rsidRPr="00AF43A2" w:rsidRDefault="00485066" w:rsidP="000A0528">
      <w:pPr>
        <w:pStyle w:val="affff3"/>
        <w:numPr>
          <w:ilvl w:val="0"/>
          <w:numId w:val="21"/>
        </w:numPr>
        <w:spacing w:after="0" w:line="240" w:lineRule="auto"/>
        <w:jc w:val="both"/>
        <w:rPr>
          <w:rFonts w:asciiTheme="minorHAnsi" w:hAnsiTheme="minorHAnsi" w:cstheme="minorHAnsi"/>
          <w:bCs/>
          <w:iCs/>
          <w:sz w:val="21"/>
        </w:rPr>
      </w:pPr>
      <w:r w:rsidRPr="00AF43A2">
        <w:rPr>
          <w:rFonts w:asciiTheme="minorHAnsi" w:hAnsiTheme="minorHAnsi" w:cstheme="minorHAnsi"/>
          <w:sz w:val="21"/>
        </w:rPr>
        <w:t xml:space="preserve">Does the funding request envisage a </w:t>
      </w:r>
      <w:r w:rsidRPr="00AF43A2">
        <w:rPr>
          <w:rFonts w:asciiTheme="minorHAnsi" w:hAnsiTheme="minorHAnsi" w:cstheme="minorHAnsi"/>
          <w:b/>
          <w:sz w:val="21"/>
        </w:rPr>
        <w:t>joint investment platform</w:t>
      </w:r>
      <w:r w:rsidRPr="00AF43A2">
        <w:rPr>
          <w:rFonts w:asciiTheme="minorHAnsi" w:hAnsiTheme="minorHAnsi" w:cstheme="minorHAnsi"/>
          <w:sz w:val="21"/>
        </w:rPr>
        <w:t xml:space="preserve"> with other </w:t>
      </w:r>
      <w:r w:rsidR="003A4972" w:rsidRPr="00AF43A2">
        <w:rPr>
          <w:rFonts w:asciiTheme="minorHAnsi" w:hAnsiTheme="minorHAnsi" w:cstheme="minorHAnsi"/>
          <w:sz w:val="21"/>
        </w:rPr>
        <w:t>institutions</w:t>
      </w:r>
      <w:r w:rsidRPr="00AF43A2">
        <w:rPr>
          <w:rFonts w:asciiTheme="minorHAnsi" w:hAnsiTheme="minorHAnsi" w:cstheme="minorHAnsi"/>
          <w:sz w:val="21"/>
        </w:rPr>
        <w:t xml:space="preserve">? </w:t>
      </w:r>
    </w:p>
    <w:p w14:paraId="1D88E390" w14:textId="77777777" w:rsidR="00663D90" w:rsidRPr="00AF43A2" w:rsidRDefault="00663D90" w:rsidP="000A0528">
      <w:pPr>
        <w:pStyle w:val="affff3"/>
        <w:spacing w:after="0" w:line="240" w:lineRule="auto"/>
        <w:ind w:left="360"/>
        <w:jc w:val="both"/>
        <w:rPr>
          <w:rFonts w:asciiTheme="minorHAnsi" w:hAnsiTheme="minorHAnsi" w:cstheme="minorHAnsi"/>
          <w:bCs/>
          <w:iCs/>
          <w:sz w:val="21"/>
        </w:rPr>
      </w:pPr>
    </w:p>
    <w:p w14:paraId="297BAF88" w14:textId="2C6A9A31" w:rsidR="00AA45C3" w:rsidRPr="00AF43A2" w:rsidRDefault="00946163" w:rsidP="000A0528">
      <w:pPr>
        <w:pStyle w:val="affff3"/>
        <w:spacing w:after="0" w:line="240" w:lineRule="auto"/>
        <w:ind w:left="360" w:firstLine="360"/>
        <w:jc w:val="both"/>
        <w:rPr>
          <w:rFonts w:asciiTheme="minorHAnsi" w:hAnsiTheme="minorHAnsi" w:cstheme="minorHAnsi"/>
          <w:bCs/>
          <w:iCs/>
          <w:sz w:val="21"/>
        </w:rPr>
      </w:pPr>
      <w:sdt>
        <w:sdtPr>
          <w:rPr>
            <w:rFonts w:asciiTheme="minorHAnsi" w:eastAsia="MS Gothic" w:hAnsiTheme="minorHAnsi" w:cstheme="minorHAnsi"/>
            <w:bCs/>
            <w:iCs/>
            <w:sz w:val="21"/>
          </w:rPr>
          <w:id w:val="1973173543"/>
          <w14:checkbox>
            <w14:checked w14:val="0"/>
            <w14:checkedState w14:val="2612" w14:font="MS Gothic"/>
            <w14:uncheckedState w14:val="2610" w14:font="MS Gothic"/>
          </w14:checkbox>
        </w:sdtPr>
        <w:sdtEndPr/>
        <w:sdtContent>
          <w:r w:rsidR="00AA45C3" w:rsidRPr="00AF43A2">
            <w:rPr>
              <w:rFonts w:ascii="Segoe UI Symbol" w:eastAsia="MS Gothic" w:hAnsi="Segoe UI Symbol" w:cs="Segoe UI Symbol"/>
              <w:bCs/>
              <w:iCs/>
              <w:sz w:val="21"/>
            </w:rPr>
            <w:t>☐</w:t>
          </w:r>
        </w:sdtContent>
      </w:sdt>
      <w:r w:rsidR="00485066" w:rsidRPr="00AF43A2">
        <w:rPr>
          <w:rFonts w:asciiTheme="minorHAnsi" w:hAnsiTheme="minorHAnsi" w:cstheme="minorHAnsi"/>
          <w:bCs/>
          <w:iCs/>
          <w:sz w:val="21"/>
        </w:rPr>
        <w:t xml:space="preserve"> Yes         </w:t>
      </w:r>
      <w:sdt>
        <w:sdtPr>
          <w:rPr>
            <w:rFonts w:asciiTheme="minorHAnsi" w:hAnsiTheme="minorHAnsi" w:cstheme="minorHAnsi"/>
            <w:b/>
            <w:bCs/>
            <w:iCs/>
            <w:sz w:val="21"/>
          </w:rPr>
          <w:id w:val="1360627992"/>
          <w14:checkbox>
            <w14:checked w14:val="1"/>
            <w14:checkedState w14:val="2612" w14:font="MS Gothic"/>
            <w14:uncheckedState w14:val="2610" w14:font="MS Gothic"/>
          </w14:checkbox>
        </w:sdtPr>
        <w:sdtEndPr/>
        <w:sdtContent>
          <w:r w:rsidR="00DD47EB" w:rsidRPr="00AF43A2">
            <w:rPr>
              <w:rFonts w:ascii="Segoe UI Symbol" w:eastAsia="MS Gothic" w:hAnsi="Segoe UI Symbol" w:cs="Segoe UI Symbol"/>
              <w:b/>
              <w:bCs/>
              <w:iCs/>
              <w:sz w:val="21"/>
            </w:rPr>
            <w:t>☒</w:t>
          </w:r>
        </w:sdtContent>
      </w:sdt>
      <w:r w:rsidR="00485066" w:rsidRPr="00AF43A2">
        <w:rPr>
          <w:rFonts w:asciiTheme="minorHAnsi" w:hAnsiTheme="minorHAnsi" w:cstheme="minorHAnsi"/>
          <w:b/>
          <w:bCs/>
          <w:iCs/>
          <w:sz w:val="21"/>
        </w:rPr>
        <w:t xml:space="preserve"> No</w:t>
      </w:r>
    </w:p>
    <w:p w14:paraId="350D5D6B" w14:textId="77777777" w:rsidR="00485066" w:rsidRPr="00AF43A2" w:rsidRDefault="00485066" w:rsidP="000A0528">
      <w:pPr>
        <w:spacing w:after="0" w:line="240" w:lineRule="auto"/>
        <w:jc w:val="both"/>
        <w:rPr>
          <w:rFonts w:asciiTheme="minorHAnsi" w:hAnsiTheme="minorHAnsi" w:cstheme="minorHAnsi"/>
          <w:bCs/>
          <w:iCs/>
          <w:sz w:val="21"/>
        </w:rPr>
      </w:pPr>
    </w:p>
    <w:p w14:paraId="4ACA8E52" w14:textId="77777777" w:rsidR="005422B6" w:rsidRPr="00AF43A2" w:rsidRDefault="005422B6" w:rsidP="000A0528">
      <w:pPr>
        <w:spacing w:after="0" w:line="240" w:lineRule="auto"/>
        <w:rPr>
          <w:rFonts w:asciiTheme="minorHAnsi" w:hAnsiTheme="minorHAnsi" w:cstheme="minorHAnsi"/>
        </w:rPr>
      </w:pPr>
    </w:p>
    <w:p w14:paraId="2891EDF1" w14:textId="0EA5130E" w:rsidR="00485066" w:rsidRPr="00AF43A2" w:rsidRDefault="00824D66" w:rsidP="000A0528">
      <w:pPr>
        <w:pStyle w:val="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pacing w:before="0" w:after="0" w:line="240" w:lineRule="auto"/>
        <w:ind w:left="567" w:hanging="567"/>
        <w:rPr>
          <w:rFonts w:asciiTheme="minorHAnsi" w:hAnsiTheme="minorHAnsi" w:cstheme="minorHAnsi"/>
          <w:b/>
          <w:sz w:val="30"/>
        </w:rPr>
      </w:pPr>
      <w:r w:rsidRPr="00AF43A2">
        <w:rPr>
          <w:rFonts w:asciiTheme="minorHAnsi" w:hAnsiTheme="minorHAnsi" w:cstheme="minorHAnsi"/>
          <w:b/>
          <w:sz w:val="30"/>
        </w:rPr>
        <w:t xml:space="preserve">Section 3: </w:t>
      </w:r>
      <w:r w:rsidR="00485066" w:rsidRPr="00AF43A2">
        <w:rPr>
          <w:rFonts w:asciiTheme="minorHAnsi" w:hAnsiTheme="minorHAnsi" w:cstheme="minorHAnsi"/>
          <w:b/>
          <w:sz w:val="30"/>
        </w:rPr>
        <w:t>Co-Financing, Sustainability and Transition</w:t>
      </w:r>
    </w:p>
    <w:p w14:paraId="2447389A" w14:textId="73F48D3C" w:rsidR="002B6A8E" w:rsidRPr="00AF43A2" w:rsidRDefault="002B6A8E" w:rsidP="000A0528">
      <w:pPr>
        <w:spacing w:after="0" w:line="240" w:lineRule="auto"/>
        <w:rPr>
          <w:rFonts w:asciiTheme="minorHAnsi" w:hAnsiTheme="minorHAnsi" w:cstheme="minorHAnsi"/>
          <w:sz w:val="21"/>
        </w:rPr>
      </w:pPr>
    </w:p>
    <w:p w14:paraId="4016BDCF" w14:textId="440E29CB" w:rsidR="002D5A90" w:rsidRPr="00AF43A2" w:rsidRDefault="00CA7D8E" w:rsidP="000A0528">
      <w:pPr>
        <w:spacing w:after="0" w:line="240" w:lineRule="auto"/>
        <w:jc w:val="both"/>
        <w:rPr>
          <w:rFonts w:asciiTheme="minorHAnsi" w:hAnsiTheme="minorHAnsi" w:cstheme="minorHAnsi"/>
          <w:sz w:val="21"/>
        </w:rPr>
      </w:pPr>
      <w:bookmarkStart w:id="14" w:name="_Hlk13737743"/>
      <w:r w:rsidRPr="00AF43A2">
        <w:rPr>
          <w:rFonts w:asciiTheme="minorHAnsi" w:hAnsiTheme="minorHAnsi" w:cstheme="minorHAnsi"/>
          <w:sz w:val="21"/>
        </w:rPr>
        <w:t xml:space="preserve">To respond to the questions below, refer to the </w:t>
      </w:r>
      <w:r w:rsidR="002B6A8E" w:rsidRPr="00AF43A2">
        <w:rPr>
          <w:rFonts w:asciiTheme="minorHAnsi" w:hAnsiTheme="minorHAnsi" w:cstheme="minorHAnsi"/>
          <w:i/>
          <w:sz w:val="21"/>
        </w:rPr>
        <w:t>Instructions</w:t>
      </w:r>
      <w:r w:rsidRPr="00AF43A2">
        <w:rPr>
          <w:rFonts w:asciiTheme="minorHAnsi" w:hAnsiTheme="minorHAnsi" w:cstheme="minorHAnsi"/>
          <w:sz w:val="21"/>
        </w:rPr>
        <w:t>, the domestic financing section of the allocation letter</w:t>
      </w:r>
      <w:r w:rsidR="00A76BD8" w:rsidRPr="00AF43A2">
        <w:rPr>
          <w:rFonts w:asciiTheme="minorHAnsi" w:hAnsiTheme="minorHAnsi" w:cstheme="minorHAnsi"/>
          <w:sz w:val="21"/>
        </w:rPr>
        <w:t>,</w:t>
      </w:r>
      <w:r w:rsidR="00411CF4" w:rsidRPr="00AF43A2">
        <w:rPr>
          <w:rFonts w:asciiTheme="minorHAnsi" w:hAnsiTheme="minorHAnsi" w:cstheme="minorHAnsi"/>
          <w:sz w:val="21"/>
        </w:rPr>
        <w:t xml:space="preserve"> the</w:t>
      </w:r>
      <w:r w:rsidR="00A76BD8" w:rsidRPr="00AF43A2">
        <w:rPr>
          <w:rFonts w:asciiTheme="minorHAnsi" w:hAnsiTheme="minorHAnsi" w:cstheme="minorHAnsi"/>
          <w:sz w:val="21"/>
        </w:rPr>
        <w:t xml:space="preserve"> </w:t>
      </w:r>
      <w:hyperlink r:id="rId16" w:history="1">
        <w:r w:rsidR="00411CF4" w:rsidRPr="00AF43A2">
          <w:rPr>
            <w:rStyle w:val="af9"/>
            <w:rFonts w:asciiTheme="minorHAnsi" w:hAnsiTheme="minorHAnsi" w:cstheme="minorHAnsi"/>
            <w:sz w:val="21"/>
          </w:rPr>
          <w:t>Sustainability, Transition and Co-Financing Guidance Note</w:t>
        </w:r>
      </w:hyperlink>
      <w:r w:rsidR="00411CF4" w:rsidRPr="00AF43A2">
        <w:rPr>
          <w:rStyle w:val="af9"/>
          <w:rFonts w:asciiTheme="minorHAnsi" w:hAnsiTheme="minorHAnsi" w:cstheme="minorHAnsi"/>
          <w:sz w:val="21"/>
        </w:rPr>
        <w:t>,</w:t>
      </w:r>
      <w:r w:rsidR="00411CF4" w:rsidRPr="00AF43A2">
        <w:rPr>
          <w:rStyle w:val="af9"/>
          <w:rFonts w:asciiTheme="minorHAnsi" w:hAnsiTheme="minorHAnsi" w:cstheme="minorHAnsi"/>
          <w:sz w:val="21"/>
          <w:u w:val="none"/>
        </w:rPr>
        <w:t xml:space="preserve"> </w:t>
      </w:r>
      <w:r w:rsidR="00B74DAA" w:rsidRPr="00AF43A2">
        <w:rPr>
          <w:rFonts w:asciiTheme="minorHAnsi" w:hAnsiTheme="minorHAnsi" w:cstheme="minorHAnsi"/>
          <w:b/>
          <w:sz w:val="21"/>
        </w:rPr>
        <w:t>Funding Landscape T</w:t>
      </w:r>
      <w:r w:rsidR="00A76BD8" w:rsidRPr="00AF43A2">
        <w:rPr>
          <w:rFonts w:asciiTheme="minorHAnsi" w:hAnsiTheme="minorHAnsi" w:cstheme="minorHAnsi"/>
          <w:b/>
          <w:sz w:val="21"/>
        </w:rPr>
        <w:t>able(s)</w:t>
      </w:r>
      <w:r w:rsidR="00A76BD8" w:rsidRPr="00AF43A2">
        <w:rPr>
          <w:rFonts w:asciiTheme="minorHAnsi" w:hAnsiTheme="minorHAnsi" w:cstheme="minorHAnsi"/>
          <w:sz w:val="21"/>
        </w:rPr>
        <w:t xml:space="preserve">, </w:t>
      </w:r>
      <w:r w:rsidR="00A76BD8" w:rsidRPr="00AF43A2">
        <w:rPr>
          <w:rFonts w:asciiTheme="minorHAnsi" w:hAnsiTheme="minorHAnsi" w:cstheme="minorHAnsi"/>
          <w:b/>
          <w:sz w:val="21"/>
        </w:rPr>
        <w:t>Programmatic Gap Table(s)</w:t>
      </w:r>
      <w:r w:rsidR="00A76BD8" w:rsidRPr="00AF43A2">
        <w:rPr>
          <w:rFonts w:asciiTheme="minorHAnsi" w:hAnsiTheme="minorHAnsi" w:cstheme="minorHAnsi"/>
          <w:sz w:val="21"/>
        </w:rPr>
        <w:t xml:space="preserve">, </w:t>
      </w:r>
      <w:r w:rsidR="00A76BD8" w:rsidRPr="00AF43A2">
        <w:rPr>
          <w:rFonts w:asciiTheme="minorHAnsi" w:hAnsiTheme="minorHAnsi" w:cstheme="minorHAnsi"/>
          <w:b/>
          <w:sz w:val="21"/>
        </w:rPr>
        <w:t>Transition Workplan</w:t>
      </w:r>
      <w:r w:rsidR="00A76BD8" w:rsidRPr="00AF43A2">
        <w:rPr>
          <w:rFonts w:asciiTheme="minorHAnsi" w:hAnsiTheme="minorHAnsi" w:cstheme="minorHAnsi"/>
          <w:sz w:val="21"/>
        </w:rPr>
        <w:t xml:space="preserve"> and </w:t>
      </w:r>
      <w:r w:rsidR="00A76BD8" w:rsidRPr="00AF43A2">
        <w:rPr>
          <w:rFonts w:asciiTheme="minorHAnsi" w:hAnsiTheme="minorHAnsi" w:cstheme="minorHAnsi"/>
          <w:b/>
          <w:sz w:val="21"/>
        </w:rPr>
        <w:t>Transition Readiness Assessment</w:t>
      </w:r>
      <w:r w:rsidR="00B74DAA" w:rsidRPr="00AF43A2">
        <w:rPr>
          <w:rFonts w:asciiTheme="minorHAnsi" w:hAnsiTheme="minorHAnsi" w:cstheme="minorHAnsi"/>
          <w:b/>
          <w:sz w:val="21"/>
        </w:rPr>
        <w:t xml:space="preserve"> </w:t>
      </w:r>
      <w:r w:rsidR="00B74DAA" w:rsidRPr="00AF43A2">
        <w:rPr>
          <w:rFonts w:asciiTheme="minorHAnsi" w:hAnsiTheme="minorHAnsi" w:cstheme="minorHAnsi"/>
          <w:sz w:val="21"/>
        </w:rPr>
        <w:t>(if available)</w:t>
      </w:r>
      <w:r w:rsidR="00851B7F" w:rsidRPr="00AF43A2">
        <w:rPr>
          <w:rStyle w:val="af"/>
          <w:rFonts w:asciiTheme="minorHAnsi" w:hAnsiTheme="minorHAnsi" w:cstheme="minorHAnsi"/>
          <w:sz w:val="21"/>
        </w:rPr>
        <w:footnoteReference w:id="14"/>
      </w:r>
      <w:r w:rsidR="002B6A8E" w:rsidRPr="00AF43A2">
        <w:rPr>
          <w:rFonts w:asciiTheme="minorHAnsi" w:hAnsiTheme="minorHAnsi" w:cstheme="minorHAnsi"/>
          <w:sz w:val="21"/>
        </w:rPr>
        <w:t xml:space="preserve">. </w:t>
      </w:r>
      <w:bookmarkEnd w:id="14"/>
    </w:p>
    <w:p w14:paraId="0161FC03" w14:textId="7775A55B" w:rsidR="00485066" w:rsidRPr="00AF43A2" w:rsidRDefault="00485066" w:rsidP="000A0528">
      <w:pPr>
        <w:spacing w:after="0" w:line="240" w:lineRule="auto"/>
        <w:jc w:val="both"/>
        <w:rPr>
          <w:rFonts w:asciiTheme="minorHAnsi" w:hAnsiTheme="minorHAnsi" w:cstheme="minorHAnsi"/>
          <w:sz w:val="21"/>
        </w:rPr>
      </w:pPr>
    </w:p>
    <w:p w14:paraId="55B8BD21" w14:textId="465A4E4A" w:rsidR="00485066" w:rsidRPr="00AF43A2" w:rsidRDefault="007F71C3" w:rsidP="000A0528">
      <w:pPr>
        <w:pStyle w:val="21"/>
        <w:numPr>
          <w:ilvl w:val="0"/>
          <w:numId w:val="0"/>
        </w:numPr>
        <w:spacing w:before="0" w:after="0" w:line="240" w:lineRule="auto"/>
        <w:rPr>
          <w:rFonts w:asciiTheme="minorHAnsi" w:hAnsiTheme="minorHAnsi" w:cstheme="minorHAnsi"/>
          <w:shd w:val="clear" w:color="auto" w:fill="D9D9D9" w:themeFill="background1" w:themeFillShade="D9"/>
        </w:rPr>
      </w:pPr>
      <w:r w:rsidRPr="00AF43A2">
        <w:rPr>
          <w:rFonts w:asciiTheme="minorHAnsi" w:hAnsiTheme="minorHAnsi" w:cstheme="minorHAnsi"/>
          <w:shd w:val="clear" w:color="auto" w:fill="D9D9D9" w:themeFill="background1" w:themeFillShade="D9"/>
        </w:rPr>
        <w:t>3.1</w:t>
      </w:r>
      <w:r w:rsidRPr="00AF43A2">
        <w:rPr>
          <w:rFonts w:asciiTheme="minorHAnsi" w:hAnsiTheme="minorHAnsi" w:cstheme="minorHAnsi"/>
          <w:shd w:val="clear" w:color="auto" w:fill="D9D9D9" w:themeFill="background1" w:themeFillShade="D9"/>
        </w:rPr>
        <w:tab/>
      </w:r>
      <w:r w:rsidR="00485066" w:rsidRPr="00AF43A2">
        <w:rPr>
          <w:rFonts w:asciiTheme="minorHAnsi" w:hAnsiTheme="minorHAnsi" w:cstheme="minorHAnsi"/>
          <w:shd w:val="clear" w:color="auto" w:fill="D9D9D9" w:themeFill="background1" w:themeFillShade="D9"/>
        </w:rPr>
        <w:t>Co-Financing</w:t>
      </w:r>
    </w:p>
    <w:p w14:paraId="2B3C81E7" w14:textId="77777777" w:rsidR="00485066" w:rsidRPr="00AF43A2" w:rsidRDefault="00485066" w:rsidP="000A0528">
      <w:pPr>
        <w:pStyle w:val="affff3"/>
        <w:spacing w:after="0" w:line="240" w:lineRule="auto"/>
        <w:ind w:left="360"/>
        <w:jc w:val="both"/>
        <w:rPr>
          <w:rFonts w:asciiTheme="minorHAnsi" w:eastAsia="SimSun" w:hAnsiTheme="minorHAnsi" w:cstheme="minorHAnsi"/>
          <w:sz w:val="21"/>
          <w:szCs w:val="21"/>
          <w:lang w:eastAsia="zh-CN"/>
        </w:rPr>
      </w:pPr>
    </w:p>
    <w:p w14:paraId="63B6894F" w14:textId="71D3E1FB" w:rsidR="00485066" w:rsidRPr="00AF43A2" w:rsidRDefault="00485066" w:rsidP="000A0528">
      <w:pPr>
        <w:pStyle w:val="affff3"/>
        <w:numPr>
          <w:ilvl w:val="0"/>
          <w:numId w:val="19"/>
        </w:numPr>
        <w:spacing w:after="0" w:line="240" w:lineRule="auto"/>
        <w:ind w:left="360"/>
        <w:contextualSpacing w:val="0"/>
        <w:jc w:val="both"/>
        <w:rPr>
          <w:rFonts w:asciiTheme="minorHAnsi" w:eastAsia="SimSun" w:hAnsiTheme="minorHAnsi" w:cstheme="minorHAnsi"/>
          <w:sz w:val="21"/>
          <w:szCs w:val="21"/>
          <w:lang w:eastAsia="zh-CN"/>
        </w:rPr>
      </w:pPr>
      <w:r w:rsidRPr="00AF43A2">
        <w:rPr>
          <w:rFonts w:asciiTheme="minorHAnsi" w:eastAsia="Times New Roman" w:hAnsiTheme="minorHAnsi" w:cstheme="minorHAnsi"/>
          <w:sz w:val="21"/>
          <w:szCs w:val="21"/>
        </w:rPr>
        <w:t xml:space="preserve">Have </w:t>
      </w:r>
      <w:r w:rsidRPr="00AF43A2">
        <w:rPr>
          <w:rFonts w:asciiTheme="minorHAnsi" w:eastAsia="Times New Roman" w:hAnsiTheme="minorHAnsi" w:cstheme="minorHAnsi"/>
          <w:b/>
          <w:sz w:val="21"/>
          <w:szCs w:val="21"/>
        </w:rPr>
        <w:t>co-financing commitments</w:t>
      </w:r>
      <w:r w:rsidRPr="00AF43A2">
        <w:rPr>
          <w:rFonts w:asciiTheme="minorHAnsi" w:eastAsia="Times New Roman" w:hAnsiTheme="minorHAnsi" w:cstheme="minorHAnsi"/>
          <w:sz w:val="21"/>
          <w:szCs w:val="21"/>
        </w:rPr>
        <w:t xml:space="preserve"> for the </w:t>
      </w:r>
      <w:r w:rsidR="00A9213B" w:rsidRPr="00AF43A2">
        <w:rPr>
          <w:rFonts w:asciiTheme="minorHAnsi" w:eastAsia="Times New Roman" w:hAnsiTheme="minorHAnsi" w:cstheme="minorHAnsi"/>
          <w:b/>
          <w:sz w:val="21"/>
          <w:szCs w:val="21"/>
        </w:rPr>
        <w:t>current</w:t>
      </w:r>
      <w:r w:rsidRPr="00AF43A2">
        <w:rPr>
          <w:rFonts w:asciiTheme="minorHAnsi" w:eastAsia="Times New Roman" w:hAnsiTheme="minorHAnsi" w:cstheme="minorHAnsi"/>
          <w:sz w:val="21"/>
          <w:szCs w:val="21"/>
        </w:rPr>
        <w:t xml:space="preserve"> allocation period been reali</w:t>
      </w:r>
      <w:r w:rsidR="00B65B8B" w:rsidRPr="00AF43A2">
        <w:rPr>
          <w:rFonts w:asciiTheme="minorHAnsi" w:eastAsia="Times New Roman" w:hAnsiTheme="minorHAnsi" w:cstheme="minorHAnsi"/>
          <w:sz w:val="21"/>
          <w:szCs w:val="21"/>
        </w:rPr>
        <w:t>s</w:t>
      </w:r>
      <w:r w:rsidRPr="00AF43A2">
        <w:rPr>
          <w:rFonts w:asciiTheme="minorHAnsi" w:eastAsia="Times New Roman" w:hAnsiTheme="minorHAnsi" w:cstheme="minorHAnsi"/>
          <w:sz w:val="21"/>
          <w:szCs w:val="21"/>
        </w:rPr>
        <w:t>ed?</w:t>
      </w:r>
    </w:p>
    <w:p w14:paraId="416B2593" w14:textId="77777777" w:rsidR="00971DBD" w:rsidRPr="00AF43A2" w:rsidRDefault="00971DBD" w:rsidP="000A0528">
      <w:pPr>
        <w:pStyle w:val="affff3"/>
        <w:spacing w:after="0" w:line="240" w:lineRule="auto"/>
        <w:ind w:left="360"/>
        <w:contextualSpacing w:val="0"/>
        <w:jc w:val="both"/>
        <w:rPr>
          <w:rFonts w:asciiTheme="minorHAnsi" w:eastAsia="SimSun" w:hAnsiTheme="minorHAnsi" w:cstheme="minorHAnsi"/>
          <w:sz w:val="21"/>
          <w:szCs w:val="21"/>
          <w:lang w:eastAsia="zh-CN"/>
        </w:rPr>
      </w:pPr>
    </w:p>
    <w:p w14:paraId="6CBE9A2D" w14:textId="1852CCFF" w:rsidR="00485066" w:rsidRPr="00AF43A2" w:rsidRDefault="00946163" w:rsidP="000A0528">
      <w:pPr>
        <w:pStyle w:val="affff3"/>
        <w:spacing w:after="0" w:line="240" w:lineRule="auto"/>
        <w:ind w:left="360" w:firstLine="360"/>
        <w:contextualSpacing w:val="0"/>
        <w:jc w:val="both"/>
        <w:rPr>
          <w:rFonts w:asciiTheme="minorHAnsi" w:hAnsiTheme="minorHAnsi" w:cstheme="minorHAnsi"/>
          <w:bCs/>
          <w:iCs/>
          <w:sz w:val="21"/>
          <w:szCs w:val="21"/>
        </w:rPr>
      </w:pPr>
      <w:sdt>
        <w:sdtPr>
          <w:rPr>
            <w:rFonts w:asciiTheme="minorHAnsi" w:hAnsiTheme="minorHAnsi" w:cstheme="minorHAnsi"/>
            <w:b/>
            <w:bCs/>
            <w:iCs/>
            <w:sz w:val="21"/>
            <w:szCs w:val="21"/>
          </w:rPr>
          <w:id w:val="924852934"/>
          <w14:checkbox>
            <w14:checked w14:val="1"/>
            <w14:checkedState w14:val="2612" w14:font="MS Gothic"/>
            <w14:uncheckedState w14:val="2610" w14:font="MS Gothic"/>
          </w14:checkbox>
        </w:sdtPr>
        <w:sdtEndPr/>
        <w:sdtContent>
          <w:r w:rsidR="00DD47EB" w:rsidRPr="00AF43A2">
            <w:rPr>
              <w:rFonts w:ascii="Segoe UI Symbol" w:eastAsia="MS Gothic" w:hAnsi="Segoe UI Symbol" w:cs="Segoe UI Symbol"/>
              <w:b/>
              <w:bCs/>
              <w:iCs/>
              <w:sz w:val="21"/>
              <w:szCs w:val="21"/>
            </w:rPr>
            <w:t>☒</w:t>
          </w:r>
        </w:sdtContent>
      </w:sdt>
      <w:r w:rsidR="00485066" w:rsidRPr="00AF43A2">
        <w:rPr>
          <w:rFonts w:asciiTheme="minorHAnsi" w:hAnsiTheme="minorHAnsi" w:cstheme="minorHAnsi"/>
          <w:b/>
          <w:bCs/>
          <w:iCs/>
          <w:sz w:val="21"/>
          <w:szCs w:val="21"/>
        </w:rPr>
        <w:t xml:space="preserve"> Yes</w:t>
      </w:r>
      <w:r w:rsidR="00485066" w:rsidRPr="00AF43A2">
        <w:rPr>
          <w:rFonts w:asciiTheme="minorHAnsi" w:hAnsiTheme="minorHAnsi" w:cstheme="minorHAnsi"/>
          <w:bCs/>
          <w:iCs/>
          <w:sz w:val="21"/>
          <w:szCs w:val="21"/>
        </w:rPr>
        <w:t xml:space="preserve">         </w:t>
      </w:r>
      <w:sdt>
        <w:sdtPr>
          <w:rPr>
            <w:rFonts w:asciiTheme="minorHAnsi" w:hAnsiTheme="minorHAnsi" w:cstheme="minorHAnsi"/>
            <w:bCs/>
            <w:iCs/>
            <w:sz w:val="21"/>
            <w:szCs w:val="21"/>
          </w:rPr>
          <w:id w:val="1334948662"/>
          <w14:checkbox>
            <w14:checked w14:val="0"/>
            <w14:checkedState w14:val="2612" w14:font="MS Gothic"/>
            <w14:uncheckedState w14:val="2610" w14:font="MS Gothic"/>
          </w14:checkbox>
        </w:sdtPr>
        <w:sdtEndPr/>
        <w:sdtContent>
          <w:r w:rsidR="00485066" w:rsidRPr="00AF43A2">
            <w:rPr>
              <w:rFonts w:ascii="Segoe UI Symbol" w:hAnsi="Segoe UI Symbol" w:cs="Segoe UI Symbol"/>
              <w:bCs/>
              <w:iCs/>
              <w:sz w:val="21"/>
              <w:szCs w:val="21"/>
            </w:rPr>
            <w:t>☐</w:t>
          </w:r>
        </w:sdtContent>
      </w:sdt>
      <w:r w:rsidR="00485066" w:rsidRPr="00AF43A2">
        <w:rPr>
          <w:rFonts w:asciiTheme="minorHAnsi" w:hAnsiTheme="minorHAnsi" w:cstheme="minorHAnsi"/>
          <w:bCs/>
          <w:iCs/>
          <w:sz w:val="21"/>
          <w:szCs w:val="21"/>
        </w:rPr>
        <w:t xml:space="preserve"> No</w:t>
      </w:r>
    </w:p>
    <w:p w14:paraId="672DA190" w14:textId="77777777" w:rsidR="00485066" w:rsidRPr="00AF43A2" w:rsidRDefault="00485066" w:rsidP="000A0528">
      <w:pPr>
        <w:pStyle w:val="affff3"/>
        <w:spacing w:after="0" w:line="240" w:lineRule="auto"/>
        <w:ind w:left="996"/>
        <w:contextualSpacing w:val="0"/>
        <w:jc w:val="both"/>
        <w:rPr>
          <w:rFonts w:asciiTheme="minorHAnsi" w:eastAsia="Times New Roman" w:hAnsiTheme="minorHAnsi" w:cstheme="minorHAnsi"/>
          <w:sz w:val="21"/>
          <w:szCs w:val="21"/>
        </w:rPr>
      </w:pPr>
    </w:p>
    <w:p w14:paraId="5C9BFCD5" w14:textId="6A2895C5" w:rsidR="00485066" w:rsidRPr="00AF43A2" w:rsidRDefault="00485066" w:rsidP="000A0528">
      <w:pPr>
        <w:spacing w:after="0" w:line="240" w:lineRule="auto"/>
        <w:ind w:left="360"/>
        <w:jc w:val="both"/>
        <w:rPr>
          <w:rFonts w:asciiTheme="minorHAnsi" w:eastAsia="Times New Roman" w:hAnsiTheme="minorHAnsi" w:cstheme="minorHAnsi"/>
          <w:sz w:val="21"/>
          <w:szCs w:val="21"/>
        </w:rPr>
      </w:pPr>
      <w:r w:rsidRPr="00AF43A2">
        <w:rPr>
          <w:rFonts w:asciiTheme="minorHAnsi" w:eastAsia="Times New Roman" w:hAnsiTheme="minorHAnsi" w:cstheme="minorHAnsi"/>
          <w:sz w:val="21"/>
          <w:szCs w:val="21"/>
        </w:rPr>
        <w:t>If</w:t>
      </w:r>
      <w:r w:rsidRPr="00AF43A2">
        <w:rPr>
          <w:rFonts w:asciiTheme="minorHAnsi" w:eastAsia="Times New Roman" w:hAnsiTheme="minorHAnsi" w:cstheme="minorHAnsi"/>
          <w:b/>
          <w:sz w:val="21"/>
          <w:szCs w:val="21"/>
        </w:rPr>
        <w:t xml:space="preserve"> yes</w:t>
      </w:r>
      <w:r w:rsidRPr="00AF43A2">
        <w:rPr>
          <w:rFonts w:asciiTheme="minorHAnsi" w:eastAsia="Times New Roman" w:hAnsiTheme="minorHAnsi" w:cstheme="minorHAnsi"/>
          <w:sz w:val="21"/>
          <w:szCs w:val="21"/>
        </w:rPr>
        <w:t xml:space="preserve">, attach supporting documentation demonstrating the extent to which co-financing commitments have been met. </w:t>
      </w:r>
    </w:p>
    <w:p w14:paraId="1EBAE844" w14:textId="77777777" w:rsidR="00572198" w:rsidRPr="00AF43A2" w:rsidRDefault="00572198" w:rsidP="000A0528">
      <w:pPr>
        <w:spacing w:after="0" w:line="240" w:lineRule="auto"/>
        <w:rPr>
          <w:rFonts w:asciiTheme="minorHAnsi" w:eastAsia="Times New Roman" w:hAnsiTheme="minorHAnsi" w:cstheme="minorHAnsi"/>
          <w:sz w:val="21"/>
          <w:szCs w:val="21"/>
        </w:rPr>
      </w:pPr>
    </w:p>
    <w:tbl>
      <w:tblPr>
        <w:tblStyle w:val="aa"/>
        <w:tblW w:w="0" w:type="auto"/>
        <w:tblLook w:val="04A0" w:firstRow="1" w:lastRow="0" w:firstColumn="1" w:lastColumn="0" w:noHBand="0" w:noVBand="1"/>
      </w:tblPr>
      <w:tblGrid>
        <w:gridCol w:w="10456"/>
      </w:tblGrid>
      <w:tr w:rsidR="00485066" w:rsidRPr="00AF43A2" w14:paraId="1C80D382" w14:textId="77777777" w:rsidTr="005279BC">
        <w:tc>
          <w:tcPr>
            <w:tcW w:w="10790" w:type="dxa"/>
          </w:tcPr>
          <w:p w14:paraId="54F8EBEC" w14:textId="520699A2" w:rsidR="001453A0" w:rsidRPr="00AF43A2" w:rsidRDefault="003119C0" w:rsidP="000A0528">
            <w:pPr>
              <w:pStyle w:val="affff3"/>
              <w:numPr>
                <w:ilvl w:val="0"/>
                <w:numId w:val="42"/>
              </w:numPr>
              <w:spacing w:after="0" w:line="240" w:lineRule="auto"/>
              <w:ind w:left="319"/>
              <w:rPr>
                <w:rFonts w:asciiTheme="minorHAnsi" w:hAnsiTheme="minorHAnsi" w:cstheme="minorHAnsi"/>
                <w:b/>
                <w:color w:val="1E1E1E" w:themeColor="background2"/>
              </w:rPr>
            </w:pPr>
            <w:r w:rsidRPr="00AF43A2">
              <w:rPr>
                <w:rFonts w:asciiTheme="minorHAnsi" w:hAnsiTheme="minorHAnsi" w:cstheme="minorHAnsi"/>
                <w:b/>
                <w:color w:val="1E1E1E" w:themeColor="background2"/>
              </w:rPr>
              <w:t>S</w:t>
            </w:r>
            <w:r w:rsidR="001453A0" w:rsidRPr="00AF43A2">
              <w:rPr>
                <w:rFonts w:asciiTheme="minorHAnsi" w:hAnsiTheme="minorHAnsi" w:cstheme="minorHAnsi"/>
                <w:b/>
                <w:color w:val="1E1E1E" w:themeColor="background2"/>
              </w:rPr>
              <w:t>upporting documentation</w:t>
            </w:r>
            <w:r w:rsidRPr="00AF43A2">
              <w:rPr>
                <w:rFonts w:asciiTheme="minorHAnsi" w:hAnsiTheme="minorHAnsi" w:cstheme="minorHAnsi"/>
                <w:b/>
                <w:color w:val="1E1E1E" w:themeColor="background2"/>
              </w:rPr>
              <w:t xml:space="preserve"> attached</w:t>
            </w:r>
          </w:p>
          <w:p w14:paraId="789E483C" w14:textId="2CD07A84" w:rsidR="00485066" w:rsidRPr="00AF43A2" w:rsidRDefault="00EB022F" w:rsidP="000A0528">
            <w:pPr>
              <w:spacing w:after="0" w:line="240" w:lineRule="auto"/>
              <w:rPr>
                <w:rFonts w:asciiTheme="minorHAnsi" w:hAnsiTheme="minorHAnsi" w:cstheme="minorHAnsi"/>
              </w:rPr>
            </w:pPr>
            <w:r w:rsidRPr="00AF43A2">
              <w:rPr>
                <w:rFonts w:asciiTheme="minorHAnsi" w:hAnsiTheme="minorHAnsi" w:cstheme="minorHAnsi"/>
                <w:b/>
                <w:color w:val="1E1E1E" w:themeColor="background2"/>
              </w:rPr>
              <w:t xml:space="preserve"> </w:t>
            </w:r>
          </w:p>
        </w:tc>
      </w:tr>
    </w:tbl>
    <w:p w14:paraId="72E099AF" w14:textId="77777777" w:rsidR="00824D66" w:rsidRPr="00AF43A2" w:rsidRDefault="00824D66" w:rsidP="000A0528">
      <w:pPr>
        <w:pStyle w:val="affff3"/>
        <w:spacing w:after="0" w:line="240" w:lineRule="auto"/>
        <w:ind w:left="360"/>
        <w:jc w:val="both"/>
        <w:rPr>
          <w:rFonts w:asciiTheme="minorHAnsi" w:eastAsia="SimSun" w:hAnsiTheme="minorHAnsi" w:cstheme="minorHAnsi"/>
          <w:lang w:eastAsia="zh-CN"/>
        </w:rPr>
      </w:pPr>
    </w:p>
    <w:p w14:paraId="29B5683E" w14:textId="5AAEAB01" w:rsidR="00485066" w:rsidRPr="00AF43A2" w:rsidRDefault="00485066" w:rsidP="000A0528">
      <w:pPr>
        <w:pStyle w:val="affff3"/>
        <w:numPr>
          <w:ilvl w:val="0"/>
          <w:numId w:val="19"/>
        </w:numPr>
        <w:spacing w:after="0" w:line="240" w:lineRule="auto"/>
        <w:ind w:left="360"/>
        <w:jc w:val="both"/>
        <w:rPr>
          <w:rFonts w:asciiTheme="minorHAnsi" w:eastAsia="SimSun" w:hAnsiTheme="minorHAnsi" w:cstheme="minorHAnsi"/>
          <w:lang w:eastAsia="zh-CN"/>
        </w:rPr>
      </w:pPr>
      <w:r w:rsidRPr="00AF43A2">
        <w:rPr>
          <w:rFonts w:asciiTheme="minorHAnsi" w:eastAsia="Times New Roman" w:hAnsiTheme="minorHAnsi" w:cstheme="minorHAnsi"/>
        </w:rPr>
        <w:t xml:space="preserve">Do </w:t>
      </w:r>
      <w:r w:rsidRPr="00AF43A2">
        <w:rPr>
          <w:rFonts w:asciiTheme="minorHAnsi" w:eastAsia="Times New Roman" w:hAnsiTheme="minorHAnsi" w:cstheme="minorHAnsi"/>
          <w:b/>
        </w:rPr>
        <w:t xml:space="preserve">co-financing commitments </w:t>
      </w:r>
      <w:r w:rsidRPr="00AF43A2">
        <w:rPr>
          <w:rFonts w:asciiTheme="minorHAnsi" w:eastAsia="Times New Roman" w:hAnsiTheme="minorHAnsi" w:cstheme="minorHAnsi"/>
        </w:rPr>
        <w:t xml:space="preserve">for the </w:t>
      </w:r>
      <w:r w:rsidR="00A9213B" w:rsidRPr="00AF43A2">
        <w:rPr>
          <w:rFonts w:asciiTheme="minorHAnsi" w:eastAsia="Times New Roman" w:hAnsiTheme="minorHAnsi" w:cstheme="minorHAnsi"/>
          <w:b/>
        </w:rPr>
        <w:t>next</w:t>
      </w:r>
      <w:r w:rsidRPr="00AF43A2">
        <w:rPr>
          <w:rFonts w:asciiTheme="minorHAnsi" w:eastAsia="Times New Roman" w:hAnsiTheme="minorHAnsi" w:cstheme="minorHAnsi"/>
        </w:rPr>
        <w:t xml:space="preserve"> allocation period meet minimum requirements to fully access the co-financing incentive? </w:t>
      </w:r>
    </w:p>
    <w:p w14:paraId="79E3371A" w14:textId="77777777" w:rsidR="00971DBD" w:rsidRPr="00AF43A2" w:rsidRDefault="00971DBD" w:rsidP="000A0528">
      <w:pPr>
        <w:pStyle w:val="affff3"/>
        <w:spacing w:after="0" w:line="240" w:lineRule="auto"/>
        <w:ind w:left="360"/>
        <w:jc w:val="both"/>
        <w:rPr>
          <w:rFonts w:asciiTheme="minorHAnsi" w:eastAsia="SimSun" w:hAnsiTheme="minorHAnsi" w:cstheme="minorHAnsi"/>
          <w:lang w:eastAsia="zh-CN"/>
        </w:rPr>
      </w:pPr>
    </w:p>
    <w:p w14:paraId="2F6CCEEB" w14:textId="66D04AF8" w:rsidR="00485066" w:rsidRPr="00AF43A2" w:rsidRDefault="00946163" w:rsidP="000A0528">
      <w:pPr>
        <w:pStyle w:val="affff3"/>
        <w:spacing w:after="0" w:line="240" w:lineRule="auto"/>
        <w:ind w:left="360" w:firstLine="360"/>
        <w:jc w:val="both"/>
        <w:rPr>
          <w:rFonts w:asciiTheme="minorHAnsi" w:hAnsiTheme="minorHAnsi" w:cstheme="minorHAnsi"/>
          <w:bCs/>
          <w:iCs/>
        </w:rPr>
      </w:pPr>
      <w:sdt>
        <w:sdtPr>
          <w:rPr>
            <w:rFonts w:asciiTheme="minorHAnsi" w:hAnsiTheme="minorHAnsi" w:cstheme="minorHAnsi"/>
            <w:b/>
            <w:bCs/>
            <w:iCs/>
          </w:rPr>
          <w:id w:val="-1936279169"/>
          <w14:checkbox>
            <w14:checked w14:val="1"/>
            <w14:checkedState w14:val="2612" w14:font="MS Gothic"/>
            <w14:uncheckedState w14:val="2610" w14:font="MS Gothic"/>
          </w14:checkbox>
        </w:sdtPr>
        <w:sdtEndPr/>
        <w:sdtContent>
          <w:r w:rsidR="007F71C3" w:rsidRPr="00AF43A2">
            <w:rPr>
              <w:rFonts w:ascii="Segoe UI Symbol" w:eastAsia="MS Gothic" w:hAnsi="Segoe UI Symbol" w:cs="Segoe UI Symbol"/>
              <w:b/>
              <w:bCs/>
              <w:iCs/>
            </w:rPr>
            <w:t>☒</w:t>
          </w:r>
        </w:sdtContent>
      </w:sdt>
      <w:r w:rsidR="00485066" w:rsidRPr="00AF43A2">
        <w:rPr>
          <w:rFonts w:asciiTheme="minorHAnsi" w:hAnsiTheme="minorHAnsi" w:cstheme="minorHAnsi"/>
          <w:b/>
          <w:bCs/>
          <w:iCs/>
        </w:rPr>
        <w:t xml:space="preserve"> Yes</w:t>
      </w:r>
      <w:r w:rsidR="00485066" w:rsidRPr="00AF43A2">
        <w:rPr>
          <w:rFonts w:asciiTheme="minorHAnsi" w:hAnsiTheme="minorHAnsi" w:cstheme="minorHAnsi"/>
          <w:bCs/>
          <w:iCs/>
        </w:rPr>
        <w:t xml:space="preserve">         </w:t>
      </w:r>
      <w:sdt>
        <w:sdtPr>
          <w:rPr>
            <w:rFonts w:asciiTheme="minorHAnsi" w:hAnsiTheme="minorHAnsi" w:cstheme="minorHAnsi"/>
            <w:bCs/>
            <w:iCs/>
          </w:rPr>
          <w:id w:val="-1870989213"/>
          <w14:checkbox>
            <w14:checked w14:val="0"/>
            <w14:checkedState w14:val="2612" w14:font="MS Gothic"/>
            <w14:uncheckedState w14:val="2610" w14:font="MS Gothic"/>
          </w14:checkbox>
        </w:sdtPr>
        <w:sdtEndPr/>
        <w:sdtContent>
          <w:r w:rsidR="00485066" w:rsidRPr="00AF43A2">
            <w:rPr>
              <w:rFonts w:ascii="Segoe UI Symbol" w:hAnsi="Segoe UI Symbol" w:cs="Segoe UI Symbol"/>
              <w:bCs/>
              <w:iCs/>
            </w:rPr>
            <w:t>☐</w:t>
          </w:r>
        </w:sdtContent>
      </w:sdt>
      <w:r w:rsidR="00485066" w:rsidRPr="00AF43A2">
        <w:rPr>
          <w:rFonts w:asciiTheme="minorHAnsi" w:hAnsiTheme="minorHAnsi" w:cstheme="minorHAnsi"/>
          <w:bCs/>
          <w:iCs/>
        </w:rPr>
        <w:t xml:space="preserve"> No</w:t>
      </w:r>
    </w:p>
    <w:p w14:paraId="7C4AD047" w14:textId="77777777" w:rsidR="00485066" w:rsidRPr="00AF43A2" w:rsidRDefault="00485066" w:rsidP="000A0528">
      <w:pPr>
        <w:spacing w:after="0" w:line="240" w:lineRule="auto"/>
        <w:ind w:hanging="360"/>
        <w:rPr>
          <w:rFonts w:asciiTheme="minorHAnsi" w:hAnsiTheme="minorHAnsi" w:cstheme="minorHAnsi"/>
          <w:bCs/>
          <w:iCs/>
        </w:rPr>
      </w:pPr>
    </w:p>
    <w:p w14:paraId="5CB92519" w14:textId="67EA2AA1" w:rsidR="00AA45C3" w:rsidRPr="00AF43A2" w:rsidRDefault="00485066" w:rsidP="000A0528">
      <w:pPr>
        <w:spacing w:after="0" w:line="240" w:lineRule="auto"/>
        <w:ind w:left="270"/>
        <w:jc w:val="both"/>
        <w:rPr>
          <w:rFonts w:asciiTheme="minorHAnsi" w:hAnsiTheme="minorHAnsi" w:cstheme="minorHAnsi"/>
        </w:rPr>
      </w:pPr>
      <w:r w:rsidRPr="00AF43A2">
        <w:rPr>
          <w:rFonts w:asciiTheme="minorHAnsi" w:hAnsiTheme="minorHAnsi" w:cstheme="minorHAnsi"/>
        </w:rPr>
        <w:t xml:space="preserve">If details on commitments are available, attach supporting documentation demonstrating </w:t>
      </w:r>
      <w:r w:rsidR="00572198" w:rsidRPr="00AF43A2">
        <w:rPr>
          <w:rFonts w:asciiTheme="minorHAnsi" w:hAnsiTheme="minorHAnsi" w:cstheme="minorHAnsi"/>
        </w:rPr>
        <w:t>the</w:t>
      </w:r>
      <w:r w:rsidR="00D74BD8" w:rsidRPr="00AF43A2">
        <w:rPr>
          <w:rFonts w:asciiTheme="minorHAnsi" w:hAnsiTheme="minorHAnsi" w:cstheme="minorHAnsi"/>
        </w:rPr>
        <w:t xml:space="preserve"> extent to which co-financing commitments have been made</w:t>
      </w:r>
      <w:r w:rsidRPr="00AF43A2">
        <w:rPr>
          <w:rFonts w:asciiTheme="minorHAnsi" w:hAnsiTheme="minorHAnsi" w:cstheme="minorHAnsi"/>
        </w:rPr>
        <w:t xml:space="preserve">. </w:t>
      </w:r>
    </w:p>
    <w:p w14:paraId="787661BA" w14:textId="16B1E38C" w:rsidR="00485066" w:rsidRPr="00AF43A2" w:rsidRDefault="00485066" w:rsidP="000A0528">
      <w:pPr>
        <w:spacing w:after="0" w:line="240" w:lineRule="auto"/>
        <w:ind w:left="270"/>
        <w:rPr>
          <w:rFonts w:asciiTheme="minorHAnsi" w:eastAsia="Times New Roman" w:hAnsiTheme="minorHAnsi" w:cstheme="minorHAnsi"/>
        </w:rPr>
      </w:pPr>
      <w:r w:rsidRPr="00AF43A2">
        <w:rPr>
          <w:rFonts w:asciiTheme="minorHAnsi" w:hAnsiTheme="minorHAnsi" w:cstheme="minorHAnsi"/>
          <w:bCs/>
          <w:iCs/>
        </w:rPr>
        <w:t>If co-financing commitments do not meet minimum requirements, explain why</w:t>
      </w:r>
      <w:r w:rsidR="00AA45C3" w:rsidRPr="00AF43A2">
        <w:rPr>
          <w:rFonts w:asciiTheme="minorHAnsi" w:eastAsia="Times New Roman" w:hAnsiTheme="minorHAnsi" w:cstheme="minorHAnsi"/>
        </w:rPr>
        <w:t>.</w:t>
      </w:r>
    </w:p>
    <w:p w14:paraId="0DCE7091" w14:textId="77777777" w:rsidR="00BE0F0C" w:rsidRPr="00AF43A2" w:rsidRDefault="00BE0F0C" w:rsidP="000A0528">
      <w:pPr>
        <w:spacing w:after="0" w:line="240" w:lineRule="auto"/>
        <w:rPr>
          <w:rFonts w:asciiTheme="minorHAnsi" w:eastAsia="Times New Roman" w:hAnsiTheme="minorHAnsi" w:cstheme="minorHAnsi"/>
        </w:rPr>
      </w:pPr>
    </w:p>
    <w:tbl>
      <w:tblPr>
        <w:tblStyle w:val="aa"/>
        <w:tblW w:w="0" w:type="auto"/>
        <w:tblLook w:val="04A0" w:firstRow="1" w:lastRow="0" w:firstColumn="1" w:lastColumn="0" w:noHBand="0" w:noVBand="1"/>
      </w:tblPr>
      <w:tblGrid>
        <w:gridCol w:w="10456"/>
      </w:tblGrid>
      <w:tr w:rsidR="00485066" w:rsidRPr="00AF43A2" w14:paraId="0FCF80E9" w14:textId="77777777" w:rsidTr="005279BC">
        <w:tc>
          <w:tcPr>
            <w:tcW w:w="10790" w:type="dxa"/>
          </w:tcPr>
          <w:p w14:paraId="7DD06C4C" w14:textId="77777777" w:rsidR="003119C0" w:rsidRPr="00AF43A2" w:rsidRDefault="003119C0" w:rsidP="000A0528">
            <w:pPr>
              <w:pStyle w:val="affff3"/>
              <w:numPr>
                <w:ilvl w:val="0"/>
                <w:numId w:val="42"/>
              </w:numPr>
              <w:spacing w:after="0" w:line="240" w:lineRule="auto"/>
              <w:ind w:left="319"/>
              <w:rPr>
                <w:rFonts w:asciiTheme="minorHAnsi" w:hAnsiTheme="minorHAnsi" w:cstheme="minorHAnsi"/>
                <w:b/>
                <w:color w:val="1E1E1E" w:themeColor="background2"/>
              </w:rPr>
            </w:pPr>
            <w:r w:rsidRPr="00AF43A2">
              <w:rPr>
                <w:rFonts w:asciiTheme="minorHAnsi" w:hAnsiTheme="minorHAnsi" w:cstheme="minorHAnsi"/>
                <w:b/>
                <w:color w:val="1E1E1E" w:themeColor="background2"/>
              </w:rPr>
              <w:t>Supporting documentation attached</w:t>
            </w:r>
          </w:p>
          <w:p w14:paraId="6B461523" w14:textId="77777777" w:rsidR="00485066" w:rsidRPr="00AF43A2" w:rsidRDefault="00485066" w:rsidP="000A0528">
            <w:pPr>
              <w:spacing w:after="0" w:line="240" w:lineRule="auto"/>
              <w:rPr>
                <w:rFonts w:asciiTheme="minorHAnsi" w:hAnsiTheme="minorHAnsi" w:cstheme="minorHAnsi"/>
              </w:rPr>
            </w:pPr>
          </w:p>
        </w:tc>
      </w:tr>
    </w:tbl>
    <w:p w14:paraId="6621B9C8" w14:textId="77777777" w:rsidR="00824D66" w:rsidRPr="00AF43A2" w:rsidRDefault="00824D66" w:rsidP="000A0528">
      <w:pPr>
        <w:pStyle w:val="affff3"/>
        <w:spacing w:after="0" w:line="240" w:lineRule="auto"/>
        <w:ind w:left="0"/>
        <w:jc w:val="both"/>
        <w:rPr>
          <w:rFonts w:asciiTheme="minorHAnsi" w:eastAsia="Times New Roman" w:hAnsiTheme="minorHAnsi" w:cstheme="minorHAnsi"/>
        </w:rPr>
      </w:pPr>
    </w:p>
    <w:p w14:paraId="29850E31" w14:textId="494D5E0C" w:rsidR="002B6A8E" w:rsidRPr="00AF43A2" w:rsidRDefault="00F112AD" w:rsidP="000A0528">
      <w:pPr>
        <w:pStyle w:val="affff3"/>
        <w:numPr>
          <w:ilvl w:val="0"/>
          <w:numId w:val="19"/>
        </w:numPr>
        <w:spacing w:after="0" w:line="240" w:lineRule="auto"/>
        <w:ind w:left="360"/>
        <w:jc w:val="both"/>
        <w:rPr>
          <w:rFonts w:asciiTheme="minorHAnsi" w:hAnsiTheme="minorHAnsi" w:cstheme="minorHAnsi"/>
          <w:b/>
        </w:rPr>
      </w:pPr>
      <w:r w:rsidRPr="00AF43A2">
        <w:rPr>
          <w:rFonts w:asciiTheme="minorHAnsi" w:eastAsia="Times New Roman" w:hAnsiTheme="minorHAnsi" w:cstheme="minorHAnsi"/>
        </w:rPr>
        <w:t>Summari</w:t>
      </w:r>
      <w:r w:rsidR="005F0694" w:rsidRPr="00AF43A2">
        <w:rPr>
          <w:rFonts w:asciiTheme="minorHAnsi" w:eastAsia="Times New Roman" w:hAnsiTheme="minorHAnsi" w:cstheme="minorHAnsi"/>
        </w:rPr>
        <w:t>s</w:t>
      </w:r>
      <w:r w:rsidRPr="00AF43A2">
        <w:rPr>
          <w:rFonts w:asciiTheme="minorHAnsi" w:eastAsia="Times New Roman" w:hAnsiTheme="minorHAnsi" w:cstheme="minorHAnsi"/>
        </w:rPr>
        <w:t>e</w:t>
      </w:r>
      <w:r w:rsidR="002B6A8E" w:rsidRPr="00AF43A2">
        <w:rPr>
          <w:rFonts w:asciiTheme="minorHAnsi" w:hAnsiTheme="minorHAnsi" w:cstheme="minorHAnsi"/>
        </w:rPr>
        <w:t xml:space="preserve"> the </w:t>
      </w:r>
      <w:r w:rsidR="002B6A8E" w:rsidRPr="00AF43A2">
        <w:rPr>
          <w:rFonts w:asciiTheme="minorHAnsi" w:hAnsiTheme="minorHAnsi" w:cstheme="minorHAnsi"/>
          <w:b/>
        </w:rPr>
        <w:t>programmatic areas</w:t>
      </w:r>
      <w:r w:rsidR="002B6A8E" w:rsidRPr="00AF43A2">
        <w:rPr>
          <w:rFonts w:asciiTheme="minorHAnsi" w:hAnsiTheme="minorHAnsi" w:cstheme="minorHAnsi"/>
        </w:rPr>
        <w:t xml:space="preserve"> to be supported by domestic co-financing in the </w:t>
      </w:r>
      <w:r w:rsidR="00A9213B" w:rsidRPr="00AF43A2">
        <w:rPr>
          <w:rFonts w:asciiTheme="minorHAnsi" w:hAnsiTheme="minorHAnsi" w:cstheme="minorHAnsi"/>
        </w:rPr>
        <w:t>next</w:t>
      </w:r>
      <w:r w:rsidR="002B6A8E" w:rsidRPr="00AF43A2">
        <w:rPr>
          <w:rFonts w:asciiTheme="minorHAnsi" w:hAnsiTheme="minorHAnsi" w:cstheme="minorHAnsi"/>
        </w:rPr>
        <w:t xml:space="preserve"> </w:t>
      </w:r>
      <w:r w:rsidR="00B2724B" w:rsidRPr="00AF43A2">
        <w:rPr>
          <w:rFonts w:asciiTheme="minorHAnsi" w:hAnsiTheme="minorHAnsi" w:cstheme="minorHAnsi"/>
        </w:rPr>
        <w:t>allocation period</w:t>
      </w:r>
      <w:r w:rsidR="002B6A8E" w:rsidRPr="00AF43A2">
        <w:rPr>
          <w:rFonts w:asciiTheme="minorHAnsi" w:hAnsiTheme="minorHAnsi" w:cstheme="minorHAnsi"/>
        </w:rPr>
        <w:t>. In particular:</w:t>
      </w:r>
    </w:p>
    <w:p w14:paraId="73CA0F2F" w14:textId="6A7D2EB5" w:rsidR="002B6A8E" w:rsidRPr="00AF43A2" w:rsidRDefault="00D74BD8" w:rsidP="000A0528">
      <w:pPr>
        <w:pStyle w:val="affff3"/>
        <w:spacing w:after="0" w:line="240" w:lineRule="auto"/>
        <w:ind w:left="900" w:hanging="180"/>
        <w:rPr>
          <w:rFonts w:asciiTheme="minorHAnsi" w:hAnsiTheme="minorHAnsi" w:cstheme="minorHAnsi"/>
        </w:rPr>
      </w:pPr>
      <w:r w:rsidRPr="00AF43A2">
        <w:rPr>
          <w:rFonts w:asciiTheme="minorHAnsi" w:hAnsiTheme="minorHAnsi" w:cstheme="minorHAnsi"/>
        </w:rPr>
        <w:t xml:space="preserve">i. </w:t>
      </w:r>
      <w:r w:rsidR="002B6A8E" w:rsidRPr="00AF43A2">
        <w:rPr>
          <w:rFonts w:asciiTheme="minorHAnsi" w:hAnsiTheme="minorHAnsi" w:cstheme="minorHAnsi"/>
        </w:rPr>
        <w:t>The financing of key program</w:t>
      </w:r>
      <w:r w:rsidR="005F0694" w:rsidRPr="00AF43A2">
        <w:rPr>
          <w:rFonts w:asciiTheme="minorHAnsi" w:hAnsiTheme="minorHAnsi" w:cstheme="minorHAnsi"/>
        </w:rPr>
        <w:t>me</w:t>
      </w:r>
      <w:r w:rsidR="002B6A8E" w:rsidRPr="00AF43A2">
        <w:rPr>
          <w:rFonts w:asciiTheme="minorHAnsi" w:hAnsiTheme="minorHAnsi" w:cstheme="minorHAnsi"/>
        </w:rPr>
        <w:t xml:space="preserve"> costs of national disease plans and/or health systems; </w:t>
      </w:r>
    </w:p>
    <w:p w14:paraId="29B56E3E" w14:textId="6E5238D1" w:rsidR="002B6A8E" w:rsidRPr="00AF43A2" w:rsidRDefault="00D74BD8" w:rsidP="000A0528">
      <w:pPr>
        <w:pStyle w:val="affff3"/>
        <w:spacing w:after="0" w:line="240" w:lineRule="auto"/>
        <w:ind w:left="900" w:hanging="180"/>
        <w:rPr>
          <w:rFonts w:asciiTheme="minorHAnsi" w:hAnsiTheme="minorHAnsi" w:cstheme="minorHAnsi"/>
        </w:rPr>
      </w:pPr>
      <w:r w:rsidRPr="00AF43A2">
        <w:rPr>
          <w:rFonts w:asciiTheme="minorHAnsi" w:hAnsiTheme="minorHAnsi" w:cstheme="minorHAnsi"/>
        </w:rPr>
        <w:t xml:space="preserve">ii. </w:t>
      </w:r>
      <w:r w:rsidR="002B6A8E" w:rsidRPr="00AF43A2">
        <w:rPr>
          <w:rFonts w:asciiTheme="minorHAnsi" w:hAnsiTheme="minorHAnsi" w:cstheme="minorHAnsi"/>
        </w:rPr>
        <w:t xml:space="preserve">The planned uptake of interventions </w:t>
      </w:r>
      <w:r w:rsidR="0020615A" w:rsidRPr="00AF43A2">
        <w:rPr>
          <w:rFonts w:asciiTheme="minorHAnsi" w:hAnsiTheme="minorHAnsi" w:cstheme="minorHAnsi"/>
        </w:rPr>
        <w:t>currently</w:t>
      </w:r>
      <w:r w:rsidR="002B6A8E" w:rsidRPr="00AF43A2">
        <w:rPr>
          <w:rFonts w:asciiTheme="minorHAnsi" w:hAnsiTheme="minorHAnsi" w:cstheme="minorHAnsi"/>
        </w:rPr>
        <w:t xml:space="preserve"> funded by the Global Fund.</w:t>
      </w:r>
    </w:p>
    <w:p w14:paraId="6EB1F60E" w14:textId="77777777" w:rsidR="00172EDE" w:rsidRPr="00AF43A2" w:rsidRDefault="00172EDE" w:rsidP="000A0528">
      <w:pPr>
        <w:pStyle w:val="affff3"/>
        <w:spacing w:after="0" w:line="240" w:lineRule="auto"/>
        <w:ind w:left="360"/>
        <w:jc w:val="both"/>
        <w:rPr>
          <w:rFonts w:asciiTheme="minorHAnsi" w:hAnsiTheme="minorHAnsi" w:cstheme="minorHAnsi"/>
        </w:rPr>
      </w:pPr>
    </w:p>
    <w:tbl>
      <w:tblPr>
        <w:tblStyle w:val="aa"/>
        <w:tblW w:w="0" w:type="auto"/>
        <w:tblLook w:val="04A0" w:firstRow="1" w:lastRow="0" w:firstColumn="1" w:lastColumn="0" w:noHBand="0" w:noVBand="1"/>
      </w:tblPr>
      <w:tblGrid>
        <w:gridCol w:w="10456"/>
      </w:tblGrid>
      <w:tr w:rsidR="00172EDE" w:rsidRPr="00AF43A2" w14:paraId="7E3DB7D8" w14:textId="77777777" w:rsidTr="00402870">
        <w:tc>
          <w:tcPr>
            <w:tcW w:w="10790" w:type="dxa"/>
          </w:tcPr>
          <w:p w14:paraId="74B1CC59" w14:textId="77777777" w:rsidR="006B086D" w:rsidRPr="00AF43A2" w:rsidRDefault="006B086D" w:rsidP="000A0528">
            <w:pPr>
              <w:spacing w:after="0" w:line="240" w:lineRule="auto"/>
              <w:rPr>
                <w:rFonts w:eastAsia="Calibri" w:cs="Arial"/>
                <w:b/>
                <w:i/>
                <w:sz w:val="21"/>
                <w:szCs w:val="21"/>
                <w:lang w:val="en-GB"/>
              </w:rPr>
            </w:pPr>
            <w:r w:rsidRPr="00AF43A2">
              <w:rPr>
                <w:rFonts w:eastAsia="Calibri" w:cs="Arial"/>
                <w:b/>
                <w:i/>
                <w:sz w:val="21"/>
                <w:szCs w:val="21"/>
                <w:lang w:val="en-GB"/>
              </w:rPr>
              <w:t>i. The financing of key programme costs of national disease plans and/or health systems:</w:t>
            </w:r>
          </w:p>
          <w:p w14:paraId="63F9760E" w14:textId="6C9FD6C6" w:rsidR="006B086D" w:rsidRPr="00AF43A2" w:rsidRDefault="006716DB" w:rsidP="000A0528">
            <w:pPr>
              <w:spacing w:after="0" w:line="240" w:lineRule="auto"/>
              <w:rPr>
                <w:rFonts w:eastAsia="Calibri" w:cs="Arial"/>
                <w:sz w:val="21"/>
                <w:szCs w:val="21"/>
                <w:lang w:val="en-GB"/>
              </w:rPr>
            </w:pPr>
            <w:r w:rsidRPr="00AF43A2">
              <w:rPr>
                <w:rFonts w:eastAsia="Calibri" w:cs="Arial"/>
                <w:sz w:val="21"/>
                <w:szCs w:val="21"/>
                <w:lang w:val="en-GB"/>
              </w:rPr>
              <w:t>Kazakhstan will increase State funding for national health from 3.3% currently to 4.7% of GDP by the end of 2023. The Government is also increasing salaries of all health workers to ensure that the country moves faster to free public health care for all services.</w:t>
            </w:r>
          </w:p>
          <w:p w14:paraId="7432DD83" w14:textId="28B4F254" w:rsidR="006B086D" w:rsidRPr="00AF43A2" w:rsidRDefault="006716DB" w:rsidP="000A0528">
            <w:pPr>
              <w:spacing w:after="0" w:line="240" w:lineRule="auto"/>
              <w:ind w:firstLine="284"/>
              <w:jc w:val="both"/>
              <w:rPr>
                <w:rFonts w:eastAsia="Calibri" w:cs="Arial"/>
                <w:color w:val="1E1E1E" w:themeColor="background2"/>
                <w:sz w:val="21"/>
                <w:szCs w:val="21"/>
                <w:lang w:val="en-GB"/>
              </w:rPr>
            </w:pPr>
            <w:r w:rsidRPr="00AF43A2">
              <w:rPr>
                <w:rFonts w:eastAsia="Calibri" w:cs="Arial"/>
                <w:sz w:val="21"/>
                <w:szCs w:val="21"/>
                <w:lang w:val="en-GB"/>
              </w:rPr>
              <w:t xml:space="preserve">State finance already covers 95% of the HIV national response. This covers most care and treatment-related services, testing, as well as outreach workers for KPs and PLHIV based at AIDS Centres. </w:t>
            </w:r>
            <w:r w:rsidR="006B086D" w:rsidRPr="00AF43A2">
              <w:rPr>
                <w:rFonts w:eastAsia="Calibri" w:cs="Arial"/>
                <w:sz w:val="21"/>
                <w:szCs w:val="21"/>
                <w:lang w:val="en-GB"/>
              </w:rPr>
              <w:t>A gradual increase in State co-financing will be a cross-cutting aim throughout the funding request: the main reason for requesting G</w:t>
            </w:r>
            <w:r w:rsidR="00E2077D" w:rsidRPr="00AF43A2">
              <w:rPr>
                <w:rFonts w:eastAsia="Calibri" w:cs="Arial"/>
                <w:sz w:val="21"/>
                <w:szCs w:val="21"/>
                <w:lang w:val="en-GB"/>
              </w:rPr>
              <w:t xml:space="preserve">lobal </w:t>
            </w:r>
            <w:r w:rsidR="006B086D" w:rsidRPr="00AF43A2">
              <w:rPr>
                <w:rFonts w:eastAsia="Calibri" w:cs="Arial"/>
                <w:sz w:val="21"/>
                <w:szCs w:val="21"/>
                <w:lang w:val="en-GB"/>
              </w:rPr>
              <w:t>F</w:t>
            </w:r>
            <w:r w:rsidR="00E2077D" w:rsidRPr="00AF43A2">
              <w:rPr>
                <w:rFonts w:eastAsia="Calibri" w:cs="Arial"/>
                <w:sz w:val="21"/>
                <w:szCs w:val="21"/>
                <w:lang w:val="en-GB"/>
              </w:rPr>
              <w:t>und</w:t>
            </w:r>
            <w:r w:rsidR="006B086D" w:rsidRPr="00AF43A2">
              <w:rPr>
                <w:rFonts w:eastAsia="Calibri" w:cs="Arial"/>
                <w:sz w:val="21"/>
                <w:szCs w:val="21"/>
                <w:lang w:val="en-GB"/>
              </w:rPr>
              <w:t xml:space="preserve"> support for procurement, is that this is often related to: </w:t>
            </w:r>
            <w:r w:rsidR="00CB6552" w:rsidRPr="00AF43A2">
              <w:rPr>
                <w:rFonts w:eastAsia="Calibri" w:cs="Arial"/>
                <w:b/>
                <w:i/>
                <w:sz w:val="21"/>
                <w:szCs w:val="21"/>
                <w:lang w:val="en-GB"/>
              </w:rPr>
              <w:t>i</w:t>
            </w:r>
            <w:r w:rsidR="006B086D" w:rsidRPr="00AF43A2">
              <w:rPr>
                <w:rFonts w:eastAsia="Calibri" w:cs="Arial"/>
                <w:b/>
                <w:i/>
                <w:sz w:val="21"/>
                <w:szCs w:val="21"/>
                <w:lang w:val="en-GB"/>
              </w:rPr>
              <w:t>) new or innovative interventions</w:t>
            </w:r>
            <w:r w:rsidR="006B086D" w:rsidRPr="00AF43A2">
              <w:rPr>
                <w:rFonts w:eastAsia="Calibri" w:cs="Arial"/>
                <w:sz w:val="21"/>
                <w:szCs w:val="21"/>
                <w:lang w:val="en-GB"/>
              </w:rPr>
              <w:t xml:space="preserve">, for which short-term GF </w:t>
            </w:r>
            <w:r w:rsidR="006B086D" w:rsidRPr="00AF43A2">
              <w:rPr>
                <w:rFonts w:eastAsia="Calibri" w:cs="Arial"/>
                <w:color w:val="1E1E1E" w:themeColor="background2"/>
                <w:sz w:val="21"/>
                <w:szCs w:val="21"/>
                <w:lang w:val="en-GB"/>
              </w:rPr>
              <w:t xml:space="preserve">support will help speed up implementation; </w:t>
            </w:r>
            <w:r w:rsidR="001D59A3" w:rsidRPr="00AF43A2">
              <w:rPr>
                <w:rFonts w:eastAsia="Calibri" w:cs="Arial"/>
                <w:b/>
                <w:i/>
                <w:color w:val="1E1E1E" w:themeColor="background2"/>
                <w:sz w:val="21"/>
                <w:szCs w:val="21"/>
                <w:lang w:val="en-GB"/>
              </w:rPr>
              <w:t xml:space="preserve">ii) Current procurement rules </w:t>
            </w:r>
            <w:r w:rsidR="001D59A3" w:rsidRPr="00AF43A2">
              <w:rPr>
                <w:rFonts w:eastAsia="Calibri" w:cs="Arial"/>
                <w:color w:val="1E1E1E" w:themeColor="background2"/>
                <w:sz w:val="21"/>
                <w:szCs w:val="21"/>
                <w:lang w:val="en-GB"/>
              </w:rPr>
              <w:t xml:space="preserve">where Regions are responsible for procurement, and which do not allow procurement at the central level; </w:t>
            </w:r>
            <w:r w:rsidR="006B086D" w:rsidRPr="00AF43A2">
              <w:rPr>
                <w:rFonts w:eastAsia="Calibri" w:cs="Arial"/>
                <w:b/>
                <w:i/>
                <w:color w:val="1E1E1E" w:themeColor="background2"/>
                <w:sz w:val="21"/>
                <w:szCs w:val="21"/>
                <w:lang w:val="en-GB"/>
              </w:rPr>
              <w:t>i</w:t>
            </w:r>
            <w:r w:rsidR="001D59A3" w:rsidRPr="00AF43A2">
              <w:rPr>
                <w:rFonts w:eastAsia="Calibri" w:cs="Arial"/>
                <w:b/>
                <w:i/>
                <w:color w:val="1E1E1E" w:themeColor="background2"/>
                <w:sz w:val="21"/>
                <w:szCs w:val="21"/>
                <w:lang w:val="en-GB"/>
              </w:rPr>
              <w:t>i</w:t>
            </w:r>
            <w:r w:rsidR="006B086D" w:rsidRPr="00AF43A2">
              <w:rPr>
                <w:rFonts w:eastAsia="Calibri" w:cs="Arial"/>
                <w:b/>
                <w:i/>
                <w:color w:val="1E1E1E" w:themeColor="background2"/>
                <w:sz w:val="21"/>
                <w:szCs w:val="21"/>
                <w:lang w:val="en-GB"/>
              </w:rPr>
              <w:t xml:space="preserve">i) current problems with inadequate allocations by local Regional authorities </w:t>
            </w:r>
            <w:r w:rsidR="006B086D" w:rsidRPr="00AF43A2">
              <w:rPr>
                <w:rFonts w:eastAsia="Calibri" w:cs="Arial"/>
                <w:color w:val="1E1E1E" w:themeColor="background2"/>
                <w:sz w:val="21"/>
                <w:szCs w:val="21"/>
                <w:lang w:val="en-GB"/>
              </w:rPr>
              <w:t>to specific HIV interventions for KPs, especially for MSM and TG: this includes insufficient levels if funding for condoms and lubricants. The grant will help guarantee adequate service delivery in priority Regions, while supporting budget advocacy for increased local budget allocation.</w:t>
            </w:r>
          </w:p>
          <w:p w14:paraId="42E0C825" w14:textId="37116B6A" w:rsidR="001D59A3" w:rsidRPr="00AF43A2" w:rsidRDefault="001D59A3" w:rsidP="000A0528">
            <w:pPr>
              <w:spacing w:after="0" w:line="240" w:lineRule="auto"/>
              <w:ind w:firstLine="284"/>
              <w:jc w:val="both"/>
              <w:rPr>
                <w:rFonts w:eastAsia="Calibri" w:cs="Arial"/>
                <w:color w:val="1E1E1E" w:themeColor="background2"/>
                <w:sz w:val="21"/>
                <w:szCs w:val="21"/>
                <w:lang w:val="en-GB"/>
              </w:rPr>
            </w:pPr>
            <w:r w:rsidRPr="00AF43A2">
              <w:rPr>
                <w:rFonts w:eastAsia="Calibri" w:cs="Arial"/>
                <w:color w:val="1E1E1E" w:themeColor="background2"/>
                <w:sz w:val="21"/>
                <w:szCs w:val="21"/>
                <w:lang w:val="en-GB"/>
              </w:rPr>
              <w:lastRenderedPageBreak/>
              <w:t>It is important to note that the Fundin</w:t>
            </w:r>
            <w:r w:rsidR="005F59C4" w:rsidRPr="00AF43A2">
              <w:rPr>
                <w:rFonts w:eastAsia="Calibri" w:cs="Arial"/>
                <w:color w:val="1E1E1E" w:themeColor="background2"/>
                <w:sz w:val="21"/>
                <w:szCs w:val="21"/>
                <w:lang w:val="en-GB"/>
              </w:rPr>
              <w:t>g</w:t>
            </w:r>
            <w:r w:rsidRPr="00AF43A2">
              <w:rPr>
                <w:rFonts w:eastAsia="Calibri" w:cs="Arial"/>
                <w:color w:val="1E1E1E" w:themeColor="background2"/>
                <w:sz w:val="21"/>
                <w:szCs w:val="21"/>
                <w:lang w:val="en-GB"/>
              </w:rPr>
              <w:t xml:space="preserve"> </w:t>
            </w:r>
            <w:r w:rsidR="00F25713" w:rsidRPr="00AF43A2">
              <w:rPr>
                <w:rFonts w:eastAsia="Calibri" w:cs="Arial"/>
                <w:color w:val="1E1E1E" w:themeColor="background2"/>
                <w:sz w:val="21"/>
                <w:szCs w:val="21"/>
                <w:lang w:val="en-GB"/>
              </w:rPr>
              <w:t>R</w:t>
            </w:r>
            <w:r w:rsidRPr="00AF43A2">
              <w:rPr>
                <w:rFonts w:eastAsia="Calibri" w:cs="Arial"/>
                <w:color w:val="1E1E1E" w:themeColor="background2"/>
                <w:sz w:val="21"/>
                <w:szCs w:val="21"/>
                <w:lang w:val="en-GB"/>
              </w:rPr>
              <w:t xml:space="preserve">equest is </w:t>
            </w:r>
            <w:r w:rsidRPr="00AF43A2">
              <w:rPr>
                <w:rFonts w:eastAsia="Calibri" w:cs="Arial"/>
                <w:i/>
                <w:color w:val="1E1E1E" w:themeColor="background2"/>
                <w:sz w:val="21"/>
                <w:szCs w:val="21"/>
                <w:lang w:val="en-GB"/>
              </w:rPr>
              <w:t>not</w:t>
            </w:r>
            <w:r w:rsidRPr="00AF43A2">
              <w:rPr>
                <w:rFonts w:eastAsia="Calibri" w:cs="Arial"/>
                <w:color w:val="1E1E1E" w:themeColor="background2"/>
                <w:sz w:val="21"/>
                <w:szCs w:val="21"/>
                <w:lang w:val="en-GB"/>
              </w:rPr>
              <w:t xml:space="preserve"> seeking support from the Global Fund for strengthening the existing </w:t>
            </w:r>
            <w:r w:rsidRPr="00AF43A2">
              <w:rPr>
                <w:rFonts w:eastAsia="Calibri" w:cs="Arial"/>
                <w:b/>
                <w:i/>
                <w:color w:val="1E1E1E" w:themeColor="background2"/>
                <w:sz w:val="21"/>
                <w:szCs w:val="21"/>
                <w:lang w:val="en-GB"/>
              </w:rPr>
              <w:t>procurement systems</w:t>
            </w:r>
            <w:r w:rsidRPr="00AF43A2">
              <w:rPr>
                <w:rFonts w:eastAsia="Calibri" w:cs="Arial"/>
                <w:color w:val="1E1E1E" w:themeColor="background2"/>
                <w:sz w:val="21"/>
                <w:szCs w:val="21"/>
                <w:lang w:val="en-GB"/>
              </w:rPr>
              <w:t xml:space="preserve">, as these problems are already being addressed in two ways: 1) in the next three years, a </w:t>
            </w:r>
            <w:r w:rsidRPr="00AF43A2">
              <w:rPr>
                <w:rFonts w:eastAsia="Calibri" w:cs="Arial"/>
                <w:b/>
                <w:i/>
                <w:color w:val="1E1E1E" w:themeColor="background2"/>
                <w:sz w:val="21"/>
                <w:szCs w:val="21"/>
                <w:lang w:val="en-GB"/>
              </w:rPr>
              <w:t>CDC project will support PSM systems strengthening</w:t>
            </w:r>
            <w:r w:rsidRPr="00AF43A2">
              <w:rPr>
                <w:rFonts w:eastAsia="Calibri" w:cs="Arial"/>
                <w:color w:val="1E1E1E" w:themeColor="background2"/>
                <w:sz w:val="21"/>
                <w:szCs w:val="21"/>
                <w:lang w:val="en-GB"/>
              </w:rPr>
              <w:t xml:space="preserve">; 2) in 2020, Kazakhstan introduced the concept of </w:t>
            </w:r>
            <w:r w:rsidRPr="00AF43A2">
              <w:rPr>
                <w:rFonts w:eastAsia="Calibri" w:cs="Arial"/>
                <w:b/>
                <w:i/>
                <w:color w:val="1E1E1E" w:themeColor="background2"/>
                <w:sz w:val="21"/>
                <w:szCs w:val="21"/>
                <w:lang w:val="en-GB"/>
              </w:rPr>
              <w:t>digitisation of procurement as part of the e-government policy</w:t>
            </w:r>
            <w:r w:rsidR="005F59C4" w:rsidRPr="00AF43A2">
              <w:rPr>
                <w:rFonts w:eastAsia="Calibri" w:cs="Arial"/>
                <w:b/>
                <w:i/>
                <w:color w:val="1E1E1E" w:themeColor="background2"/>
                <w:sz w:val="21"/>
                <w:szCs w:val="21"/>
                <w:lang w:val="en-GB"/>
              </w:rPr>
              <w:t xml:space="preserve"> </w:t>
            </w:r>
            <w:r w:rsidR="005F59C4" w:rsidRPr="00AF43A2">
              <w:rPr>
                <w:rFonts w:eastAsia="Calibri" w:cs="Arial"/>
                <w:color w:val="1E1E1E" w:themeColor="background2"/>
                <w:sz w:val="21"/>
                <w:szCs w:val="21"/>
                <w:lang w:val="en-GB"/>
              </w:rPr>
              <w:t>that was started in 2013</w:t>
            </w:r>
            <w:r w:rsidRPr="00AF43A2">
              <w:rPr>
                <w:rFonts w:eastAsia="Calibri" w:cs="Arial"/>
                <w:color w:val="1E1E1E" w:themeColor="background2"/>
                <w:sz w:val="21"/>
                <w:szCs w:val="21"/>
                <w:lang w:val="en-GB"/>
              </w:rPr>
              <w:t xml:space="preserve">, which will allow online monitoring of stocks of drugs in real time. </w:t>
            </w:r>
            <w:r w:rsidR="00903EEC" w:rsidRPr="00AF43A2">
              <w:rPr>
                <w:rFonts w:eastAsia="Calibri" w:cs="Arial"/>
                <w:color w:val="1E1E1E" w:themeColor="background2"/>
                <w:sz w:val="21"/>
                <w:szCs w:val="21"/>
                <w:lang w:val="en-GB"/>
              </w:rPr>
              <w:t xml:space="preserve">In this context, </w:t>
            </w:r>
            <w:r w:rsidRPr="00AF43A2">
              <w:rPr>
                <w:rFonts w:eastAsia="Calibri" w:cs="Arial"/>
                <w:color w:val="1E1E1E" w:themeColor="background2"/>
                <w:sz w:val="21"/>
                <w:szCs w:val="21"/>
                <w:lang w:val="en-GB"/>
              </w:rPr>
              <w:t xml:space="preserve">procurement </w:t>
            </w:r>
            <w:r w:rsidR="00903EEC" w:rsidRPr="00AF43A2">
              <w:rPr>
                <w:rFonts w:eastAsia="Calibri" w:cs="Arial"/>
                <w:color w:val="1E1E1E" w:themeColor="background2"/>
                <w:sz w:val="21"/>
                <w:szCs w:val="21"/>
                <w:lang w:val="en-GB"/>
              </w:rPr>
              <w:t>will</w:t>
            </w:r>
            <w:r w:rsidRPr="00AF43A2">
              <w:rPr>
                <w:rFonts w:eastAsia="Calibri" w:cs="Arial"/>
                <w:color w:val="1E1E1E" w:themeColor="background2"/>
                <w:sz w:val="21"/>
                <w:szCs w:val="21"/>
                <w:lang w:val="en-GB"/>
              </w:rPr>
              <w:t xml:space="preserve"> becom</w:t>
            </w:r>
            <w:r w:rsidR="00903EEC" w:rsidRPr="00AF43A2">
              <w:rPr>
                <w:rFonts w:eastAsia="Calibri" w:cs="Arial"/>
                <w:color w:val="1E1E1E" w:themeColor="background2"/>
                <w:sz w:val="21"/>
                <w:szCs w:val="21"/>
                <w:lang w:val="en-GB"/>
              </w:rPr>
              <w:t>e</w:t>
            </w:r>
            <w:r w:rsidRPr="00AF43A2">
              <w:rPr>
                <w:rFonts w:eastAsia="Calibri" w:cs="Arial"/>
                <w:color w:val="1E1E1E" w:themeColor="background2"/>
                <w:sz w:val="21"/>
                <w:szCs w:val="21"/>
                <w:lang w:val="en-GB"/>
              </w:rPr>
              <w:t xml:space="preserve"> </w:t>
            </w:r>
            <w:r w:rsidRPr="00AF43A2">
              <w:rPr>
                <w:rFonts w:eastAsia="Calibri" w:cs="Arial"/>
                <w:b/>
                <w:i/>
                <w:color w:val="1E1E1E" w:themeColor="background2"/>
                <w:sz w:val="21"/>
                <w:szCs w:val="21"/>
                <w:lang w:val="en-GB"/>
              </w:rPr>
              <w:t>e-procurement</w:t>
            </w:r>
            <w:r w:rsidR="00903EEC" w:rsidRPr="00AF43A2">
              <w:rPr>
                <w:rStyle w:val="af"/>
                <w:rFonts w:eastAsia="Calibri" w:cs="Arial"/>
                <w:b/>
                <w:i/>
                <w:color w:val="1E1E1E" w:themeColor="background2"/>
                <w:sz w:val="21"/>
                <w:szCs w:val="21"/>
              </w:rPr>
              <w:footnoteReference w:id="15"/>
            </w:r>
            <w:r w:rsidRPr="00AF43A2">
              <w:rPr>
                <w:rFonts w:eastAsia="Calibri" w:cs="Arial"/>
                <w:color w:val="1E1E1E" w:themeColor="background2"/>
                <w:sz w:val="21"/>
                <w:szCs w:val="21"/>
                <w:lang w:val="en-GB"/>
              </w:rPr>
              <w:t xml:space="preserve"> and forecasting </w:t>
            </w:r>
            <w:r w:rsidR="00903EEC" w:rsidRPr="00AF43A2">
              <w:rPr>
                <w:rFonts w:eastAsia="Calibri" w:cs="Arial"/>
                <w:color w:val="1E1E1E" w:themeColor="background2"/>
                <w:sz w:val="21"/>
                <w:szCs w:val="21"/>
                <w:lang w:val="en-GB"/>
              </w:rPr>
              <w:t>will be</w:t>
            </w:r>
            <w:r w:rsidRPr="00AF43A2">
              <w:rPr>
                <w:rFonts w:eastAsia="Calibri" w:cs="Arial"/>
                <w:color w:val="1E1E1E" w:themeColor="background2"/>
                <w:sz w:val="21"/>
                <w:szCs w:val="21"/>
                <w:lang w:val="en-GB"/>
              </w:rPr>
              <w:t xml:space="preserve"> </w:t>
            </w:r>
            <w:r w:rsidR="00903EEC" w:rsidRPr="00AF43A2">
              <w:rPr>
                <w:rFonts w:eastAsia="Calibri" w:cs="Arial"/>
                <w:color w:val="1E1E1E" w:themeColor="background2"/>
                <w:sz w:val="21"/>
                <w:szCs w:val="21"/>
                <w:lang w:val="en-GB"/>
              </w:rPr>
              <w:t>strengthened</w:t>
            </w:r>
            <w:r w:rsidRPr="00AF43A2">
              <w:rPr>
                <w:rFonts w:eastAsia="Calibri" w:cs="Arial"/>
                <w:color w:val="1E1E1E" w:themeColor="background2"/>
                <w:sz w:val="21"/>
                <w:szCs w:val="21"/>
                <w:lang w:val="en-GB"/>
              </w:rPr>
              <w:t xml:space="preserve"> </w:t>
            </w:r>
            <w:r w:rsidR="005F59C4" w:rsidRPr="00AF43A2">
              <w:rPr>
                <w:rFonts w:eastAsia="Calibri" w:cs="Arial"/>
                <w:color w:val="1E1E1E" w:themeColor="background2"/>
                <w:sz w:val="21"/>
                <w:szCs w:val="21"/>
                <w:lang w:val="en-GB"/>
              </w:rPr>
              <w:t>through the</w:t>
            </w:r>
            <w:r w:rsidRPr="00AF43A2">
              <w:rPr>
                <w:rFonts w:eastAsia="Calibri" w:cs="Arial"/>
                <w:color w:val="1E1E1E" w:themeColor="background2"/>
                <w:sz w:val="21"/>
                <w:szCs w:val="21"/>
                <w:lang w:val="en-GB"/>
              </w:rPr>
              <w:t xml:space="preserve"> introduc</w:t>
            </w:r>
            <w:r w:rsidR="005F59C4" w:rsidRPr="00AF43A2">
              <w:rPr>
                <w:rFonts w:eastAsia="Calibri" w:cs="Arial"/>
                <w:color w:val="1E1E1E" w:themeColor="background2"/>
                <w:sz w:val="21"/>
                <w:szCs w:val="21"/>
                <w:lang w:val="en-GB"/>
              </w:rPr>
              <w:t>tion of</w:t>
            </w:r>
            <w:r w:rsidRPr="00AF43A2">
              <w:rPr>
                <w:rFonts w:eastAsia="Calibri" w:cs="Arial"/>
                <w:color w:val="1E1E1E" w:themeColor="background2"/>
                <w:sz w:val="21"/>
                <w:szCs w:val="21"/>
                <w:lang w:val="en-GB"/>
              </w:rPr>
              <w:t xml:space="preserve"> electronic tools. </w:t>
            </w:r>
            <w:r w:rsidR="005F59C4" w:rsidRPr="00AF43A2">
              <w:rPr>
                <w:rFonts w:eastAsia="Calibri" w:cs="Arial"/>
                <w:color w:val="1E1E1E" w:themeColor="background2"/>
                <w:sz w:val="21"/>
                <w:szCs w:val="21"/>
                <w:lang w:val="en-GB"/>
              </w:rPr>
              <w:t>An e</w:t>
            </w:r>
            <w:r w:rsidRPr="00AF43A2">
              <w:rPr>
                <w:rFonts w:eastAsia="Calibri" w:cs="Arial"/>
                <w:color w:val="1E1E1E" w:themeColor="background2"/>
                <w:sz w:val="21"/>
                <w:szCs w:val="21"/>
                <w:lang w:val="en-GB"/>
              </w:rPr>
              <w:t xml:space="preserve">lectronic tool for forecasting </w:t>
            </w:r>
            <w:r w:rsidR="00903EEC" w:rsidRPr="00AF43A2">
              <w:rPr>
                <w:rFonts w:eastAsia="Calibri" w:cs="Arial"/>
                <w:color w:val="1E1E1E" w:themeColor="background2"/>
                <w:sz w:val="21"/>
                <w:szCs w:val="21"/>
                <w:lang w:val="en-GB"/>
              </w:rPr>
              <w:t xml:space="preserve">of </w:t>
            </w:r>
            <w:r w:rsidRPr="00AF43A2">
              <w:rPr>
                <w:rFonts w:eastAsia="Calibri" w:cs="Arial"/>
                <w:color w:val="1E1E1E" w:themeColor="background2"/>
                <w:sz w:val="21"/>
                <w:szCs w:val="21"/>
                <w:lang w:val="en-GB"/>
              </w:rPr>
              <w:t xml:space="preserve">ARVs has already been introduced for the AIDS service and was applied in 2019 to forecast </w:t>
            </w:r>
            <w:r w:rsidR="005F59C4" w:rsidRPr="00AF43A2">
              <w:rPr>
                <w:rFonts w:eastAsia="Calibri" w:cs="Arial"/>
                <w:color w:val="1E1E1E" w:themeColor="background2"/>
                <w:sz w:val="21"/>
                <w:szCs w:val="21"/>
                <w:lang w:val="en-GB"/>
              </w:rPr>
              <w:t xml:space="preserve">ARVs </w:t>
            </w:r>
            <w:r w:rsidRPr="00AF43A2">
              <w:rPr>
                <w:rFonts w:eastAsia="Calibri" w:cs="Arial"/>
                <w:color w:val="1E1E1E" w:themeColor="background2"/>
                <w:sz w:val="21"/>
                <w:szCs w:val="21"/>
                <w:lang w:val="en-GB"/>
              </w:rPr>
              <w:t xml:space="preserve">for 2020. The </w:t>
            </w:r>
            <w:r w:rsidR="00903EEC" w:rsidRPr="00AF43A2">
              <w:rPr>
                <w:rFonts w:eastAsia="Calibri" w:cs="Arial"/>
                <w:color w:val="1E1E1E" w:themeColor="background2"/>
                <w:sz w:val="21"/>
                <w:szCs w:val="21"/>
                <w:lang w:val="en-GB"/>
              </w:rPr>
              <w:t>remaining HIV</w:t>
            </w:r>
            <w:r w:rsidRPr="00AF43A2">
              <w:rPr>
                <w:rFonts w:eastAsia="Calibri" w:cs="Arial"/>
                <w:color w:val="1E1E1E" w:themeColor="background2"/>
                <w:sz w:val="21"/>
                <w:szCs w:val="21"/>
                <w:lang w:val="en-GB"/>
              </w:rPr>
              <w:t xml:space="preserve"> modules </w:t>
            </w:r>
            <w:r w:rsidR="00903EEC" w:rsidRPr="00AF43A2">
              <w:rPr>
                <w:rFonts w:eastAsia="Calibri" w:cs="Arial"/>
                <w:color w:val="1E1E1E" w:themeColor="background2"/>
                <w:sz w:val="21"/>
                <w:szCs w:val="21"/>
                <w:lang w:val="en-GB"/>
              </w:rPr>
              <w:t>are will follow in the next year</w:t>
            </w:r>
            <w:r w:rsidRPr="00AF43A2">
              <w:rPr>
                <w:rFonts w:eastAsia="Calibri" w:cs="Arial"/>
                <w:color w:val="1E1E1E" w:themeColor="background2"/>
                <w:sz w:val="21"/>
                <w:szCs w:val="21"/>
                <w:lang w:val="en-GB"/>
              </w:rPr>
              <w:t xml:space="preserve">. </w:t>
            </w:r>
          </w:p>
          <w:p w14:paraId="5E68D00B" w14:textId="027953A5" w:rsidR="006B086D" w:rsidRPr="00AF43A2" w:rsidRDefault="006B086D" w:rsidP="000A0528">
            <w:pPr>
              <w:spacing w:after="0" w:line="240" w:lineRule="auto"/>
              <w:ind w:firstLine="284"/>
              <w:jc w:val="both"/>
              <w:rPr>
                <w:rFonts w:eastAsia="Calibri" w:cs="Arial"/>
                <w:sz w:val="8"/>
                <w:szCs w:val="8"/>
                <w:lang w:val="en-GB"/>
              </w:rPr>
            </w:pPr>
            <w:r w:rsidRPr="00AF43A2">
              <w:rPr>
                <w:rFonts w:eastAsia="Calibri" w:cs="Arial"/>
                <w:color w:val="1E1E1E" w:themeColor="background2"/>
                <w:sz w:val="21"/>
                <w:szCs w:val="21"/>
                <w:lang w:val="en-GB"/>
              </w:rPr>
              <w:t xml:space="preserve">In this regard, it is important to note that </w:t>
            </w:r>
            <w:r w:rsidRPr="00AF43A2">
              <w:rPr>
                <w:rFonts w:eastAsia="Calibri" w:cs="Arial"/>
                <w:sz w:val="21"/>
                <w:szCs w:val="21"/>
                <w:lang w:val="en-GB"/>
              </w:rPr>
              <w:t>the State already finances the bulk of all HIV-related programmes and services in all 17 Regions; While the G</w:t>
            </w:r>
            <w:r w:rsidR="00AC7E53" w:rsidRPr="00AF43A2">
              <w:rPr>
                <w:rFonts w:eastAsia="Calibri" w:cs="Arial"/>
                <w:sz w:val="21"/>
                <w:szCs w:val="21"/>
                <w:lang w:val="en-GB"/>
              </w:rPr>
              <w:t xml:space="preserve">lobal </w:t>
            </w:r>
            <w:r w:rsidRPr="00AF43A2">
              <w:rPr>
                <w:rFonts w:eastAsia="Calibri" w:cs="Arial"/>
                <w:sz w:val="21"/>
                <w:szCs w:val="21"/>
                <w:lang w:val="en-GB"/>
              </w:rPr>
              <w:t>F</w:t>
            </w:r>
            <w:r w:rsidR="00AC7E53" w:rsidRPr="00AF43A2">
              <w:rPr>
                <w:rFonts w:eastAsia="Calibri" w:cs="Arial"/>
                <w:sz w:val="21"/>
                <w:szCs w:val="21"/>
                <w:lang w:val="en-GB"/>
              </w:rPr>
              <w:t>und</w:t>
            </w:r>
            <w:r w:rsidRPr="00AF43A2">
              <w:rPr>
                <w:rFonts w:eastAsia="Calibri" w:cs="Arial"/>
                <w:sz w:val="21"/>
                <w:szCs w:val="21"/>
                <w:lang w:val="en-GB"/>
              </w:rPr>
              <w:t xml:space="preserve"> grant will support strategic interventions in a limited number of Regions, the State will gradually absorb those costs, while also covering the other Regions that are not covered by the grant. Specific co-financing by the State is specified below:</w:t>
            </w:r>
          </w:p>
          <w:p w14:paraId="395A0873" w14:textId="77777777" w:rsidR="006716DB" w:rsidRPr="00AF43A2" w:rsidRDefault="006716DB" w:rsidP="000A0528">
            <w:pPr>
              <w:spacing w:after="0" w:line="240" w:lineRule="auto"/>
              <w:ind w:firstLine="284"/>
              <w:jc w:val="both"/>
              <w:rPr>
                <w:rFonts w:eastAsia="Calibri" w:cs="Arial"/>
                <w:sz w:val="8"/>
                <w:szCs w:val="8"/>
                <w:lang w:val="en-GB"/>
              </w:rPr>
            </w:pPr>
          </w:p>
          <w:p w14:paraId="76020DBC" w14:textId="77777777" w:rsidR="006B086D" w:rsidRPr="00AF43A2" w:rsidRDefault="006B086D" w:rsidP="000A0528">
            <w:pPr>
              <w:spacing w:after="0" w:line="240" w:lineRule="auto"/>
              <w:rPr>
                <w:rFonts w:eastAsia="Calibri" w:cs="Arial"/>
                <w:b/>
                <w:i/>
                <w:sz w:val="21"/>
                <w:szCs w:val="21"/>
                <w:lang w:val="en-GB"/>
              </w:rPr>
            </w:pPr>
            <w:r w:rsidRPr="00AF43A2">
              <w:rPr>
                <w:rFonts w:eastAsia="Calibri" w:cs="Arial"/>
                <w:b/>
                <w:i/>
                <w:sz w:val="21"/>
                <w:szCs w:val="21"/>
                <w:lang w:val="en-GB"/>
              </w:rPr>
              <w:t>ii. The planned uptake of interventions currently funded by the Global Fund:</w:t>
            </w:r>
          </w:p>
          <w:p w14:paraId="47D5DA09" w14:textId="77777777" w:rsidR="006B086D" w:rsidRPr="00AF43A2" w:rsidRDefault="006B086D" w:rsidP="000A0528">
            <w:pPr>
              <w:spacing w:after="0" w:line="240" w:lineRule="auto"/>
              <w:rPr>
                <w:rFonts w:eastAsia="Calibri" w:cs="Arial"/>
                <w:b/>
                <w:i/>
                <w:sz w:val="21"/>
                <w:szCs w:val="21"/>
                <w:lang w:val="en-GB"/>
              </w:rPr>
            </w:pPr>
            <w:r w:rsidRPr="00AF43A2">
              <w:rPr>
                <w:rFonts w:eastAsia="Calibri" w:cs="Arial"/>
                <w:b/>
                <w:i/>
                <w:sz w:val="21"/>
                <w:szCs w:val="21"/>
                <w:lang w:val="en-GB"/>
              </w:rPr>
              <w:t>Health products and drugs</w:t>
            </w:r>
          </w:p>
          <w:p w14:paraId="721A651B" w14:textId="77777777" w:rsidR="006B086D" w:rsidRPr="00AF43A2" w:rsidRDefault="006B086D" w:rsidP="000A0528">
            <w:pPr>
              <w:numPr>
                <w:ilvl w:val="0"/>
                <w:numId w:val="38"/>
              </w:numPr>
              <w:spacing w:after="0" w:line="240" w:lineRule="auto"/>
              <w:ind w:left="284" w:hanging="284"/>
              <w:contextualSpacing/>
              <w:rPr>
                <w:rFonts w:eastAsia="Calibri" w:cs="Arial"/>
                <w:sz w:val="21"/>
                <w:szCs w:val="21"/>
                <w:lang w:val="en-GB"/>
              </w:rPr>
            </w:pPr>
            <w:r w:rsidRPr="00AF43A2">
              <w:rPr>
                <w:rFonts w:eastAsia="Calibri" w:cs="Arial"/>
                <w:sz w:val="21"/>
                <w:szCs w:val="21"/>
                <w:lang w:val="en-GB"/>
              </w:rPr>
              <w:t xml:space="preserve">The State finances all </w:t>
            </w:r>
            <w:r w:rsidRPr="00AF43A2">
              <w:rPr>
                <w:rFonts w:eastAsia="Calibri" w:cs="Arial"/>
                <w:b/>
                <w:i/>
                <w:sz w:val="21"/>
                <w:szCs w:val="21"/>
                <w:lang w:val="en-GB"/>
              </w:rPr>
              <w:t>commodities for SWs</w:t>
            </w:r>
            <w:r w:rsidRPr="00AF43A2">
              <w:rPr>
                <w:rFonts w:eastAsia="Calibri" w:cs="Arial"/>
                <w:sz w:val="21"/>
                <w:szCs w:val="21"/>
                <w:lang w:val="en-GB"/>
              </w:rPr>
              <w:t xml:space="preserve">; in addition, 100% of syringes and alcohol wipes for PWID. In 6 priority Regions for MSM that will be supported by the new grant with </w:t>
            </w:r>
            <w:r w:rsidRPr="00AF43A2">
              <w:rPr>
                <w:rFonts w:eastAsia="Calibri" w:cs="Arial"/>
                <w:b/>
                <w:i/>
                <w:sz w:val="21"/>
                <w:szCs w:val="21"/>
                <w:lang w:val="en-GB"/>
              </w:rPr>
              <w:t>condoms &amp; lubricants for MSM and TGs,</w:t>
            </w:r>
            <w:r w:rsidRPr="00AF43A2">
              <w:rPr>
                <w:rFonts w:eastAsia="Calibri" w:cs="Arial"/>
                <w:sz w:val="21"/>
                <w:szCs w:val="21"/>
                <w:lang w:val="en-GB"/>
              </w:rPr>
              <w:t xml:space="preserve"> in 2021-2023 period, the State will co-finance an increasing proportion (55%-65%-75%) of the total need in these 6 Regions. In the other 11 Regions, the State will finance 90% of the total condom and lubricant needs throughout 2021-2023.</w:t>
            </w:r>
          </w:p>
          <w:p w14:paraId="79A5B4D7" w14:textId="77777777" w:rsidR="006B086D" w:rsidRPr="00AF43A2" w:rsidRDefault="006B086D" w:rsidP="000A0528">
            <w:pPr>
              <w:numPr>
                <w:ilvl w:val="0"/>
                <w:numId w:val="38"/>
              </w:numPr>
              <w:spacing w:after="0" w:line="240" w:lineRule="auto"/>
              <w:ind w:left="284" w:hanging="284"/>
              <w:contextualSpacing/>
              <w:rPr>
                <w:rFonts w:eastAsia="Calibri" w:cs="Arial"/>
                <w:sz w:val="21"/>
                <w:szCs w:val="21"/>
                <w:lang w:val="en-GB"/>
              </w:rPr>
            </w:pPr>
            <w:r w:rsidRPr="00AF43A2">
              <w:rPr>
                <w:rFonts w:eastAsia="Calibri" w:cs="Arial"/>
                <w:sz w:val="21"/>
                <w:szCs w:val="21"/>
                <w:lang w:val="en-GB"/>
              </w:rPr>
              <w:t>The State will also cover 90% of condoms for PWID and NPS users in 2021-2023 (10% GF support)</w:t>
            </w:r>
          </w:p>
          <w:p w14:paraId="65179C02" w14:textId="77777777" w:rsidR="006B086D" w:rsidRPr="00AF43A2" w:rsidRDefault="006B086D" w:rsidP="000A0528">
            <w:pPr>
              <w:numPr>
                <w:ilvl w:val="0"/>
                <w:numId w:val="38"/>
              </w:numPr>
              <w:spacing w:after="0" w:line="240" w:lineRule="auto"/>
              <w:ind w:left="284" w:hanging="284"/>
              <w:contextualSpacing/>
              <w:rPr>
                <w:rFonts w:eastAsia="Calibri" w:cs="Arial"/>
                <w:sz w:val="21"/>
                <w:szCs w:val="21"/>
                <w:lang w:val="en-GB"/>
              </w:rPr>
            </w:pPr>
            <w:r w:rsidRPr="00AF43A2">
              <w:rPr>
                <w:rFonts w:eastAsia="Calibri" w:cs="Arial"/>
                <w:sz w:val="21"/>
                <w:szCs w:val="21"/>
                <w:lang w:val="en-GB"/>
              </w:rPr>
              <w:t>In the context of a PrEP pilot, the State will finance the expansion from 300 to 600 clients in 2023 (ARV drugs and OraQuick tests)</w:t>
            </w:r>
          </w:p>
          <w:p w14:paraId="55C8D4F6" w14:textId="77777777" w:rsidR="006B086D" w:rsidRPr="00AF43A2" w:rsidRDefault="006B086D" w:rsidP="000A0528">
            <w:pPr>
              <w:numPr>
                <w:ilvl w:val="0"/>
                <w:numId w:val="38"/>
              </w:numPr>
              <w:spacing w:after="0" w:line="240" w:lineRule="auto"/>
              <w:ind w:left="284" w:hanging="284"/>
              <w:contextualSpacing/>
              <w:rPr>
                <w:rFonts w:eastAsia="Calibri" w:cs="Arial"/>
                <w:sz w:val="21"/>
                <w:szCs w:val="21"/>
                <w:lang w:val="en-GB"/>
              </w:rPr>
            </w:pPr>
            <w:r w:rsidRPr="00AF43A2">
              <w:rPr>
                <w:rFonts w:eastAsia="Calibri" w:cs="Arial"/>
                <w:sz w:val="21"/>
                <w:szCs w:val="21"/>
                <w:lang w:val="en-GB"/>
              </w:rPr>
              <w:t>The State will increasingly co-finance ARVs for 171 undocumented foreign migrants with HIV: 51 patients in 2022; 120 in 2023 and all 171+ as of 2024.</w:t>
            </w:r>
          </w:p>
          <w:p w14:paraId="149ED236" w14:textId="77777777" w:rsidR="006B086D" w:rsidRPr="00AF43A2" w:rsidRDefault="006B086D" w:rsidP="000A0528">
            <w:pPr>
              <w:numPr>
                <w:ilvl w:val="0"/>
                <w:numId w:val="38"/>
              </w:numPr>
              <w:spacing w:after="0" w:line="240" w:lineRule="auto"/>
              <w:ind w:left="284" w:hanging="284"/>
              <w:contextualSpacing/>
              <w:rPr>
                <w:rFonts w:eastAsia="Calibri" w:cs="Arial"/>
                <w:sz w:val="21"/>
                <w:szCs w:val="21"/>
                <w:lang w:val="en-GB"/>
              </w:rPr>
            </w:pPr>
            <w:r w:rsidRPr="00AF43A2">
              <w:rPr>
                <w:rFonts w:eastAsia="Calibri" w:cs="Arial"/>
                <w:sz w:val="21"/>
                <w:szCs w:val="21"/>
                <w:lang w:val="en-GB"/>
              </w:rPr>
              <w:t>The State will finance 100% of the procurement of Methadone as of 1 January 2024.</w:t>
            </w:r>
          </w:p>
          <w:p w14:paraId="2BF32A39" w14:textId="77777777" w:rsidR="006B086D" w:rsidRPr="00AF43A2" w:rsidRDefault="006B086D" w:rsidP="000A0528">
            <w:pPr>
              <w:spacing w:after="0" w:line="240" w:lineRule="auto"/>
              <w:ind w:left="284"/>
              <w:contextualSpacing/>
              <w:rPr>
                <w:rFonts w:eastAsia="Calibri" w:cs="Arial"/>
                <w:sz w:val="8"/>
                <w:szCs w:val="8"/>
                <w:lang w:val="en-GB"/>
              </w:rPr>
            </w:pPr>
          </w:p>
          <w:p w14:paraId="2AA7A6EC" w14:textId="77777777" w:rsidR="006B086D" w:rsidRPr="00AF43A2" w:rsidRDefault="006B086D" w:rsidP="000A0528">
            <w:pPr>
              <w:spacing w:after="0" w:line="240" w:lineRule="auto"/>
              <w:rPr>
                <w:rFonts w:eastAsia="Calibri" w:cs="Arial"/>
                <w:b/>
                <w:i/>
                <w:sz w:val="21"/>
                <w:szCs w:val="21"/>
                <w:lang w:val="en-GB"/>
              </w:rPr>
            </w:pPr>
            <w:r w:rsidRPr="00AF43A2">
              <w:rPr>
                <w:rFonts w:eastAsia="Calibri" w:cs="Arial"/>
                <w:b/>
                <w:i/>
                <w:sz w:val="21"/>
                <w:szCs w:val="21"/>
                <w:lang w:val="en-GB"/>
              </w:rPr>
              <w:t>Human resources</w:t>
            </w:r>
          </w:p>
          <w:p w14:paraId="7CBB79E2" w14:textId="77777777" w:rsidR="006B086D" w:rsidRPr="00AF43A2" w:rsidRDefault="006B086D" w:rsidP="000A0528">
            <w:pPr>
              <w:numPr>
                <w:ilvl w:val="0"/>
                <w:numId w:val="40"/>
              </w:numPr>
              <w:spacing w:after="0" w:line="240" w:lineRule="auto"/>
              <w:ind w:left="284" w:hanging="284"/>
              <w:contextualSpacing/>
              <w:rPr>
                <w:rFonts w:eastAsia="Calibri" w:cs="Arial"/>
                <w:color w:val="1E1E1E" w:themeColor="background2"/>
                <w:sz w:val="21"/>
                <w:szCs w:val="21"/>
                <w:lang w:val="en-GB"/>
              </w:rPr>
            </w:pPr>
            <w:r w:rsidRPr="00AF43A2">
              <w:rPr>
                <w:rFonts w:eastAsia="Calibri" w:cs="Arial"/>
                <w:b/>
                <w:i/>
                <w:sz w:val="21"/>
                <w:szCs w:val="21"/>
                <w:lang w:val="en-GB"/>
              </w:rPr>
              <w:t>Strengthening of OST services:</w:t>
            </w:r>
            <w:r w:rsidRPr="00AF43A2">
              <w:rPr>
                <w:rFonts w:eastAsia="Calibri" w:cs="Arial"/>
                <w:sz w:val="21"/>
                <w:szCs w:val="21"/>
                <w:lang w:val="en-GB"/>
              </w:rPr>
              <w:t xml:space="preserve"> I </w:t>
            </w:r>
            <w:r w:rsidRPr="00AF43A2">
              <w:rPr>
                <w:rFonts w:eastAsia="Calibri" w:cs="Arial"/>
                <w:color w:val="1E1E1E" w:themeColor="background2"/>
                <w:sz w:val="21"/>
                <w:szCs w:val="21"/>
                <w:lang w:val="en-GB"/>
              </w:rPr>
              <w:t>this context, the State will support capacity building of Narcologists, AIDS Centre staff, Outreach workers and PWID: this represents approx. 14.4% (USD 70,400) of the costs of the OST advocacy and training activities. In addition, the State will also finance the cost of staff, opening of new OST outlets and operational costs.</w:t>
            </w:r>
          </w:p>
          <w:p w14:paraId="3F3FBE40" w14:textId="325D1C06" w:rsidR="006B086D" w:rsidRPr="00AF43A2" w:rsidRDefault="006B086D" w:rsidP="000A0528">
            <w:pPr>
              <w:numPr>
                <w:ilvl w:val="0"/>
                <w:numId w:val="40"/>
              </w:numPr>
              <w:spacing w:after="0" w:line="240" w:lineRule="auto"/>
              <w:ind w:left="284" w:hanging="284"/>
              <w:contextualSpacing/>
              <w:rPr>
                <w:rFonts w:eastAsia="Calibri" w:cs="Arial"/>
                <w:color w:val="1E1E1E" w:themeColor="background2"/>
                <w:sz w:val="21"/>
                <w:szCs w:val="21"/>
                <w:lang w:val="en-GB"/>
              </w:rPr>
            </w:pPr>
            <w:r w:rsidRPr="00AF43A2">
              <w:rPr>
                <w:rFonts w:eastAsia="Calibri" w:cs="Arial"/>
                <w:b/>
                <w:i/>
                <w:color w:val="1E1E1E" w:themeColor="background2"/>
                <w:sz w:val="21"/>
                <w:szCs w:val="21"/>
                <w:lang w:val="en-GB"/>
              </w:rPr>
              <w:t xml:space="preserve">ART adherence support by peer </w:t>
            </w:r>
            <w:r w:rsidR="009F791F" w:rsidRPr="00AF43A2">
              <w:rPr>
                <w:rFonts w:eastAsia="Calibri" w:cs="Arial"/>
                <w:b/>
                <w:i/>
                <w:color w:val="1E1E1E" w:themeColor="background2"/>
                <w:sz w:val="21"/>
                <w:szCs w:val="21"/>
                <w:lang w:val="en-GB"/>
              </w:rPr>
              <w:t>counsellors</w:t>
            </w:r>
            <w:r w:rsidRPr="00AF43A2">
              <w:rPr>
                <w:rFonts w:eastAsia="Calibri" w:cs="Arial"/>
                <w:b/>
                <w:i/>
                <w:color w:val="1E1E1E" w:themeColor="background2"/>
                <w:sz w:val="21"/>
                <w:szCs w:val="21"/>
                <w:lang w:val="en-GB"/>
              </w:rPr>
              <w:t>:</w:t>
            </w:r>
            <w:r w:rsidRPr="00AF43A2">
              <w:rPr>
                <w:rFonts w:eastAsia="Calibri" w:cs="Arial"/>
                <w:color w:val="1E1E1E" w:themeColor="background2"/>
                <w:sz w:val="21"/>
                <w:szCs w:val="21"/>
                <w:lang w:val="en-GB"/>
              </w:rPr>
              <w:t xml:space="preserve"> the grant will support 26 peer </w:t>
            </w:r>
            <w:r w:rsidR="009F791F" w:rsidRPr="00AF43A2">
              <w:rPr>
                <w:rFonts w:eastAsia="Calibri" w:cs="Arial"/>
                <w:color w:val="1E1E1E" w:themeColor="background2"/>
                <w:sz w:val="21"/>
                <w:szCs w:val="21"/>
                <w:lang w:val="en-GB"/>
              </w:rPr>
              <w:t xml:space="preserve">counsellors </w:t>
            </w:r>
            <w:r w:rsidRPr="00AF43A2">
              <w:rPr>
                <w:rFonts w:eastAsia="Calibri" w:cs="Arial"/>
                <w:color w:val="1E1E1E" w:themeColor="background2"/>
                <w:sz w:val="21"/>
                <w:szCs w:val="21"/>
                <w:lang w:val="en-GB"/>
              </w:rPr>
              <w:t xml:space="preserve">in 3 priority states: the State will co-finance the expansion of ART Adherence support by Peer </w:t>
            </w:r>
            <w:r w:rsidR="009F791F" w:rsidRPr="00AF43A2">
              <w:rPr>
                <w:rFonts w:eastAsia="Calibri" w:cs="Arial"/>
                <w:color w:val="1E1E1E" w:themeColor="background2"/>
                <w:sz w:val="21"/>
                <w:szCs w:val="21"/>
                <w:lang w:val="en-GB"/>
              </w:rPr>
              <w:t xml:space="preserve">counsellors </w:t>
            </w:r>
            <w:r w:rsidRPr="00AF43A2">
              <w:rPr>
                <w:rFonts w:eastAsia="Calibri" w:cs="Arial"/>
                <w:color w:val="1E1E1E" w:themeColor="background2"/>
                <w:sz w:val="21"/>
                <w:szCs w:val="21"/>
                <w:lang w:val="en-GB"/>
              </w:rPr>
              <w:t>in selected other priority regions</w:t>
            </w:r>
          </w:p>
          <w:p w14:paraId="0B726D80" w14:textId="77777777" w:rsidR="006B086D" w:rsidRPr="00AF43A2" w:rsidRDefault="006B086D" w:rsidP="000A0528">
            <w:pPr>
              <w:spacing w:after="0" w:line="240" w:lineRule="auto"/>
              <w:rPr>
                <w:rFonts w:eastAsia="Calibri" w:cs="Arial"/>
                <w:color w:val="1E1E1E" w:themeColor="background2"/>
                <w:sz w:val="8"/>
                <w:szCs w:val="8"/>
                <w:lang w:val="en-GB"/>
              </w:rPr>
            </w:pPr>
          </w:p>
          <w:p w14:paraId="3FDF8F95" w14:textId="77777777" w:rsidR="006B086D" w:rsidRPr="00AF43A2" w:rsidRDefault="006B086D" w:rsidP="000A0528">
            <w:pPr>
              <w:spacing w:after="0" w:line="240" w:lineRule="auto"/>
              <w:rPr>
                <w:rFonts w:eastAsia="Calibri" w:cs="Arial"/>
                <w:b/>
                <w:i/>
                <w:color w:val="1E1E1E" w:themeColor="background2"/>
                <w:sz w:val="21"/>
                <w:szCs w:val="21"/>
                <w:lang w:val="en-GB"/>
              </w:rPr>
            </w:pPr>
            <w:r w:rsidRPr="00AF43A2">
              <w:rPr>
                <w:rFonts w:eastAsia="Calibri" w:cs="Arial"/>
                <w:b/>
                <w:i/>
                <w:color w:val="1E1E1E" w:themeColor="background2"/>
                <w:sz w:val="21"/>
                <w:szCs w:val="21"/>
                <w:lang w:val="en-GB"/>
              </w:rPr>
              <w:t>Programmes for KVPs</w:t>
            </w:r>
          </w:p>
          <w:p w14:paraId="7E9416ED" w14:textId="37EB8311" w:rsidR="006B086D" w:rsidRPr="00AF43A2" w:rsidRDefault="006B086D" w:rsidP="000A0528">
            <w:pPr>
              <w:numPr>
                <w:ilvl w:val="0"/>
                <w:numId w:val="38"/>
              </w:numPr>
              <w:spacing w:after="0" w:line="240" w:lineRule="auto"/>
              <w:ind w:left="284" w:hanging="284"/>
              <w:contextualSpacing/>
              <w:rPr>
                <w:rFonts w:eastAsia="Calibri" w:cs="Arial"/>
                <w:sz w:val="21"/>
                <w:szCs w:val="21"/>
                <w:lang w:val="en-GB"/>
              </w:rPr>
            </w:pPr>
            <w:r w:rsidRPr="00AF43A2">
              <w:rPr>
                <w:rFonts w:eastAsia="Calibri" w:cs="Arial"/>
                <w:sz w:val="21"/>
                <w:szCs w:val="21"/>
                <w:lang w:val="en-GB"/>
              </w:rPr>
              <w:t xml:space="preserve">Currently, </w:t>
            </w:r>
            <w:r w:rsidR="004C6416">
              <w:rPr>
                <w:rFonts w:eastAsia="Calibri" w:cs="Arial"/>
                <w:sz w:val="21"/>
                <w:szCs w:val="21"/>
                <w:lang w:val="en-GB"/>
              </w:rPr>
              <w:t xml:space="preserve">the </w:t>
            </w:r>
            <w:r w:rsidRPr="00AF43A2">
              <w:rPr>
                <w:rFonts w:eastAsia="Calibri" w:cs="Arial"/>
                <w:sz w:val="21"/>
                <w:szCs w:val="21"/>
                <w:lang w:val="en-GB"/>
              </w:rPr>
              <w:t>G</w:t>
            </w:r>
            <w:r w:rsidR="004C6416">
              <w:rPr>
                <w:rFonts w:eastAsia="Calibri" w:cs="Arial"/>
                <w:sz w:val="21"/>
                <w:szCs w:val="21"/>
                <w:lang w:val="en-GB"/>
              </w:rPr>
              <w:t xml:space="preserve">overnment of </w:t>
            </w:r>
            <w:r w:rsidRPr="00AF43A2">
              <w:rPr>
                <w:rFonts w:eastAsia="Calibri" w:cs="Arial"/>
                <w:sz w:val="21"/>
                <w:szCs w:val="21"/>
                <w:lang w:val="en-GB"/>
              </w:rPr>
              <w:t>K</w:t>
            </w:r>
            <w:r w:rsidR="004C6416">
              <w:rPr>
                <w:rFonts w:eastAsia="Calibri" w:cs="Arial"/>
                <w:sz w:val="21"/>
                <w:szCs w:val="21"/>
                <w:lang w:val="en-GB"/>
              </w:rPr>
              <w:t>azakhstan</w:t>
            </w:r>
            <w:r w:rsidRPr="00AF43A2">
              <w:rPr>
                <w:rFonts w:eastAsia="Calibri" w:cs="Arial"/>
                <w:sz w:val="21"/>
                <w:szCs w:val="21"/>
                <w:lang w:val="en-GB"/>
              </w:rPr>
              <w:t xml:space="preserve"> supports 57% of all </w:t>
            </w:r>
            <w:r w:rsidRPr="00AF43A2">
              <w:rPr>
                <w:rFonts w:eastAsia="Calibri" w:cs="Arial"/>
                <w:b/>
                <w:i/>
                <w:sz w:val="21"/>
                <w:szCs w:val="21"/>
                <w:lang w:val="en-GB"/>
              </w:rPr>
              <w:t>outreach worker salaries</w:t>
            </w:r>
            <w:r w:rsidRPr="00AF43A2">
              <w:rPr>
                <w:rFonts w:eastAsia="Calibri" w:cs="Arial"/>
                <w:sz w:val="21"/>
                <w:szCs w:val="21"/>
                <w:lang w:val="en-GB"/>
              </w:rPr>
              <w:t xml:space="preserve"> in the country. The current grant supports a total of 196 ORWs (for PWID, SW and MSM) in selected regions: 110 ORWs for PWID in 3 regions; 60 ORWs for SWs in 3 regions; and 26 ORWs for MSM in 4 regions. </w:t>
            </w:r>
          </w:p>
          <w:p w14:paraId="12406D19" w14:textId="77777777" w:rsidR="006B086D" w:rsidRPr="00AF43A2" w:rsidRDefault="006B086D" w:rsidP="000A0528">
            <w:pPr>
              <w:numPr>
                <w:ilvl w:val="0"/>
                <w:numId w:val="38"/>
              </w:numPr>
              <w:spacing w:after="0" w:line="240" w:lineRule="auto"/>
              <w:ind w:left="284" w:hanging="284"/>
              <w:contextualSpacing/>
              <w:jc w:val="both"/>
              <w:rPr>
                <w:rFonts w:eastAsia="Calibri" w:cs="Arial"/>
                <w:color w:val="000000"/>
                <w:sz w:val="21"/>
                <w:szCs w:val="21"/>
                <w:lang w:val="en-GB"/>
              </w:rPr>
            </w:pPr>
            <w:r w:rsidRPr="00AF43A2">
              <w:rPr>
                <w:rFonts w:eastAsia="Calibri" w:cs="Arial"/>
                <w:sz w:val="21"/>
                <w:szCs w:val="21"/>
                <w:lang w:val="en-GB"/>
              </w:rPr>
              <w:t xml:space="preserve">The Funding request seeks funding from the GF to support Outreach work in selected Regions with highest </w:t>
            </w:r>
            <w:r w:rsidRPr="00AF43A2">
              <w:rPr>
                <w:rFonts w:eastAsia="Calibri" w:cs="Arial"/>
                <w:color w:val="000000"/>
                <w:sz w:val="21"/>
                <w:szCs w:val="21"/>
                <w:lang w:val="en-GB"/>
              </w:rPr>
              <w:t xml:space="preserve">burden of disease. </w:t>
            </w:r>
            <w:r w:rsidRPr="00AF43A2">
              <w:rPr>
                <w:rFonts w:eastAsia="Calibri" w:cs="Arial"/>
                <w:b/>
                <w:i/>
                <w:color w:val="000000"/>
                <w:sz w:val="21"/>
                <w:szCs w:val="21"/>
                <w:lang w:val="en-GB"/>
              </w:rPr>
              <w:t>GF support for SW ORWs is no longer requested</w:t>
            </w:r>
            <w:r w:rsidRPr="00AF43A2">
              <w:rPr>
                <w:rFonts w:eastAsia="Calibri" w:cs="Arial"/>
                <w:color w:val="000000"/>
                <w:sz w:val="21"/>
                <w:szCs w:val="21"/>
                <w:lang w:val="en-GB"/>
              </w:rPr>
              <w:t>. Government already finances Government ORWs, nurses and other staff at Regional AIDS Centres. In 3 Regions supported by the GF, the State will increasingly absorb NGO-based ORWs through social contracting: GF support for PWID ORWs will decrease from 70 in 2021 to 60 in 2022 and 50 in 2023. Similarly, the State will absorb decreasing numbers of ORWs for MSM in 6 regions.</w:t>
            </w:r>
          </w:p>
          <w:p w14:paraId="4CA61A3E" w14:textId="4C2BF4EA" w:rsidR="006B086D" w:rsidRPr="00AF43A2" w:rsidRDefault="006B086D" w:rsidP="000A0528">
            <w:pPr>
              <w:numPr>
                <w:ilvl w:val="0"/>
                <w:numId w:val="39"/>
              </w:numPr>
              <w:spacing w:after="0" w:line="240" w:lineRule="auto"/>
              <w:ind w:left="284" w:hanging="284"/>
              <w:contextualSpacing/>
              <w:jc w:val="both"/>
              <w:rPr>
                <w:rFonts w:eastAsia="Calibri" w:cs="Arial"/>
                <w:color w:val="000000"/>
                <w:sz w:val="21"/>
                <w:szCs w:val="21"/>
                <w:lang w:val="en-GB"/>
              </w:rPr>
            </w:pPr>
            <w:r w:rsidRPr="00AF43A2">
              <w:rPr>
                <w:rFonts w:eastAsia="Calibri" w:cs="Arial"/>
                <w:b/>
                <w:i/>
                <w:color w:val="000000"/>
                <w:sz w:val="21"/>
                <w:szCs w:val="21"/>
                <w:lang w:val="en-GB"/>
              </w:rPr>
              <w:t>Community-based rapid oral testing and HIVST</w:t>
            </w:r>
            <w:r w:rsidRPr="00AF43A2">
              <w:rPr>
                <w:rFonts w:eastAsia="Calibri" w:cs="Arial"/>
                <w:color w:val="000000"/>
                <w:sz w:val="21"/>
                <w:szCs w:val="21"/>
                <w:lang w:val="en-GB"/>
              </w:rPr>
              <w:t>: State will co-finance 20-40-60% of OraQuick tests (2021-2023) among KPs in all 17 regions; in addition, the State will finance 25% and 50% of OraQuick tests for HIVST in 2022 and 2023.</w:t>
            </w:r>
          </w:p>
          <w:p w14:paraId="1B49A547" w14:textId="77777777" w:rsidR="006B086D" w:rsidRPr="00AF43A2" w:rsidRDefault="006B086D" w:rsidP="000A0528">
            <w:pPr>
              <w:numPr>
                <w:ilvl w:val="0"/>
                <w:numId w:val="39"/>
              </w:numPr>
              <w:spacing w:after="0" w:line="240" w:lineRule="auto"/>
              <w:ind w:left="284" w:hanging="284"/>
              <w:contextualSpacing/>
              <w:jc w:val="both"/>
              <w:rPr>
                <w:rFonts w:eastAsia="Calibri" w:cs="Arial"/>
                <w:color w:val="000000"/>
                <w:sz w:val="21"/>
                <w:szCs w:val="21"/>
                <w:lang w:val="en-GB"/>
              </w:rPr>
            </w:pPr>
            <w:r w:rsidRPr="00AF43A2">
              <w:rPr>
                <w:rFonts w:eastAsia="Calibri" w:cs="Arial"/>
                <w:b/>
                <w:i/>
                <w:color w:val="000000"/>
                <w:sz w:val="21"/>
                <w:szCs w:val="21"/>
                <w:lang w:val="en-GB"/>
              </w:rPr>
              <w:t>Legal support for KPs and PLHIV</w:t>
            </w:r>
            <w:r w:rsidRPr="00AF43A2">
              <w:rPr>
                <w:rFonts w:eastAsia="Calibri" w:cs="Arial"/>
                <w:color w:val="000000"/>
                <w:sz w:val="21"/>
                <w:szCs w:val="21"/>
                <w:lang w:val="en-GB"/>
              </w:rPr>
              <w:t xml:space="preserve"> will be provided in 4 Regions by the grant; the State already finances free legal support in all regions: this will increasingly focus on PLHIV and KPs as well in the course of 2021-2023.</w:t>
            </w:r>
          </w:p>
          <w:p w14:paraId="735645B8" w14:textId="77777777" w:rsidR="006B086D" w:rsidRPr="00AF43A2" w:rsidRDefault="006B086D" w:rsidP="000A0528">
            <w:pPr>
              <w:numPr>
                <w:ilvl w:val="0"/>
                <w:numId w:val="39"/>
              </w:numPr>
              <w:spacing w:after="0" w:line="240" w:lineRule="auto"/>
              <w:ind w:left="284" w:hanging="284"/>
              <w:contextualSpacing/>
              <w:jc w:val="both"/>
              <w:rPr>
                <w:rFonts w:eastAsia="Calibri" w:cs="Arial"/>
                <w:color w:val="000000"/>
                <w:sz w:val="21"/>
                <w:szCs w:val="21"/>
                <w:lang w:val="en-GB"/>
              </w:rPr>
            </w:pPr>
            <w:r w:rsidRPr="00AF43A2">
              <w:rPr>
                <w:rFonts w:eastAsia="Calibri" w:cs="Arial"/>
                <w:color w:val="000000"/>
                <w:sz w:val="21"/>
                <w:szCs w:val="21"/>
                <w:lang w:val="en-GB"/>
              </w:rPr>
              <w:t xml:space="preserve">The State already covers the bulk of the cost of developing social contracting and </w:t>
            </w:r>
            <w:r w:rsidRPr="00AF43A2">
              <w:rPr>
                <w:rFonts w:eastAsia="Calibri" w:cs="Arial"/>
                <w:b/>
                <w:i/>
                <w:color w:val="000000"/>
                <w:sz w:val="21"/>
                <w:szCs w:val="21"/>
                <w:lang w:val="en-GB"/>
              </w:rPr>
              <w:t>Compulsory Social Health Insurance</w:t>
            </w:r>
            <w:r w:rsidRPr="00AF43A2">
              <w:rPr>
                <w:rFonts w:eastAsia="Calibri" w:cs="Arial"/>
                <w:color w:val="000000"/>
                <w:sz w:val="21"/>
                <w:szCs w:val="21"/>
                <w:lang w:val="en-GB"/>
              </w:rPr>
              <w:t xml:space="preserve"> (CSHI). The grant will support strengthening of </w:t>
            </w:r>
            <w:r w:rsidRPr="00AF43A2">
              <w:rPr>
                <w:rFonts w:eastAsia="Calibri" w:cs="Arial"/>
                <w:b/>
                <w:i/>
                <w:color w:val="000000"/>
                <w:sz w:val="21"/>
                <w:szCs w:val="21"/>
                <w:lang w:val="en-GB"/>
              </w:rPr>
              <w:t>sustainable funding for KPs</w:t>
            </w:r>
            <w:r w:rsidRPr="00AF43A2">
              <w:rPr>
                <w:rFonts w:eastAsia="Calibri" w:cs="Arial"/>
                <w:color w:val="000000"/>
                <w:sz w:val="21"/>
                <w:szCs w:val="21"/>
                <w:lang w:val="en-GB"/>
              </w:rPr>
              <w:t xml:space="preserve"> by strengthening </w:t>
            </w:r>
            <w:r w:rsidRPr="00AF43A2">
              <w:rPr>
                <w:rFonts w:eastAsia="Calibri" w:cs="Arial"/>
                <w:b/>
                <w:i/>
                <w:color w:val="000000"/>
                <w:sz w:val="21"/>
                <w:szCs w:val="21"/>
                <w:lang w:val="en-GB"/>
              </w:rPr>
              <w:t xml:space="preserve">social contracting </w:t>
            </w:r>
            <w:r w:rsidRPr="00AF43A2">
              <w:rPr>
                <w:rFonts w:eastAsia="Calibri" w:cs="Arial"/>
                <w:color w:val="000000"/>
                <w:sz w:val="21"/>
                <w:szCs w:val="21"/>
                <w:lang w:val="en-GB"/>
              </w:rPr>
              <w:t>mechanisms, as well as integrating HIV prevention services for KPs in CSHI</w:t>
            </w:r>
            <w:r w:rsidRPr="00AF43A2">
              <w:rPr>
                <w:rFonts w:eastAsia="Calibri" w:cs="Arial"/>
                <w:b/>
                <w:i/>
                <w:color w:val="000000"/>
                <w:sz w:val="21"/>
                <w:szCs w:val="21"/>
                <w:lang w:val="en-GB"/>
              </w:rPr>
              <w:t>:</w:t>
            </w:r>
            <w:r w:rsidRPr="00AF43A2">
              <w:rPr>
                <w:rFonts w:eastAsia="Calibri" w:cs="Arial"/>
                <w:color w:val="000000"/>
                <w:sz w:val="21"/>
                <w:szCs w:val="21"/>
                <w:lang w:val="en-GB"/>
              </w:rPr>
              <w:t xml:space="preserve"> this aims to increase co-financing of NGO services for KPs by the State in the course of 2021-2023. </w:t>
            </w:r>
          </w:p>
          <w:p w14:paraId="4FBD9522" w14:textId="1C93CEFC" w:rsidR="006B086D" w:rsidRPr="00AF43A2" w:rsidRDefault="006B086D" w:rsidP="000A0528">
            <w:pPr>
              <w:numPr>
                <w:ilvl w:val="0"/>
                <w:numId w:val="39"/>
              </w:numPr>
              <w:spacing w:after="0" w:line="240" w:lineRule="auto"/>
              <w:ind w:left="284" w:hanging="284"/>
              <w:contextualSpacing/>
              <w:jc w:val="both"/>
              <w:rPr>
                <w:rFonts w:eastAsia="Calibri" w:cs="Arial"/>
                <w:color w:val="000000"/>
                <w:sz w:val="21"/>
                <w:szCs w:val="21"/>
                <w:lang w:val="en-GB"/>
              </w:rPr>
            </w:pPr>
            <w:r w:rsidRPr="00AF43A2">
              <w:rPr>
                <w:rFonts w:eastAsia="Calibri" w:cs="Arial"/>
                <w:color w:val="000000"/>
                <w:sz w:val="21"/>
                <w:szCs w:val="21"/>
                <w:lang w:val="en-GB"/>
              </w:rPr>
              <w:t xml:space="preserve">The grant will support </w:t>
            </w:r>
            <w:r w:rsidRPr="00AF43A2">
              <w:rPr>
                <w:rFonts w:eastAsia="Calibri" w:cs="Arial"/>
                <w:b/>
                <w:i/>
                <w:color w:val="000000"/>
                <w:sz w:val="21"/>
                <w:szCs w:val="21"/>
                <w:lang w:val="en-GB"/>
              </w:rPr>
              <w:t>strengthening of institutional capacity of NGOs</w:t>
            </w:r>
            <w:r w:rsidRPr="00AF43A2">
              <w:rPr>
                <w:rFonts w:eastAsia="Calibri" w:cs="Arial"/>
                <w:color w:val="000000"/>
                <w:sz w:val="21"/>
                <w:szCs w:val="21"/>
                <w:lang w:val="en-GB"/>
              </w:rPr>
              <w:t>; the State also has mechanisms in place to strengthen civil society, which will co-finance th</w:t>
            </w:r>
            <w:r w:rsidR="004C6416">
              <w:rPr>
                <w:rFonts w:eastAsia="Calibri" w:cs="Arial"/>
                <w:color w:val="000000"/>
                <w:sz w:val="21"/>
                <w:szCs w:val="21"/>
                <w:lang w:val="en-GB"/>
              </w:rPr>
              <w:t>is</w:t>
            </w:r>
            <w:r w:rsidRPr="00AF43A2">
              <w:rPr>
                <w:rFonts w:eastAsia="Calibri" w:cs="Arial"/>
                <w:color w:val="000000"/>
                <w:sz w:val="21"/>
                <w:szCs w:val="21"/>
                <w:lang w:val="en-GB"/>
              </w:rPr>
              <w:t xml:space="preserve"> kind of interventions. In addition, the state will </w:t>
            </w:r>
            <w:r w:rsidRPr="00AF43A2">
              <w:rPr>
                <w:rFonts w:eastAsia="Calibri" w:cs="Arial"/>
                <w:color w:val="000000"/>
                <w:sz w:val="21"/>
                <w:szCs w:val="21"/>
                <w:lang w:val="en-GB"/>
              </w:rPr>
              <w:lastRenderedPageBreak/>
              <w:t>co-finance 40% (USD 8,000; 2022) and 70% (USD 14,000; 2023) of the costs for mentoring of 20 NGOs per year.</w:t>
            </w:r>
          </w:p>
          <w:p w14:paraId="370F2BC5" w14:textId="77777777" w:rsidR="006B086D" w:rsidRPr="00AF43A2" w:rsidRDefault="006B086D" w:rsidP="000A0528">
            <w:pPr>
              <w:spacing w:after="0" w:line="240" w:lineRule="auto"/>
              <w:jc w:val="both"/>
              <w:rPr>
                <w:rFonts w:eastAsia="Calibri" w:cs="Arial"/>
                <w:color w:val="000000"/>
                <w:sz w:val="8"/>
                <w:szCs w:val="8"/>
                <w:lang w:val="en-GB"/>
              </w:rPr>
            </w:pPr>
          </w:p>
          <w:p w14:paraId="5C0EE60D" w14:textId="77777777" w:rsidR="006B086D" w:rsidRPr="00AF43A2" w:rsidRDefault="006B086D" w:rsidP="000A0528">
            <w:pPr>
              <w:spacing w:after="0" w:line="240" w:lineRule="auto"/>
              <w:rPr>
                <w:rFonts w:eastAsia="Calibri" w:cs="Arial"/>
                <w:b/>
                <w:i/>
                <w:color w:val="000000"/>
                <w:sz w:val="21"/>
                <w:szCs w:val="21"/>
                <w:lang w:val="en-GB"/>
              </w:rPr>
            </w:pPr>
            <w:r w:rsidRPr="00AF43A2">
              <w:rPr>
                <w:rFonts w:eastAsia="Calibri" w:cs="Arial"/>
                <w:b/>
                <w:i/>
                <w:color w:val="000000"/>
                <w:sz w:val="21"/>
                <w:szCs w:val="21"/>
                <w:lang w:val="en-GB"/>
              </w:rPr>
              <w:t>Equipment:</w:t>
            </w:r>
          </w:p>
          <w:p w14:paraId="429C777C" w14:textId="77777777" w:rsidR="006B086D" w:rsidRPr="00AF43A2" w:rsidRDefault="006B086D" w:rsidP="000A0528">
            <w:pPr>
              <w:numPr>
                <w:ilvl w:val="0"/>
                <w:numId w:val="41"/>
              </w:numPr>
              <w:spacing w:after="0" w:line="240" w:lineRule="auto"/>
              <w:ind w:left="284" w:hanging="284"/>
              <w:contextualSpacing/>
              <w:rPr>
                <w:rFonts w:eastAsia="Calibri" w:cs="Arial"/>
                <w:color w:val="000000"/>
                <w:sz w:val="21"/>
                <w:szCs w:val="21"/>
                <w:lang w:val="en-GB"/>
              </w:rPr>
            </w:pPr>
            <w:r w:rsidRPr="00AF43A2">
              <w:rPr>
                <w:rFonts w:eastAsia="Calibri" w:cs="Arial"/>
                <w:color w:val="000000"/>
                <w:sz w:val="21"/>
                <w:szCs w:val="21"/>
                <w:lang w:val="en-GB"/>
              </w:rPr>
              <w:t>The State will co-finance 161 Tablet computers for Fixed and Mobile Trust Points and Friendly Rooms/Cabinets (26% of all costs); while the GF grant will cover Tablets for ORWs of AIDS Centres and NGOs (n=453)</w:t>
            </w:r>
          </w:p>
          <w:p w14:paraId="03A223A2" w14:textId="34A93ABB" w:rsidR="001F0028" w:rsidRPr="00AF43A2" w:rsidRDefault="001F0028" w:rsidP="000A0528">
            <w:pPr>
              <w:spacing w:after="0" w:line="240" w:lineRule="auto"/>
              <w:jc w:val="both"/>
              <w:rPr>
                <w:rFonts w:asciiTheme="minorHAnsi" w:hAnsiTheme="minorHAnsi" w:cstheme="minorHAnsi"/>
                <w:sz w:val="8"/>
                <w:szCs w:val="8"/>
              </w:rPr>
            </w:pPr>
          </w:p>
        </w:tc>
      </w:tr>
    </w:tbl>
    <w:p w14:paraId="635A9B97" w14:textId="77777777" w:rsidR="00172EDE" w:rsidRPr="00AF43A2" w:rsidRDefault="00172EDE" w:rsidP="000A0528">
      <w:pPr>
        <w:spacing w:after="0" w:line="240" w:lineRule="auto"/>
        <w:rPr>
          <w:rFonts w:asciiTheme="minorHAnsi" w:hAnsiTheme="minorHAnsi" w:cstheme="minorHAnsi"/>
        </w:rPr>
      </w:pPr>
    </w:p>
    <w:p w14:paraId="1EC4B881" w14:textId="51861001" w:rsidR="00824D66" w:rsidRPr="00AF43A2" w:rsidRDefault="00824D66" w:rsidP="000A0528">
      <w:pPr>
        <w:spacing w:after="0" w:line="240" w:lineRule="auto"/>
        <w:rPr>
          <w:rFonts w:asciiTheme="minorHAnsi" w:hAnsiTheme="minorHAnsi" w:cstheme="minorHAnsi"/>
          <w:b/>
        </w:rPr>
      </w:pPr>
    </w:p>
    <w:p w14:paraId="642F358F" w14:textId="54035445" w:rsidR="00485066" w:rsidRPr="00AF43A2" w:rsidRDefault="00824D66" w:rsidP="000A0528">
      <w:pPr>
        <w:spacing w:after="0" w:line="240" w:lineRule="auto"/>
        <w:rPr>
          <w:rFonts w:asciiTheme="minorHAnsi" w:hAnsiTheme="minorHAnsi" w:cstheme="minorHAnsi"/>
          <w:b/>
        </w:rPr>
      </w:pPr>
      <w:r w:rsidRPr="00AF43A2">
        <w:rPr>
          <w:rFonts w:asciiTheme="minorHAnsi" w:hAnsiTheme="minorHAnsi" w:cstheme="minorHAnsi"/>
          <w:b/>
        </w:rPr>
        <w:t xml:space="preserve">3.2 </w:t>
      </w:r>
      <w:r w:rsidR="00485066" w:rsidRPr="00AF43A2">
        <w:rPr>
          <w:rFonts w:asciiTheme="minorHAnsi" w:hAnsiTheme="minorHAnsi" w:cstheme="minorHAnsi"/>
          <w:b/>
        </w:rPr>
        <w:t>Sustainability and Transition</w:t>
      </w:r>
    </w:p>
    <w:p w14:paraId="02269AED" w14:textId="77777777" w:rsidR="00485066" w:rsidRPr="00F4260B" w:rsidRDefault="00485066" w:rsidP="000A0528">
      <w:pPr>
        <w:pStyle w:val="af0"/>
        <w:rPr>
          <w:rFonts w:asciiTheme="minorHAnsi" w:hAnsiTheme="minorHAnsi" w:cstheme="minorHAnsi"/>
          <w:sz w:val="12"/>
          <w:szCs w:val="12"/>
        </w:rPr>
      </w:pPr>
    </w:p>
    <w:p w14:paraId="3BD3EFF8" w14:textId="415F8612" w:rsidR="00B74DAA" w:rsidRPr="00AF43A2" w:rsidRDefault="0069127F" w:rsidP="000A0528">
      <w:pPr>
        <w:pStyle w:val="affff3"/>
        <w:numPr>
          <w:ilvl w:val="0"/>
          <w:numId w:val="22"/>
        </w:numPr>
        <w:spacing w:after="0" w:line="240" w:lineRule="auto"/>
        <w:jc w:val="both"/>
        <w:rPr>
          <w:rFonts w:asciiTheme="minorHAnsi" w:hAnsiTheme="minorHAnsi" w:cstheme="minorHAnsi"/>
        </w:rPr>
      </w:pPr>
      <w:r w:rsidRPr="00AF43A2">
        <w:rPr>
          <w:rFonts w:asciiTheme="minorHAnsi" w:hAnsiTheme="minorHAnsi" w:cstheme="minorHAnsi"/>
        </w:rPr>
        <w:t>Based on the analysis in t</w:t>
      </w:r>
      <w:r w:rsidR="00B74DAA" w:rsidRPr="00AF43A2">
        <w:rPr>
          <w:rFonts w:asciiTheme="minorHAnsi" w:hAnsiTheme="minorHAnsi" w:cstheme="minorHAnsi"/>
        </w:rPr>
        <w:t xml:space="preserve">he </w:t>
      </w:r>
      <w:r w:rsidR="00B74DAA" w:rsidRPr="00AF43A2">
        <w:rPr>
          <w:rFonts w:asciiTheme="minorHAnsi" w:hAnsiTheme="minorHAnsi" w:cstheme="minorHAnsi"/>
          <w:b/>
        </w:rPr>
        <w:t>Funding Landscape T</w:t>
      </w:r>
      <w:r w:rsidRPr="00AF43A2">
        <w:rPr>
          <w:rFonts w:asciiTheme="minorHAnsi" w:hAnsiTheme="minorHAnsi" w:cstheme="minorHAnsi"/>
          <w:b/>
        </w:rPr>
        <w:t>able</w:t>
      </w:r>
      <w:r w:rsidR="00F112AD" w:rsidRPr="00AF43A2">
        <w:rPr>
          <w:rFonts w:asciiTheme="minorHAnsi" w:hAnsiTheme="minorHAnsi" w:cstheme="minorHAnsi"/>
          <w:b/>
        </w:rPr>
        <w:t>(</w:t>
      </w:r>
      <w:r w:rsidRPr="00AF43A2">
        <w:rPr>
          <w:rFonts w:asciiTheme="minorHAnsi" w:hAnsiTheme="minorHAnsi" w:cstheme="minorHAnsi"/>
          <w:b/>
        </w:rPr>
        <w:t>s</w:t>
      </w:r>
      <w:r w:rsidR="00F112AD" w:rsidRPr="00AF43A2">
        <w:rPr>
          <w:rFonts w:asciiTheme="minorHAnsi" w:hAnsiTheme="minorHAnsi" w:cstheme="minorHAnsi"/>
          <w:b/>
        </w:rPr>
        <w:t>)</w:t>
      </w:r>
      <w:r w:rsidRPr="00AF43A2">
        <w:rPr>
          <w:rFonts w:asciiTheme="minorHAnsi" w:hAnsiTheme="minorHAnsi" w:cstheme="minorHAnsi"/>
          <w:b/>
        </w:rPr>
        <w:t>,</w:t>
      </w:r>
      <w:r w:rsidRPr="00AF43A2">
        <w:rPr>
          <w:rFonts w:asciiTheme="minorHAnsi" w:hAnsiTheme="minorHAnsi" w:cstheme="minorHAnsi"/>
        </w:rPr>
        <w:t xml:space="preserve"> describe</w:t>
      </w:r>
      <w:r w:rsidR="00B74DAA" w:rsidRPr="00AF43A2">
        <w:rPr>
          <w:rFonts w:asciiTheme="minorHAnsi" w:hAnsiTheme="minorHAnsi" w:cstheme="minorHAnsi"/>
        </w:rPr>
        <w:t xml:space="preserve"> the funding need and </w:t>
      </w:r>
      <w:r w:rsidRPr="00AF43A2">
        <w:rPr>
          <w:rFonts w:asciiTheme="minorHAnsi" w:hAnsiTheme="minorHAnsi" w:cstheme="minorHAnsi"/>
        </w:rPr>
        <w:t xml:space="preserve">anticipated </w:t>
      </w:r>
      <w:r w:rsidR="00485066" w:rsidRPr="00AF43A2">
        <w:rPr>
          <w:rFonts w:asciiTheme="minorHAnsi" w:hAnsiTheme="minorHAnsi" w:cstheme="minorHAnsi"/>
        </w:rPr>
        <w:t>funding</w:t>
      </w:r>
      <w:r w:rsidR="00572198" w:rsidRPr="00AF43A2">
        <w:rPr>
          <w:rFonts w:asciiTheme="minorHAnsi" w:hAnsiTheme="minorHAnsi" w:cstheme="minorHAnsi"/>
        </w:rPr>
        <w:t xml:space="preserve">, </w:t>
      </w:r>
      <w:r w:rsidR="00A06BA5" w:rsidRPr="00AF43A2">
        <w:rPr>
          <w:rFonts w:asciiTheme="minorHAnsi" w:hAnsiTheme="minorHAnsi" w:cstheme="minorHAnsi"/>
        </w:rPr>
        <w:t>highlighting</w:t>
      </w:r>
      <w:r w:rsidRPr="00AF43A2">
        <w:rPr>
          <w:rFonts w:asciiTheme="minorHAnsi" w:hAnsiTheme="minorHAnsi" w:cstheme="minorHAnsi"/>
        </w:rPr>
        <w:t xml:space="preserve"> </w:t>
      </w:r>
      <w:r w:rsidR="00485066" w:rsidRPr="00AF43A2">
        <w:rPr>
          <w:rFonts w:asciiTheme="minorHAnsi" w:hAnsiTheme="minorHAnsi" w:cstheme="minorHAnsi"/>
        </w:rPr>
        <w:t>gaps for major program</w:t>
      </w:r>
      <w:r w:rsidR="005F0694" w:rsidRPr="00AF43A2">
        <w:rPr>
          <w:rFonts w:asciiTheme="minorHAnsi" w:hAnsiTheme="minorHAnsi" w:cstheme="minorHAnsi"/>
        </w:rPr>
        <w:t>me</w:t>
      </w:r>
      <w:r w:rsidR="00485066" w:rsidRPr="00AF43A2">
        <w:rPr>
          <w:rFonts w:asciiTheme="minorHAnsi" w:hAnsiTheme="minorHAnsi" w:cstheme="minorHAnsi"/>
        </w:rPr>
        <w:t xml:space="preserve"> areas in the </w:t>
      </w:r>
      <w:r w:rsidR="00A9213B" w:rsidRPr="00AF43A2">
        <w:rPr>
          <w:rFonts w:asciiTheme="minorHAnsi" w:hAnsiTheme="minorHAnsi" w:cstheme="minorHAnsi"/>
        </w:rPr>
        <w:t>next</w:t>
      </w:r>
      <w:r w:rsidR="00485066" w:rsidRPr="00AF43A2">
        <w:rPr>
          <w:rFonts w:asciiTheme="minorHAnsi" w:hAnsiTheme="minorHAnsi" w:cstheme="minorHAnsi"/>
        </w:rPr>
        <w:t xml:space="preserve"> allocation period. </w:t>
      </w:r>
    </w:p>
    <w:p w14:paraId="1E121FC3" w14:textId="00160960" w:rsidR="00485066" w:rsidRPr="00AF43A2" w:rsidRDefault="00485066" w:rsidP="000A0528">
      <w:pPr>
        <w:pStyle w:val="affff3"/>
        <w:spacing w:after="0" w:line="240" w:lineRule="auto"/>
        <w:ind w:left="360"/>
        <w:jc w:val="both"/>
        <w:rPr>
          <w:rFonts w:asciiTheme="minorHAnsi" w:hAnsiTheme="minorHAnsi" w:cstheme="minorHAnsi"/>
        </w:rPr>
      </w:pPr>
      <w:r w:rsidRPr="00AF43A2">
        <w:rPr>
          <w:rFonts w:asciiTheme="minorHAnsi" w:hAnsiTheme="minorHAnsi" w:cstheme="minorHAnsi"/>
        </w:rPr>
        <w:t>Also</w:t>
      </w:r>
      <w:r w:rsidR="006D1A08" w:rsidRPr="00AF43A2">
        <w:rPr>
          <w:rFonts w:asciiTheme="minorHAnsi" w:hAnsiTheme="minorHAnsi" w:cstheme="minorHAnsi"/>
        </w:rPr>
        <w:t>,</w:t>
      </w:r>
      <w:r w:rsidRPr="00AF43A2">
        <w:rPr>
          <w:rFonts w:asciiTheme="minorHAnsi" w:hAnsiTheme="minorHAnsi" w:cstheme="minorHAnsi"/>
        </w:rPr>
        <w:t xml:space="preserve"> describe how</w:t>
      </w:r>
      <w:r w:rsidR="0069127F" w:rsidRPr="00AF43A2">
        <w:rPr>
          <w:rFonts w:asciiTheme="minorHAnsi" w:hAnsiTheme="minorHAnsi" w:cstheme="minorHAnsi"/>
        </w:rPr>
        <w:t xml:space="preserve"> </w:t>
      </w:r>
      <w:r w:rsidR="00411CF4" w:rsidRPr="00AF43A2">
        <w:rPr>
          <w:rFonts w:asciiTheme="minorHAnsi" w:hAnsiTheme="minorHAnsi" w:cstheme="minorHAnsi"/>
        </w:rPr>
        <w:t>(</w:t>
      </w:r>
      <w:r w:rsidR="0069127F" w:rsidRPr="00AF43A2">
        <w:rPr>
          <w:rFonts w:asciiTheme="minorHAnsi" w:hAnsiTheme="minorHAnsi" w:cstheme="minorHAnsi"/>
        </w:rPr>
        <w:t>i)</w:t>
      </w:r>
      <w:r w:rsidRPr="00AF43A2">
        <w:rPr>
          <w:rFonts w:asciiTheme="minorHAnsi" w:hAnsiTheme="minorHAnsi" w:cstheme="minorHAnsi"/>
          <w:b/>
        </w:rPr>
        <w:t xml:space="preserve"> </w:t>
      </w:r>
      <w:r w:rsidRPr="00AF43A2">
        <w:rPr>
          <w:rFonts w:asciiTheme="minorHAnsi" w:hAnsiTheme="minorHAnsi" w:cstheme="minorHAnsi"/>
        </w:rPr>
        <w:t xml:space="preserve">national authorities will work to secure additional funding or new sources of </w:t>
      </w:r>
      <w:r w:rsidR="006D1A08" w:rsidRPr="00AF43A2">
        <w:rPr>
          <w:rFonts w:asciiTheme="minorHAnsi" w:hAnsiTheme="minorHAnsi" w:cstheme="minorHAnsi"/>
        </w:rPr>
        <w:t>funding</w:t>
      </w:r>
      <w:r w:rsidRPr="00AF43A2">
        <w:rPr>
          <w:rFonts w:asciiTheme="minorHAnsi" w:hAnsiTheme="minorHAnsi" w:cstheme="minorHAnsi"/>
        </w:rPr>
        <w:t>, and</w:t>
      </w:r>
      <w:r w:rsidR="00411CF4" w:rsidRPr="00AF43A2">
        <w:rPr>
          <w:rFonts w:asciiTheme="minorHAnsi" w:hAnsiTheme="minorHAnsi" w:cstheme="minorHAnsi"/>
        </w:rPr>
        <w:t>/or</w:t>
      </w:r>
      <w:r w:rsidRPr="00AF43A2">
        <w:rPr>
          <w:rFonts w:asciiTheme="minorHAnsi" w:hAnsiTheme="minorHAnsi" w:cstheme="minorHAnsi"/>
        </w:rPr>
        <w:t xml:space="preserve"> </w:t>
      </w:r>
      <w:r w:rsidR="00411CF4" w:rsidRPr="00AF43A2">
        <w:rPr>
          <w:rFonts w:asciiTheme="minorHAnsi" w:hAnsiTheme="minorHAnsi" w:cstheme="minorHAnsi"/>
        </w:rPr>
        <w:t>(</w:t>
      </w:r>
      <w:r w:rsidR="0069127F" w:rsidRPr="00AF43A2">
        <w:rPr>
          <w:rFonts w:asciiTheme="minorHAnsi" w:hAnsiTheme="minorHAnsi" w:cstheme="minorHAnsi"/>
        </w:rPr>
        <w:t>ii)</w:t>
      </w:r>
      <w:r w:rsidR="0069127F" w:rsidRPr="00AF43A2">
        <w:rPr>
          <w:rFonts w:asciiTheme="minorHAnsi" w:hAnsiTheme="minorHAnsi" w:cstheme="minorHAnsi"/>
          <w:b/>
        </w:rPr>
        <w:t xml:space="preserve"> </w:t>
      </w:r>
      <w:r w:rsidR="00B74DAA" w:rsidRPr="00AF43A2">
        <w:rPr>
          <w:rFonts w:asciiTheme="minorHAnsi" w:hAnsiTheme="minorHAnsi" w:cstheme="minorHAnsi"/>
        </w:rPr>
        <w:t>pursue efficiencies</w:t>
      </w:r>
      <w:r w:rsidRPr="00AF43A2">
        <w:rPr>
          <w:rFonts w:asciiTheme="minorHAnsi" w:hAnsiTheme="minorHAnsi" w:cstheme="minorHAnsi"/>
        </w:rPr>
        <w:t xml:space="preserve"> to ensure sufficient support for key interventions, particularly those currently </w:t>
      </w:r>
      <w:r w:rsidR="006D1A08" w:rsidRPr="00AF43A2">
        <w:rPr>
          <w:rFonts w:asciiTheme="minorHAnsi" w:hAnsiTheme="minorHAnsi" w:cstheme="minorHAnsi"/>
        </w:rPr>
        <w:t xml:space="preserve">funded </w:t>
      </w:r>
      <w:r w:rsidRPr="00AF43A2">
        <w:rPr>
          <w:rFonts w:asciiTheme="minorHAnsi" w:hAnsiTheme="minorHAnsi" w:cstheme="minorHAnsi"/>
        </w:rPr>
        <w:t>by the Global Fund</w:t>
      </w:r>
      <w:r w:rsidR="0069127F" w:rsidRPr="00AF43A2">
        <w:rPr>
          <w:rFonts w:asciiTheme="minorHAnsi" w:hAnsiTheme="minorHAnsi" w:cstheme="minorHAnsi"/>
        </w:rPr>
        <w:t>.</w:t>
      </w:r>
    </w:p>
    <w:p w14:paraId="63CE6929" w14:textId="77777777" w:rsidR="00BE0F0C" w:rsidRPr="00AF43A2" w:rsidRDefault="00BE0F0C" w:rsidP="000A0528">
      <w:pPr>
        <w:pStyle w:val="affff3"/>
        <w:spacing w:after="0" w:line="240" w:lineRule="auto"/>
        <w:ind w:left="360"/>
        <w:jc w:val="both"/>
        <w:rPr>
          <w:rFonts w:asciiTheme="minorHAnsi" w:hAnsiTheme="minorHAnsi" w:cstheme="minorHAnsi"/>
        </w:rPr>
      </w:pPr>
    </w:p>
    <w:tbl>
      <w:tblPr>
        <w:tblStyle w:val="aa"/>
        <w:tblW w:w="0" w:type="auto"/>
        <w:tblLook w:val="04A0" w:firstRow="1" w:lastRow="0" w:firstColumn="1" w:lastColumn="0" w:noHBand="0" w:noVBand="1"/>
      </w:tblPr>
      <w:tblGrid>
        <w:gridCol w:w="10456"/>
      </w:tblGrid>
      <w:tr w:rsidR="00485066" w:rsidRPr="00AF43A2" w14:paraId="19E52BCF" w14:textId="77777777" w:rsidTr="005279BC">
        <w:tc>
          <w:tcPr>
            <w:tcW w:w="10790" w:type="dxa"/>
          </w:tcPr>
          <w:p w14:paraId="75E97113" w14:textId="3A03F9F1" w:rsidR="007B0D15" w:rsidRPr="00AF43A2" w:rsidRDefault="00CF0CF4" w:rsidP="000A0528">
            <w:pPr>
              <w:spacing w:after="0" w:line="240" w:lineRule="auto"/>
              <w:jc w:val="both"/>
              <w:rPr>
                <w:rFonts w:eastAsia="Calibri" w:cs="Arial"/>
                <w:color w:val="1E1E1E" w:themeColor="background2"/>
                <w:sz w:val="21"/>
                <w:szCs w:val="21"/>
              </w:rPr>
            </w:pPr>
            <w:r w:rsidRPr="00AF43A2">
              <w:rPr>
                <w:rFonts w:eastAsia="Calibri" w:cs="Arial"/>
                <w:sz w:val="21"/>
                <w:szCs w:val="21"/>
              </w:rPr>
              <w:t>The</w:t>
            </w:r>
            <w:r w:rsidR="0041443E" w:rsidRPr="00AF43A2">
              <w:rPr>
                <w:rFonts w:eastAsia="Calibri" w:cs="Arial"/>
                <w:sz w:val="21"/>
                <w:szCs w:val="21"/>
              </w:rPr>
              <w:t xml:space="preserve"> </w:t>
            </w:r>
            <w:r w:rsidR="0041443E" w:rsidRPr="00643CD3">
              <w:rPr>
                <w:rFonts w:eastAsia="Calibri" w:cs="Arial"/>
                <w:b/>
                <w:i/>
                <w:sz w:val="21"/>
                <w:szCs w:val="21"/>
              </w:rPr>
              <w:t>total</w:t>
            </w:r>
            <w:r w:rsidRPr="00643CD3">
              <w:rPr>
                <w:rFonts w:eastAsia="Calibri" w:cs="Arial"/>
                <w:b/>
                <w:i/>
                <w:sz w:val="21"/>
                <w:szCs w:val="21"/>
              </w:rPr>
              <w:t xml:space="preserve"> funding </w:t>
            </w:r>
            <w:r w:rsidRPr="00643CD3">
              <w:rPr>
                <w:rFonts w:eastAsia="Calibri" w:cs="Arial"/>
                <w:b/>
                <w:i/>
                <w:color w:val="1E1E1E" w:themeColor="background2"/>
                <w:sz w:val="21"/>
                <w:szCs w:val="21"/>
              </w:rPr>
              <w:t>need</w:t>
            </w:r>
            <w:r w:rsidRPr="00643CD3">
              <w:rPr>
                <w:rFonts w:eastAsia="Calibri" w:cs="Arial"/>
                <w:color w:val="1E1E1E" w:themeColor="background2"/>
                <w:sz w:val="21"/>
                <w:szCs w:val="21"/>
              </w:rPr>
              <w:t xml:space="preserve"> for the 2021-2023 period is </w:t>
            </w:r>
            <w:r w:rsidRPr="00643CD3">
              <w:rPr>
                <w:rFonts w:eastAsia="Calibri" w:cs="Arial"/>
                <w:b/>
                <w:i/>
                <w:color w:val="1E1E1E" w:themeColor="background2"/>
                <w:sz w:val="21"/>
                <w:szCs w:val="21"/>
              </w:rPr>
              <w:t>USD 194,834,389</w:t>
            </w:r>
            <w:r w:rsidR="0041443E" w:rsidRPr="00643CD3">
              <w:rPr>
                <w:rFonts w:eastAsia="Calibri" w:cs="Arial"/>
                <w:i/>
                <w:color w:val="1E1E1E" w:themeColor="background2"/>
                <w:sz w:val="21"/>
                <w:szCs w:val="21"/>
              </w:rPr>
              <w:t xml:space="preserve"> (see details in Funding </w:t>
            </w:r>
            <w:r w:rsidR="00AC2B5D" w:rsidRPr="00643CD3">
              <w:rPr>
                <w:rFonts w:eastAsia="Calibri" w:cs="Arial"/>
                <w:i/>
                <w:color w:val="1E1E1E" w:themeColor="background2"/>
                <w:sz w:val="21"/>
                <w:szCs w:val="21"/>
              </w:rPr>
              <w:t>L</w:t>
            </w:r>
            <w:r w:rsidR="0041443E" w:rsidRPr="00643CD3">
              <w:rPr>
                <w:rFonts w:eastAsia="Calibri" w:cs="Arial"/>
                <w:i/>
                <w:color w:val="1E1E1E" w:themeColor="background2"/>
                <w:sz w:val="21"/>
                <w:szCs w:val="21"/>
              </w:rPr>
              <w:t>andscape Table</w:t>
            </w:r>
            <w:r w:rsidR="0041443E" w:rsidRPr="00AF43A2">
              <w:rPr>
                <w:rFonts w:eastAsia="Calibri" w:cs="Arial"/>
                <w:i/>
                <w:color w:val="1E1E1E" w:themeColor="background2"/>
                <w:sz w:val="21"/>
                <w:szCs w:val="21"/>
              </w:rPr>
              <w:t>)</w:t>
            </w:r>
            <w:r w:rsidRPr="00AF43A2">
              <w:rPr>
                <w:rFonts w:eastAsia="Calibri" w:cs="Arial"/>
                <w:i/>
                <w:color w:val="1E1E1E" w:themeColor="background2"/>
                <w:sz w:val="21"/>
                <w:szCs w:val="21"/>
              </w:rPr>
              <w:t>.</w:t>
            </w:r>
            <w:r w:rsidRPr="00AF43A2">
              <w:rPr>
                <w:rFonts w:eastAsia="Calibri" w:cs="Arial"/>
                <w:color w:val="1E1E1E" w:themeColor="background2"/>
                <w:sz w:val="21"/>
                <w:szCs w:val="21"/>
              </w:rPr>
              <w:t xml:space="preserve"> Available </w:t>
            </w:r>
            <w:r w:rsidR="004A4818" w:rsidRPr="00AF43A2">
              <w:rPr>
                <w:rFonts w:eastAsia="Calibri" w:cs="Arial"/>
                <w:color w:val="1E1E1E" w:themeColor="background2"/>
                <w:sz w:val="21"/>
                <w:szCs w:val="21"/>
              </w:rPr>
              <w:t xml:space="preserve">domestic </w:t>
            </w:r>
            <w:r w:rsidRPr="00AF43A2">
              <w:rPr>
                <w:rFonts w:eastAsia="Calibri" w:cs="Arial"/>
                <w:color w:val="1E1E1E" w:themeColor="background2"/>
                <w:sz w:val="21"/>
                <w:szCs w:val="21"/>
              </w:rPr>
              <w:t xml:space="preserve">resources expected from the State amount to USD </w:t>
            </w:r>
            <w:r w:rsidR="004A4818" w:rsidRPr="00AF43A2">
              <w:rPr>
                <w:rFonts w:eastAsia="Calibri" w:cs="Arial"/>
                <w:color w:val="1E1E1E" w:themeColor="background2"/>
                <w:sz w:val="21"/>
                <w:szCs w:val="21"/>
              </w:rPr>
              <w:t>1</w:t>
            </w:r>
            <w:r w:rsidR="00643CD3">
              <w:rPr>
                <w:rFonts w:eastAsia="Calibri" w:cs="Arial"/>
                <w:color w:val="1E1E1E" w:themeColor="background2"/>
                <w:sz w:val="21"/>
                <w:szCs w:val="21"/>
              </w:rPr>
              <w:t>81,820,951</w:t>
            </w:r>
            <w:r w:rsidRPr="00AF43A2">
              <w:rPr>
                <w:rFonts w:eastAsia="Calibri" w:cs="Arial"/>
                <w:color w:val="1E1E1E" w:themeColor="background2"/>
                <w:sz w:val="21"/>
                <w:szCs w:val="21"/>
              </w:rPr>
              <w:t>,</w:t>
            </w:r>
            <w:r w:rsidR="004A4818" w:rsidRPr="00AF43A2">
              <w:rPr>
                <w:rFonts w:eastAsia="Calibri" w:cs="Arial"/>
                <w:color w:val="1E1E1E" w:themeColor="background2"/>
                <w:sz w:val="21"/>
                <w:szCs w:val="21"/>
              </w:rPr>
              <w:t xml:space="preserve"> i.e.</w:t>
            </w:r>
            <w:r w:rsidRPr="00AF43A2">
              <w:rPr>
                <w:rFonts w:eastAsia="Calibri" w:cs="Arial"/>
                <w:color w:val="1E1E1E" w:themeColor="background2"/>
                <w:sz w:val="21"/>
                <w:szCs w:val="21"/>
              </w:rPr>
              <w:t xml:space="preserve"> </w:t>
            </w:r>
            <w:r w:rsidR="00643CD3">
              <w:rPr>
                <w:rFonts w:eastAsia="Calibri" w:cs="Arial"/>
                <w:color w:val="1E1E1E" w:themeColor="background2"/>
                <w:sz w:val="21"/>
                <w:szCs w:val="21"/>
              </w:rPr>
              <w:t>93</w:t>
            </w:r>
            <w:r w:rsidRPr="00AF43A2">
              <w:rPr>
                <w:rFonts w:eastAsia="Calibri" w:cs="Arial"/>
                <w:color w:val="1E1E1E" w:themeColor="background2"/>
                <w:sz w:val="21"/>
                <w:szCs w:val="21"/>
              </w:rPr>
              <w:t>% of the total need.</w:t>
            </w:r>
            <w:r w:rsidR="004A4818" w:rsidRPr="00AF43A2">
              <w:rPr>
                <w:rFonts w:eastAsia="Calibri" w:cs="Arial"/>
                <w:color w:val="1E1E1E" w:themeColor="background2"/>
                <w:sz w:val="21"/>
                <w:szCs w:val="21"/>
              </w:rPr>
              <w:t xml:space="preserve"> State funding includes all key programme areas, including HIV services for KPs provided by Regional AIDS Centres.</w:t>
            </w:r>
          </w:p>
          <w:p w14:paraId="54FC4A13" w14:textId="2EA12F12" w:rsidR="007B0D15" w:rsidRPr="00AF43A2" w:rsidRDefault="004A4818" w:rsidP="000A0528">
            <w:pPr>
              <w:spacing w:after="0" w:line="240" w:lineRule="auto"/>
              <w:ind w:firstLine="175"/>
              <w:jc w:val="both"/>
              <w:rPr>
                <w:rFonts w:eastAsia="Calibri" w:cs="Arial"/>
                <w:color w:val="1E1E1E" w:themeColor="background2"/>
                <w:sz w:val="21"/>
                <w:szCs w:val="21"/>
              </w:rPr>
            </w:pPr>
            <w:r w:rsidRPr="00AF43A2">
              <w:rPr>
                <w:rFonts w:eastAsia="Calibri" w:cs="Arial"/>
                <w:color w:val="1E1E1E" w:themeColor="background2"/>
                <w:sz w:val="21"/>
                <w:szCs w:val="21"/>
              </w:rPr>
              <w:t>In addition, small amounts of funding are expected from UN agencies (UNAIDS, UNDP, UNFPA, UNICEF) and the Elton John Foundation, totalling approx. USD 4.4 million for three years</w:t>
            </w:r>
            <w:r w:rsidR="007B0D15" w:rsidRPr="00AF43A2">
              <w:rPr>
                <w:rFonts w:eastAsia="Calibri" w:cs="Arial"/>
                <w:color w:val="1E1E1E" w:themeColor="background2"/>
                <w:sz w:val="21"/>
                <w:szCs w:val="21"/>
              </w:rPr>
              <w:t>.</w:t>
            </w:r>
            <w:r w:rsidR="00CF0CF4" w:rsidRPr="00AF43A2">
              <w:rPr>
                <w:rFonts w:eastAsia="Calibri" w:cs="Arial"/>
                <w:color w:val="1E1E1E" w:themeColor="background2"/>
                <w:sz w:val="21"/>
                <w:szCs w:val="21"/>
              </w:rPr>
              <w:t xml:space="preserve"> </w:t>
            </w:r>
            <w:r w:rsidRPr="00AF43A2">
              <w:rPr>
                <w:rFonts w:eastAsia="Calibri" w:cs="Arial"/>
                <w:color w:val="1E1E1E" w:themeColor="background2"/>
                <w:sz w:val="21"/>
                <w:szCs w:val="21"/>
              </w:rPr>
              <w:t>Taking into account the new Global Fund allocation</w:t>
            </w:r>
            <w:r w:rsidR="007B0D15" w:rsidRPr="00AF43A2">
              <w:rPr>
                <w:rFonts w:eastAsia="Calibri" w:cs="Arial"/>
                <w:color w:val="1E1E1E" w:themeColor="background2"/>
                <w:sz w:val="21"/>
                <w:szCs w:val="21"/>
              </w:rPr>
              <w:t xml:space="preserve"> (approx. USD 7.2 million), the total amount of expected external resources is approx. USD 11.6 million.</w:t>
            </w:r>
            <w:r w:rsidRPr="00AF43A2">
              <w:rPr>
                <w:rFonts w:eastAsia="Calibri" w:cs="Arial"/>
                <w:color w:val="1E1E1E" w:themeColor="background2"/>
                <w:sz w:val="21"/>
                <w:szCs w:val="21"/>
              </w:rPr>
              <w:t xml:space="preserve"> </w:t>
            </w:r>
            <w:r w:rsidR="00643CD3">
              <w:rPr>
                <w:rFonts w:eastAsia="Calibri" w:cs="Arial"/>
                <w:color w:val="1E1E1E" w:themeColor="background2"/>
                <w:sz w:val="21"/>
                <w:szCs w:val="21"/>
              </w:rPr>
              <w:t>Thanks to</w:t>
            </w:r>
            <w:r w:rsidRPr="00AF43A2">
              <w:rPr>
                <w:rFonts w:eastAsia="Calibri" w:cs="Arial"/>
                <w:color w:val="1E1E1E" w:themeColor="background2"/>
                <w:sz w:val="21"/>
                <w:szCs w:val="21"/>
              </w:rPr>
              <w:t xml:space="preserve"> the large investments committed by the State (approx. USD 6</w:t>
            </w:r>
            <w:r w:rsidR="00643CD3">
              <w:rPr>
                <w:rFonts w:eastAsia="Calibri" w:cs="Arial"/>
                <w:color w:val="1E1E1E" w:themeColor="background2"/>
                <w:sz w:val="21"/>
                <w:szCs w:val="21"/>
              </w:rPr>
              <w:t>0.6</w:t>
            </w:r>
            <w:r w:rsidRPr="00AF43A2">
              <w:rPr>
                <w:rFonts w:eastAsia="Calibri" w:cs="Arial"/>
                <w:color w:val="1E1E1E" w:themeColor="background2"/>
                <w:sz w:val="21"/>
                <w:szCs w:val="21"/>
              </w:rPr>
              <w:t xml:space="preserve"> million per year), a </w:t>
            </w:r>
            <w:r w:rsidR="00643CD3">
              <w:rPr>
                <w:rFonts w:eastAsia="Calibri" w:cs="Arial"/>
                <w:color w:val="1E1E1E" w:themeColor="background2"/>
                <w:sz w:val="21"/>
                <w:szCs w:val="21"/>
              </w:rPr>
              <w:t>small</w:t>
            </w:r>
            <w:r w:rsidRPr="00AF43A2">
              <w:rPr>
                <w:rFonts w:eastAsia="Calibri" w:cs="Arial"/>
                <w:color w:val="1E1E1E" w:themeColor="background2"/>
                <w:sz w:val="21"/>
                <w:szCs w:val="21"/>
              </w:rPr>
              <w:t xml:space="preserve"> funding gap of </w:t>
            </w:r>
            <w:r w:rsidR="007B0D15" w:rsidRPr="00AF43A2">
              <w:rPr>
                <w:rFonts w:eastAsia="Calibri" w:cs="Arial"/>
                <w:color w:val="1E1E1E" w:themeColor="background2"/>
                <w:sz w:val="21"/>
                <w:szCs w:val="21"/>
              </w:rPr>
              <w:t xml:space="preserve">approx. </w:t>
            </w:r>
            <w:r w:rsidRPr="00AF43A2">
              <w:rPr>
                <w:rFonts w:eastAsia="Calibri" w:cs="Arial"/>
                <w:color w:val="1E1E1E" w:themeColor="background2"/>
                <w:sz w:val="21"/>
                <w:szCs w:val="21"/>
              </w:rPr>
              <w:t xml:space="preserve">USD </w:t>
            </w:r>
            <w:r w:rsidR="00643CD3">
              <w:rPr>
                <w:rFonts w:eastAsia="Calibri" w:cs="Arial"/>
                <w:color w:val="1E1E1E" w:themeColor="background2"/>
                <w:sz w:val="21"/>
                <w:szCs w:val="21"/>
              </w:rPr>
              <w:t>1.4</w:t>
            </w:r>
            <w:r w:rsidRPr="00AF43A2">
              <w:rPr>
                <w:rFonts w:eastAsia="Calibri" w:cs="Arial"/>
                <w:color w:val="1E1E1E" w:themeColor="background2"/>
                <w:sz w:val="21"/>
                <w:szCs w:val="21"/>
              </w:rPr>
              <w:t xml:space="preserve"> million (</w:t>
            </w:r>
            <w:r w:rsidR="00643CD3">
              <w:rPr>
                <w:rFonts w:eastAsia="Calibri" w:cs="Arial"/>
                <w:color w:val="1E1E1E" w:themeColor="background2"/>
                <w:sz w:val="21"/>
                <w:szCs w:val="21"/>
              </w:rPr>
              <w:t>0.7</w:t>
            </w:r>
            <w:r w:rsidRPr="00AF43A2">
              <w:rPr>
                <w:rFonts w:eastAsia="Calibri" w:cs="Arial"/>
                <w:color w:val="1E1E1E" w:themeColor="background2"/>
                <w:sz w:val="21"/>
                <w:szCs w:val="21"/>
              </w:rPr>
              <w:t>% of the total need) is expected.</w:t>
            </w:r>
          </w:p>
          <w:p w14:paraId="656036D3" w14:textId="45210A83" w:rsidR="00C711A3" w:rsidRPr="00AF43A2" w:rsidRDefault="007B0D15" w:rsidP="000A0528">
            <w:pPr>
              <w:spacing w:after="0" w:line="240" w:lineRule="auto"/>
              <w:ind w:firstLine="175"/>
              <w:jc w:val="both"/>
              <w:rPr>
                <w:rFonts w:eastAsia="Calibri" w:cs="Arial"/>
                <w:color w:val="1E1E1E" w:themeColor="background2"/>
                <w:sz w:val="21"/>
                <w:szCs w:val="21"/>
              </w:rPr>
            </w:pPr>
            <w:r w:rsidRPr="00AF43A2">
              <w:rPr>
                <w:rFonts w:eastAsia="Calibri" w:cs="Arial"/>
                <w:color w:val="1E1E1E" w:themeColor="background2"/>
                <w:sz w:val="21"/>
                <w:szCs w:val="21"/>
              </w:rPr>
              <w:t xml:space="preserve">This funding gap includes </w:t>
            </w:r>
            <w:r w:rsidR="00CF0CF4" w:rsidRPr="00AF43A2">
              <w:rPr>
                <w:rFonts w:eastAsia="Calibri" w:cs="Arial"/>
                <w:color w:val="1E1E1E" w:themeColor="background2"/>
                <w:sz w:val="21"/>
                <w:szCs w:val="21"/>
              </w:rPr>
              <w:t>NGO services for KPs and PLHIV</w:t>
            </w:r>
            <w:r w:rsidRPr="00AF43A2">
              <w:rPr>
                <w:rFonts w:eastAsia="Calibri" w:cs="Arial"/>
                <w:color w:val="1E1E1E" w:themeColor="background2"/>
                <w:sz w:val="21"/>
                <w:szCs w:val="21"/>
              </w:rPr>
              <w:t xml:space="preserve">, which </w:t>
            </w:r>
            <w:r w:rsidR="00CF0CF4" w:rsidRPr="00AF43A2">
              <w:rPr>
                <w:rFonts w:eastAsia="Calibri" w:cs="Arial"/>
                <w:color w:val="1E1E1E" w:themeColor="background2"/>
                <w:sz w:val="21"/>
                <w:szCs w:val="21"/>
              </w:rPr>
              <w:t>are not fully funded by the State. While mechanisms are in place for social contracting of such services, these are currently not yet fully supportive of HIV-related services by NGOs; also because these State Social Orders and Grants depend on allocations by regional authorities, which do not always cover the full need. The government aims to strengthen these mechanisms for civil society involvement and financing of key public services by further strengthening of existing social contracting mechanisms, e.g. allowing grants for longer periods, as well as larger amounts. This would strengthen more sustainable State funding for HIV services provided by NGOs.</w:t>
            </w:r>
            <w:r w:rsidR="00C711A3" w:rsidRPr="00AF43A2">
              <w:rPr>
                <w:rFonts w:eastAsia="Calibri" w:cs="Arial"/>
                <w:color w:val="1E1E1E" w:themeColor="background2"/>
                <w:sz w:val="21"/>
                <w:szCs w:val="21"/>
              </w:rPr>
              <w:t xml:space="preserve"> In this regard, the recent </w:t>
            </w:r>
            <w:r w:rsidR="00C711A3" w:rsidRPr="00AF43A2">
              <w:rPr>
                <w:rFonts w:eastAsia="Calibri" w:cs="Arial"/>
                <w:i/>
                <w:color w:val="1E1E1E" w:themeColor="background2"/>
                <w:sz w:val="21"/>
                <w:szCs w:val="21"/>
              </w:rPr>
              <w:t xml:space="preserve">“Assessment of the readiness of Kazakhstan for the transition to social contracting to ensure the sustainability of HIV-related services” </w:t>
            </w:r>
            <w:r w:rsidR="00C711A3" w:rsidRPr="00AF43A2">
              <w:rPr>
                <w:rFonts w:eastAsia="Calibri" w:cs="Arial"/>
                <w:color w:val="1E1E1E" w:themeColor="background2"/>
                <w:sz w:val="21"/>
                <w:szCs w:val="21"/>
              </w:rPr>
              <w:t xml:space="preserve">in December 2019 provides specific guidance in a number of areas: </w:t>
            </w:r>
            <w:proofErr w:type="spellStart"/>
            <w:r w:rsidR="00C711A3" w:rsidRPr="00AF43A2">
              <w:rPr>
                <w:rFonts w:eastAsia="Calibri" w:cs="Arial"/>
                <w:color w:val="1E1E1E" w:themeColor="background2"/>
                <w:sz w:val="21"/>
                <w:szCs w:val="21"/>
              </w:rPr>
              <w:t>i</w:t>
            </w:r>
            <w:proofErr w:type="spellEnd"/>
            <w:r w:rsidR="00C711A3" w:rsidRPr="00AF43A2">
              <w:rPr>
                <w:rFonts w:eastAsia="Calibri" w:cs="Arial"/>
                <w:color w:val="1E1E1E" w:themeColor="background2"/>
                <w:sz w:val="21"/>
                <w:szCs w:val="21"/>
              </w:rPr>
              <w:t xml:space="preserve">) ensuring </w:t>
            </w:r>
            <w:proofErr w:type="spellStart"/>
            <w:r w:rsidR="00C711A3" w:rsidRPr="00AF43A2">
              <w:rPr>
                <w:rFonts w:eastAsia="Calibri" w:cs="Arial"/>
                <w:color w:val="1E1E1E" w:themeColor="background2"/>
                <w:sz w:val="21"/>
                <w:szCs w:val="21"/>
              </w:rPr>
              <w:t>prioritisation</w:t>
            </w:r>
            <w:proofErr w:type="spellEnd"/>
            <w:r w:rsidR="00C711A3" w:rsidRPr="00AF43A2">
              <w:rPr>
                <w:rFonts w:eastAsia="Calibri" w:cs="Arial"/>
                <w:color w:val="1E1E1E" w:themeColor="background2"/>
                <w:sz w:val="21"/>
                <w:szCs w:val="21"/>
              </w:rPr>
              <w:t xml:space="preserve"> of HIV prevention and M&amp;E in the public health system; ii) improving the regulatory framework for addressing remaining gaps of the social contracting system; iii) ensuring sustainable public funding of HIV prevention, care and support services; and iv)</w:t>
            </w:r>
            <w:r w:rsidRPr="00AF43A2">
              <w:rPr>
                <w:rFonts w:eastAsia="Calibri" w:cs="Arial"/>
                <w:color w:val="1E1E1E" w:themeColor="background2"/>
                <w:sz w:val="21"/>
                <w:szCs w:val="21"/>
              </w:rPr>
              <w:t xml:space="preserve"> </w:t>
            </w:r>
            <w:r w:rsidR="00C711A3" w:rsidRPr="00AF43A2">
              <w:rPr>
                <w:rFonts w:eastAsia="Calibri" w:cs="Arial"/>
                <w:color w:val="1E1E1E" w:themeColor="background2"/>
                <w:sz w:val="21"/>
                <w:szCs w:val="21"/>
              </w:rPr>
              <w:t>strengthening partnerships between civil society and government at the regional level. These recommendations are explicitly included in this funding request</w:t>
            </w:r>
          </w:p>
          <w:p w14:paraId="7DDF7E97" w14:textId="1F9D2BD1" w:rsidR="00CF0CF4" w:rsidRPr="00AF43A2" w:rsidRDefault="00CF0CF4" w:rsidP="000A0528">
            <w:pPr>
              <w:spacing w:after="0" w:line="240" w:lineRule="auto"/>
              <w:ind w:firstLine="319"/>
              <w:jc w:val="both"/>
              <w:rPr>
                <w:rFonts w:eastAsia="Calibri" w:cs="Arial"/>
                <w:color w:val="1E1E1E" w:themeColor="background2"/>
                <w:sz w:val="21"/>
                <w:szCs w:val="21"/>
              </w:rPr>
            </w:pPr>
            <w:r w:rsidRPr="00AF43A2">
              <w:rPr>
                <w:rFonts w:eastAsia="Calibri" w:cs="Arial"/>
                <w:color w:val="1E1E1E" w:themeColor="background2"/>
                <w:sz w:val="21"/>
                <w:szCs w:val="21"/>
              </w:rPr>
              <w:t xml:space="preserve">In addition, the Government is developing </w:t>
            </w:r>
            <w:r w:rsidRPr="00AF43A2">
              <w:rPr>
                <w:rFonts w:eastAsia="Calibri" w:cs="Arial"/>
                <w:sz w:val="21"/>
                <w:szCs w:val="21"/>
              </w:rPr>
              <w:t>the Compulsory Social Health Insurance (CSHI) system, which will also cover HIV-</w:t>
            </w:r>
            <w:r w:rsidRPr="00AF43A2">
              <w:rPr>
                <w:rFonts w:eastAsia="Calibri" w:cs="Arial"/>
                <w:color w:val="1E1E1E" w:themeColor="background2"/>
                <w:sz w:val="21"/>
                <w:szCs w:val="21"/>
              </w:rPr>
              <w:t>related treatment and care services. The funding request aims to support the incorporation of HIV prevention services in this CSHI system: this would also allow reimbursement of services provided by NGOs.</w:t>
            </w:r>
            <w:r w:rsidR="007B0D15" w:rsidRPr="00AF43A2">
              <w:rPr>
                <w:rFonts w:eastAsia="Calibri" w:cs="Arial"/>
                <w:color w:val="1E1E1E" w:themeColor="background2"/>
                <w:sz w:val="21"/>
                <w:szCs w:val="21"/>
              </w:rPr>
              <w:t xml:space="preserve"> In the next 3 years, the CSHI system, as well as the various social contracting mechanisms, particularly at the Regional and Akimat level, are expected to partially fill the current funding gap.</w:t>
            </w:r>
          </w:p>
          <w:p w14:paraId="6BA6BDCD" w14:textId="40DD4D72" w:rsidR="007B0D15" w:rsidRPr="00AF43A2" w:rsidRDefault="007B0D15" w:rsidP="000A0528">
            <w:pPr>
              <w:spacing w:after="0" w:line="240" w:lineRule="auto"/>
              <w:ind w:firstLine="319"/>
              <w:jc w:val="both"/>
              <w:rPr>
                <w:rFonts w:eastAsia="Calibri" w:cs="Arial"/>
                <w:color w:val="1E1E1E" w:themeColor="background2"/>
                <w:sz w:val="21"/>
                <w:szCs w:val="21"/>
              </w:rPr>
            </w:pPr>
            <w:r w:rsidRPr="00AF43A2">
              <w:rPr>
                <w:rFonts w:eastAsia="Calibri" w:cs="Arial"/>
                <w:color w:val="1E1E1E" w:themeColor="background2"/>
                <w:sz w:val="21"/>
                <w:szCs w:val="21"/>
              </w:rPr>
              <w:t>In this regard, the Fund</w:t>
            </w:r>
            <w:r w:rsidR="00C64B1E" w:rsidRPr="00AF43A2">
              <w:rPr>
                <w:rFonts w:eastAsia="Calibri" w:cs="Arial"/>
                <w:color w:val="1E1E1E" w:themeColor="background2"/>
                <w:sz w:val="21"/>
                <w:szCs w:val="21"/>
              </w:rPr>
              <w:t>i</w:t>
            </w:r>
            <w:r w:rsidRPr="00AF43A2">
              <w:rPr>
                <w:rFonts w:eastAsia="Calibri" w:cs="Arial"/>
                <w:color w:val="1E1E1E" w:themeColor="background2"/>
                <w:sz w:val="21"/>
                <w:szCs w:val="21"/>
              </w:rPr>
              <w:t xml:space="preserve">ng Request includes several activities to help bridge the funding gaps by supporting budget advocacy and social mobilisation activities with </w:t>
            </w:r>
            <w:r w:rsidR="00167B99" w:rsidRPr="00AF43A2">
              <w:rPr>
                <w:rFonts w:eastAsia="Calibri" w:cs="Arial"/>
                <w:color w:val="1E1E1E" w:themeColor="background2"/>
                <w:sz w:val="21"/>
                <w:szCs w:val="21"/>
              </w:rPr>
              <w:t>authorities at different levels</w:t>
            </w:r>
            <w:r w:rsidR="00C64B1E" w:rsidRPr="00AF43A2">
              <w:rPr>
                <w:rFonts w:eastAsia="Calibri" w:cs="Arial"/>
                <w:color w:val="1E1E1E" w:themeColor="background2"/>
                <w:sz w:val="21"/>
                <w:szCs w:val="21"/>
              </w:rPr>
              <w:t xml:space="preserve"> </w:t>
            </w:r>
            <w:r w:rsidR="00C64B1E" w:rsidRPr="00AF43A2">
              <w:rPr>
                <w:rFonts w:eastAsia="Calibri" w:cs="Arial"/>
                <w:i/>
                <w:color w:val="1E1E1E" w:themeColor="background2"/>
                <w:sz w:val="21"/>
                <w:szCs w:val="21"/>
              </w:rPr>
              <w:t>(see more details in the next section (3.2.b).</w:t>
            </w:r>
          </w:p>
          <w:p w14:paraId="04B92FB5" w14:textId="77777777" w:rsidR="00485066" w:rsidRPr="00AF43A2" w:rsidRDefault="00485066" w:rsidP="000A0528">
            <w:pPr>
              <w:spacing w:after="0" w:line="240" w:lineRule="auto"/>
              <w:jc w:val="both"/>
              <w:rPr>
                <w:rFonts w:asciiTheme="minorHAnsi" w:hAnsiTheme="minorHAnsi" w:cstheme="minorHAnsi"/>
                <w:sz w:val="8"/>
                <w:szCs w:val="8"/>
              </w:rPr>
            </w:pPr>
          </w:p>
        </w:tc>
      </w:tr>
    </w:tbl>
    <w:p w14:paraId="07CE579B" w14:textId="77777777" w:rsidR="00485066" w:rsidRPr="00AF43A2" w:rsidRDefault="00485066" w:rsidP="000A0528">
      <w:pPr>
        <w:spacing w:after="0" w:line="240" w:lineRule="auto"/>
        <w:jc w:val="both"/>
        <w:rPr>
          <w:rFonts w:asciiTheme="minorHAnsi" w:eastAsia="Times New Roman" w:hAnsiTheme="minorHAnsi" w:cstheme="minorHAnsi"/>
        </w:rPr>
      </w:pPr>
    </w:p>
    <w:p w14:paraId="2FCAC622" w14:textId="645E18EA" w:rsidR="00AE7A47" w:rsidRPr="00AF43A2" w:rsidRDefault="00485066" w:rsidP="000A0528">
      <w:pPr>
        <w:pStyle w:val="affff3"/>
        <w:numPr>
          <w:ilvl w:val="0"/>
          <w:numId w:val="22"/>
        </w:numPr>
        <w:spacing w:after="0" w:line="240" w:lineRule="auto"/>
        <w:jc w:val="both"/>
        <w:rPr>
          <w:rFonts w:asciiTheme="minorHAnsi" w:hAnsiTheme="minorHAnsi" w:cstheme="minorHAnsi"/>
        </w:rPr>
      </w:pPr>
      <w:r w:rsidRPr="00AF43A2">
        <w:rPr>
          <w:rFonts w:asciiTheme="minorHAnsi" w:hAnsiTheme="minorHAnsi" w:cstheme="minorHAnsi"/>
        </w:rPr>
        <w:t xml:space="preserve">Highlight </w:t>
      </w:r>
      <w:r w:rsidRPr="00AF43A2">
        <w:rPr>
          <w:rFonts w:asciiTheme="minorHAnsi" w:hAnsiTheme="minorHAnsi" w:cstheme="minorHAnsi"/>
          <w:b/>
        </w:rPr>
        <w:t>challenges</w:t>
      </w:r>
      <w:r w:rsidRPr="00AF43A2">
        <w:rPr>
          <w:rFonts w:asciiTheme="minorHAnsi" w:hAnsiTheme="minorHAnsi" w:cstheme="minorHAnsi"/>
        </w:rPr>
        <w:t xml:space="preserve"> related to sustainability</w:t>
      </w:r>
      <w:r w:rsidR="00A76BD8" w:rsidRPr="00AF43A2">
        <w:rPr>
          <w:rFonts w:asciiTheme="minorHAnsi" w:hAnsiTheme="minorHAnsi" w:cstheme="minorHAnsi"/>
        </w:rPr>
        <w:t xml:space="preserve"> (see indicative list in the </w:t>
      </w:r>
      <w:r w:rsidR="00A76BD8" w:rsidRPr="00AF43A2">
        <w:rPr>
          <w:rFonts w:asciiTheme="minorHAnsi" w:hAnsiTheme="minorHAnsi" w:cstheme="minorHAnsi"/>
          <w:i/>
        </w:rPr>
        <w:t>Instructions</w:t>
      </w:r>
      <w:r w:rsidR="00A76BD8" w:rsidRPr="00AF43A2">
        <w:rPr>
          <w:rFonts w:asciiTheme="minorHAnsi" w:hAnsiTheme="minorHAnsi" w:cstheme="minorHAnsi"/>
        </w:rPr>
        <w:t>)</w:t>
      </w:r>
      <w:r w:rsidRPr="00AF43A2">
        <w:rPr>
          <w:rFonts w:asciiTheme="minorHAnsi" w:hAnsiTheme="minorHAnsi" w:cstheme="minorHAnsi"/>
        </w:rPr>
        <w:t>.</w:t>
      </w:r>
      <w:r w:rsidR="00A76BD8" w:rsidRPr="00AF43A2">
        <w:rPr>
          <w:rFonts w:asciiTheme="minorHAnsi" w:hAnsiTheme="minorHAnsi" w:cstheme="minorHAnsi"/>
        </w:rPr>
        <w:t xml:space="preserve"> Explain how these challenges will be addressed either through </w:t>
      </w:r>
      <w:r w:rsidR="00B74DAA" w:rsidRPr="00AF43A2">
        <w:rPr>
          <w:rFonts w:asciiTheme="minorHAnsi" w:hAnsiTheme="minorHAnsi" w:cstheme="minorHAnsi"/>
        </w:rPr>
        <w:t xml:space="preserve">this </w:t>
      </w:r>
      <w:r w:rsidR="00A76BD8" w:rsidRPr="00AF43A2">
        <w:rPr>
          <w:rFonts w:asciiTheme="minorHAnsi" w:hAnsiTheme="minorHAnsi" w:cstheme="minorHAnsi"/>
        </w:rPr>
        <w:t>funding request or other sources.</w:t>
      </w:r>
      <w:r w:rsidRPr="00AF43A2">
        <w:rPr>
          <w:rFonts w:asciiTheme="minorHAnsi" w:hAnsiTheme="minorHAnsi" w:cstheme="minorHAnsi"/>
        </w:rPr>
        <w:t xml:space="preserve"> </w:t>
      </w:r>
      <w:r w:rsidR="00AE7A47" w:rsidRPr="00AF43A2">
        <w:rPr>
          <w:rFonts w:asciiTheme="minorHAnsi" w:hAnsiTheme="minorHAnsi" w:cstheme="minorHAnsi"/>
        </w:rPr>
        <w:t>If already described in the national strategy, sustainability and/or transition plan, and/or other documentation submitted with the funding request, refer to relevant sections</w:t>
      </w:r>
      <w:r w:rsidR="00084B50" w:rsidRPr="00AF43A2">
        <w:rPr>
          <w:rFonts w:asciiTheme="minorHAnsi" w:hAnsiTheme="minorHAnsi" w:cstheme="minorHAnsi"/>
        </w:rPr>
        <w:t xml:space="preserve"> of those documents</w:t>
      </w:r>
      <w:r w:rsidR="00AE7A47" w:rsidRPr="00AF43A2">
        <w:rPr>
          <w:rFonts w:asciiTheme="minorHAnsi" w:hAnsiTheme="minorHAnsi" w:cstheme="minorHAnsi"/>
        </w:rPr>
        <w:t>.</w:t>
      </w:r>
    </w:p>
    <w:p w14:paraId="120379A7" w14:textId="44952B9B" w:rsidR="00485066" w:rsidRPr="00AF43A2" w:rsidRDefault="00485066" w:rsidP="000A0528">
      <w:pPr>
        <w:pStyle w:val="affff3"/>
        <w:spacing w:after="0" w:line="240" w:lineRule="auto"/>
        <w:ind w:left="360"/>
        <w:jc w:val="both"/>
        <w:rPr>
          <w:rFonts w:asciiTheme="minorHAnsi" w:hAnsiTheme="minorHAnsi" w:cstheme="minorHAnsi"/>
        </w:rPr>
      </w:pPr>
    </w:p>
    <w:tbl>
      <w:tblPr>
        <w:tblStyle w:val="aa"/>
        <w:tblW w:w="0" w:type="auto"/>
        <w:tblLook w:val="04A0" w:firstRow="1" w:lastRow="0" w:firstColumn="1" w:lastColumn="0" w:noHBand="0" w:noVBand="1"/>
      </w:tblPr>
      <w:tblGrid>
        <w:gridCol w:w="10456"/>
      </w:tblGrid>
      <w:tr w:rsidR="005E6229" w:rsidRPr="00AF43A2" w14:paraId="7030BF11" w14:textId="77777777" w:rsidTr="005279BC">
        <w:tc>
          <w:tcPr>
            <w:tcW w:w="10790" w:type="dxa"/>
          </w:tcPr>
          <w:p w14:paraId="7F69E878" w14:textId="77777777" w:rsidR="009A2B0A" w:rsidRPr="00AF43A2" w:rsidRDefault="009A2B0A" w:rsidP="000A0528">
            <w:pPr>
              <w:spacing w:after="0" w:line="240" w:lineRule="auto"/>
              <w:jc w:val="both"/>
              <w:rPr>
                <w:rFonts w:eastAsia="Calibri" w:cs="Arial"/>
                <w:color w:val="404040" w:themeColor="text1"/>
                <w:sz w:val="8"/>
                <w:szCs w:val="8"/>
                <w:lang w:val="en-GB"/>
              </w:rPr>
            </w:pPr>
            <w:r w:rsidRPr="00AF43A2">
              <w:rPr>
                <w:rFonts w:cs="Arial"/>
                <w:color w:val="404040" w:themeColor="text1"/>
                <w:sz w:val="21"/>
                <w:szCs w:val="21"/>
                <w:lang w:val="en-GB"/>
              </w:rPr>
              <w:t>As discussed in section 1</w:t>
            </w:r>
            <w:r w:rsidRPr="00AF43A2">
              <w:rPr>
                <w:rFonts w:eastAsia="Calibri" w:cs="Arial"/>
                <w:color w:val="404040" w:themeColor="text1"/>
                <w:sz w:val="21"/>
                <w:szCs w:val="21"/>
                <w:lang w:val="en-GB"/>
              </w:rPr>
              <w:t xml:space="preserve">, </w:t>
            </w:r>
            <w:r w:rsidRPr="00AF43A2">
              <w:rPr>
                <w:rFonts w:eastAsia="Calibri" w:cs="Arial"/>
                <w:b/>
                <w:i/>
                <w:color w:val="404040" w:themeColor="text1"/>
                <w:sz w:val="21"/>
                <w:szCs w:val="21"/>
                <w:lang w:val="en-GB"/>
              </w:rPr>
              <w:t xml:space="preserve">sustainability </w:t>
            </w:r>
            <w:r w:rsidRPr="00AF43A2">
              <w:rPr>
                <w:rFonts w:eastAsia="Calibri" w:cs="Arial"/>
                <w:color w:val="404040" w:themeColor="text1"/>
                <w:sz w:val="21"/>
                <w:szCs w:val="21"/>
                <w:lang w:val="en-GB"/>
              </w:rPr>
              <w:t xml:space="preserve">goes beyond sustained </w:t>
            </w:r>
            <w:r w:rsidRPr="00AF43A2">
              <w:rPr>
                <w:rFonts w:eastAsia="Calibri" w:cs="Arial"/>
                <w:b/>
                <w:i/>
                <w:color w:val="404040" w:themeColor="text1"/>
                <w:sz w:val="21"/>
                <w:szCs w:val="21"/>
                <w:lang w:val="en-GB"/>
              </w:rPr>
              <w:t>financing</w:t>
            </w:r>
            <w:r w:rsidRPr="00AF43A2">
              <w:rPr>
                <w:rFonts w:eastAsia="Calibri" w:cs="Arial"/>
                <w:color w:val="404040" w:themeColor="text1"/>
                <w:sz w:val="21"/>
                <w:szCs w:val="21"/>
                <w:lang w:val="en-GB"/>
              </w:rPr>
              <w:t xml:space="preserve"> and</w:t>
            </w:r>
            <w:r w:rsidRPr="00AF43A2">
              <w:rPr>
                <w:rFonts w:eastAsia="Calibri" w:cs="Arial"/>
                <w:b/>
                <w:i/>
                <w:color w:val="404040" w:themeColor="text1"/>
                <w:sz w:val="21"/>
                <w:szCs w:val="21"/>
                <w:lang w:val="en-GB"/>
              </w:rPr>
              <w:t xml:space="preserve"> </w:t>
            </w:r>
            <w:r w:rsidRPr="00AF43A2">
              <w:rPr>
                <w:rFonts w:eastAsia="Calibri" w:cs="Arial"/>
                <w:color w:val="404040" w:themeColor="text1"/>
                <w:sz w:val="21"/>
                <w:szCs w:val="21"/>
                <w:lang w:val="en-GB"/>
              </w:rPr>
              <w:t xml:space="preserve">includes other dimensions, such as </w:t>
            </w:r>
            <w:r w:rsidRPr="00AF43A2">
              <w:rPr>
                <w:rFonts w:eastAsia="Calibri" w:cs="Arial"/>
                <w:b/>
                <w:i/>
                <w:color w:val="404040" w:themeColor="text1"/>
                <w:sz w:val="21"/>
                <w:szCs w:val="21"/>
                <w:lang w:val="en-GB"/>
              </w:rPr>
              <w:t>programmatic, health and community systems-related, governance, human rights and political</w:t>
            </w:r>
            <w:r w:rsidRPr="00AF43A2">
              <w:rPr>
                <w:rFonts w:eastAsia="Calibri" w:cs="Arial"/>
                <w:color w:val="404040" w:themeColor="text1"/>
                <w:sz w:val="21"/>
                <w:szCs w:val="21"/>
                <w:lang w:val="en-GB"/>
              </w:rPr>
              <w:t>.</w:t>
            </w:r>
          </w:p>
          <w:p w14:paraId="1D082D2C" w14:textId="77777777" w:rsidR="009A2B0A" w:rsidRPr="00AF43A2" w:rsidRDefault="009A2B0A" w:rsidP="000A0528">
            <w:pPr>
              <w:spacing w:after="0" w:line="240" w:lineRule="auto"/>
              <w:jc w:val="both"/>
              <w:rPr>
                <w:rFonts w:eastAsia="Calibri" w:cs="Arial"/>
                <w:color w:val="404040" w:themeColor="text1"/>
                <w:sz w:val="8"/>
                <w:szCs w:val="8"/>
                <w:lang w:val="en-GB"/>
              </w:rPr>
            </w:pPr>
          </w:p>
          <w:p w14:paraId="5DB9A1E9" w14:textId="1E5A783A" w:rsidR="009A2B0A" w:rsidRPr="00AF43A2" w:rsidRDefault="009A2B0A" w:rsidP="000A0528">
            <w:pPr>
              <w:spacing w:after="0" w:line="240" w:lineRule="auto"/>
              <w:jc w:val="both"/>
              <w:rPr>
                <w:rFonts w:eastAsia="Calibri" w:cs="Arial"/>
                <w:color w:val="1E1E1E" w:themeColor="background2"/>
                <w:sz w:val="21"/>
                <w:szCs w:val="21"/>
                <w:lang w:val="en-GB"/>
              </w:rPr>
            </w:pPr>
            <w:r w:rsidRPr="00AF43A2">
              <w:rPr>
                <w:rFonts w:eastAsia="Calibri" w:cs="Arial"/>
                <w:b/>
                <w:color w:val="1E1E1E" w:themeColor="background2"/>
                <w:sz w:val="21"/>
                <w:szCs w:val="21"/>
                <w:lang w:val="en-GB"/>
              </w:rPr>
              <w:t xml:space="preserve">1) </w:t>
            </w:r>
            <w:r w:rsidRPr="00AF43A2">
              <w:rPr>
                <w:rFonts w:eastAsia="Calibri" w:cs="Arial"/>
                <w:b/>
                <w:color w:val="1E1E1E" w:themeColor="background2"/>
                <w:sz w:val="21"/>
                <w:szCs w:val="21"/>
                <w:u w:val="single"/>
                <w:lang w:val="en-GB"/>
              </w:rPr>
              <w:t>Challenges to Financial sustainability</w:t>
            </w:r>
            <w:r w:rsidRPr="00AF43A2">
              <w:rPr>
                <w:rFonts w:eastAsia="Calibri" w:cs="Arial"/>
                <w:b/>
                <w:color w:val="1E1E1E" w:themeColor="background2"/>
                <w:sz w:val="21"/>
                <w:szCs w:val="21"/>
                <w:lang w:val="en-GB"/>
              </w:rPr>
              <w:t xml:space="preserve"> </w:t>
            </w:r>
            <w:r w:rsidRPr="00AF43A2">
              <w:rPr>
                <w:rFonts w:eastAsia="Calibri" w:cs="Arial"/>
                <w:color w:val="1E1E1E" w:themeColor="background2"/>
                <w:sz w:val="21"/>
                <w:szCs w:val="21"/>
                <w:lang w:val="en-GB"/>
              </w:rPr>
              <w:t xml:space="preserve">– The national response to HIV in Kazakhstan has benefitted from strong Government commitment, as evidenced by the fact that it currently finances approx. </w:t>
            </w:r>
            <w:r w:rsidR="00C64B1E" w:rsidRPr="00AF43A2">
              <w:rPr>
                <w:rFonts w:eastAsia="Calibri" w:cs="Arial"/>
                <w:color w:val="1E1E1E" w:themeColor="background2"/>
                <w:sz w:val="21"/>
                <w:szCs w:val="21"/>
                <w:lang w:val="en-GB"/>
              </w:rPr>
              <w:t>95</w:t>
            </w:r>
            <w:r w:rsidRPr="00AF43A2">
              <w:rPr>
                <w:rFonts w:eastAsia="Calibri" w:cs="Arial"/>
                <w:color w:val="1E1E1E" w:themeColor="background2"/>
                <w:sz w:val="21"/>
                <w:szCs w:val="21"/>
                <w:lang w:val="en-GB"/>
              </w:rPr>
              <w:t xml:space="preserve">% of the </w:t>
            </w:r>
            <w:r w:rsidRPr="00AF43A2">
              <w:rPr>
                <w:rFonts w:eastAsia="Calibri" w:cs="Arial"/>
                <w:i/>
                <w:color w:val="1E1E1E" w:themeColor="background2"/>
                <w:sz w:val="21"/>
                <w:szCs w:val="21"/>
                <w:lang w:val="en-GB"/>
              </w:rPr>
              <w:t xml:space="preserve">national response </w:t>
            </w:r>
            <w:r w:rsidRPr="00AF43A2">
              <w:rPr>
                <w:rFonts w:eastAsia="Calibri" w:cs="Arial"/>
                <w:color w:val="1E1E1E" w:themeColor="background2"/>
                <w:sz w:val="21"/>
                <w:szCs w:val="21"/>
                <w:lang w:val="en-GB"/>
              </w:rPr>
              <w:t>to HIV. In 2018, the reported national HIV programme budget was USD 38</w:t>
            </w:r>
            <w:r w:rsidR="00C64B1E" w:rsidRPr="00AF43A2">
              <w:rPr>
                <w:rFonts w:eastAsia="Calibri" w:cs="Arial"/>
                <w:color w:val="1E1E1E" w:themeColor="background2"/>
                <w:sz w:val="21"/>
                <w:szCs w:val="21"/>
                <w:lang w:val="en-GB"/>
              </w:rPr>
              <w:t>.7</w:t>
            </w:r>
            <w:r w:rsidRPr="00AF43A2">
              <w:rPr>
                <w:rFonts w:eastAsia="Calibri" w:cs="Arial"/>
                <w:color w:val="1E1E1E" w:themeColor="background2"/>
                <w:sz w:val="21"/>
                <w:szCs w:val="21"/>
                <w:lang w:val="en-GB"/>
              </w:rPr>
              <w:t xml:space="preserve"> million </w:t>
            </w:r>
            <w:r w:rsidRPr="00AF43A2">
              <w:rPr>
                <w:rFonts w:eastAsia="Calibri" w:cs="Arial"/>
                <w:i/>
                <w:color w:val="1E1E1E" w:themeColor="background2"/>
                <w:sz w:val="21"/>
                <w:szCs w:val="21"/>
                <w:lang w:val="en-GB"/>
              </w:rPr>
              <w:t xml:space="preserve">(UNAIDS, 2020). </w:t>
            </w:r>
            <w:r w:rsidRPr="00AF43A2">
              <w:rPr>
                <w:rFonts w:eastAsia="Calibri" w:cs="Arial"/>
                <w:color w:val="1E1E1E" w:themeColor="background2"/>
                <w:sz w:val="21"/>
                <w:szCs w:val="21"/>
                <w:lang w:val="en-GB"/>
              </w:rPr>
              <w:t xml:space="preserve">Future funds for HIV will likely benefit from a planned increase in funding for national health from the current </w:t>
            </w:r>
            <w:r w:rsidRPr="00AF43A2">
              <w:rPr>
                <w:rFonts w:eastAsia="Calibri" w:cs="Arial"/>
                <w:color w:val="1E1E1E" w:themeColor="background2"/>
                <w:sz w:val="21"/>
                <w:szCs w:val="21"/>
                <w:lang w:val="en-GB"/>
              </w:rPr>
              <w:lastRenderedPageBreak/>
              <w:t>3.3% to 4.7% of GDP by 2023. Government funding for HIV</w:t>
            </w:r>
            <w:r w:rsidRPr="00AF43A2">
              <w:rPr>
                <w:rFonts w:eastAsia="Calibri" w:cs="Arial"/>
                <w:b/>
                <w:color w:val="1E1E1E" w:themeColor="background2"/>
                <w:sz w:val="21"/>
                <w:szCs w:val="21"/>
                <w:lang w:val="en-GB"/>
              </w:rPr>
              <w:t xml:space="preserve"> </w:t>
            </w:r>
            <w:r w:rsidRPr="00AF43A2">
              <w:rPr>
                <w:rFonts w:eastAsia="Calibri" w:cs="Arial"/>
                <w:color w:val="1E1E1E" w:themeColor="background2"/>
                <w:sz w:val="21"/>
                <w:szCs w:val="21"/>
                <w:lang w:val="en-GB"/>
              </w:rPr>
              <w:t xml:space="preserve">covers State medical facilities and staff; the bulk of drugs and commodities for prevention, testing and treatment; as well as community outreach workers employed by Regional AIDS Centres. In addition, there are several mechanisms for </w:t>
            </w:r>
            <w:r w:rsidRPr="00AF43A2">
              <w:rPr>
                <w:rFonts w:eastAsia="Calibri" w:cs="Arial"/>
                <w:b/>
                <w:i/>
                <w:color w:val="1E1E1E" w:themeColor="background2"/>
                <w:sz w:val="21"/>
                <w:szCs w:val="21"/>
                <w:lang w:val="en-GB"/>
              </w:rPr>
              <w:t xml:space="preserve">State </w:t>
            </w:r>
            <w:r w:rsidRPr="00F4260B">
              <w:rPr>
                <w:rFonts w:eastAsia="Calibri" w:cs="Arial"/>
                <w:b/>
                <w:i/>
                <w:color w:val="1E1E1E" w:themeColor="background2"/>
                <w:sz w:val="21"/>
                <w:szCs w:val="21"/>
                <w:lang w:val="en-GB"/>
              </w:rPr>
              <w:t>funding of NGOs</w:t>
            </w:r>
            <w:r w:rsidRPr="00F4260B">
              <w:rPr>
                <w:rFonts w:eastAsia="Calibri" w:cs="Arial"/>
                <w:color w:val="1E1E1E" w:themeColor="background2"/>
                <w:sz w:val="21"/>
                <w:szCs w:val="21"/>
                <w:lang w:val="en-GB"/>
              </w:rPr>
              <w:t xml:space="preserve"> (State Social Orders, State Grants and Awards) and efforts are underway to include HIV prevention for KPs in the new Health Code to stimulate allocation of social contracts for KP groups at the level of </w:t>
            </w:r>
            <w:proofErr w:type="spellStart"/>
            <w:r w:rsidRPr="00F4260B">
              <w:rPr>
                <w:rFonts w:eastAsia="Calibri" w:cs="Arial"/>
                <w:color w:val="1E1E1E" w:themeColor="background2"/>
                <w:sz w:val="21"/>
                <w:szCs w:val="21"/>
                <w:lang w:val="en-GB"/>
              </w:rPr>
              <w:t>Akimats</w:t>
            </w:r>
            <w:proofErr w:type="spellEnd"/>
            <w:r w:rsidRPr="00F4260B">
              <w:rPr>
                <w:rFonts w:eastAsia="Calibri" w:cs="Arial"/>
                <w:i/>
                <w:color w:val="1E1E1E" w:themeColor="background2"/>
                <w:sz w:val="21"/>
                <w:szCs w:val="21"/>
                <w:lang w:val="en-GB"/>
              </w:rPr>
              <w:t xml:space="preserve"> (</w:t>
            </w:r>
            <w:r w:rsidR="00AC2B5D" w:rsidRPr="00F4260B">
              <w:rPr>
                <w:rFonts w:eastAsia="Calibri" w:cs="Arial"/>
                <w:i/>
                <w:color w:val="1E1E1E" w:themeColor="background2"/>
                <w:sz w:val="21"/>
                <w:szCs w:val="21"/>
                <w:lang w:val="en-GB"/>
              </w:rPr>
              <w:t>see Annex 10; p.6</w:t>
            </w:r>
            <w:r w:rsidRPr="00F4260B">
              <w:rPr>
                <w:rFonts w:eastAsia="Calibri" w:cs="Arial"/>
                <w:i/>
                <w:color w:val="1E1E1E" w:themeColor="background2"/>
                <w:sz w:val="21"/>
                <w:szCs w:val="21"/>
                <w:lang w:val="en-GB"/>
              </w:rPr>
              <w:t>)</w:t>
            </w:r>
            <w:r w:rsidRPr="00F4260B">
              <w:rPr>
                <w:rFonts w:eastAsia="Calibri" w:cs="Arial"/>
                <w:color w:val="1E1E1E" w:themeColor="background2"/>
                <w:sz w:val="21"/>
                <w:szCs w:val="21"/>
                <w:lang w:val="en-GB"/>
              </w:rPr>
              <w:t>.</w:t>
            </w:r>
            <w:r w:rsidRPr="00AF43A2">
              <w:rPr>
                <w:rFonts w:eastAsia="Calibri" w:cs="Arial"/>
                <w:color w:val="1E1E1E" w:themeColor="background2"/>
                <w:sz w:val="21"/>
                <w:szCs w:val="21"/>
                <w:lang w:val="en-GB"/>
              </w:rPr>
              <w:t xml:space="preserve"> To date, however, access to these State funds has been limited for NGOs working in the HIV field, as social contracting has traditionally not been awarded to HIV programmes. In addition, budget allocations to HIV by local government have been suboptimal, as HIV is not always given top priority in the context of many competing priorities. Thus, in 2019, social contracts for NGOs still only represented a very small proportion of the total State budget for HIV (0.2%, USD 63,600).</w:t>
            </w:r>
          </w:p>
          <w:p w14:paraId="358558F0" w14:textId="34044404" w:rsidR="009A2B0A" w:rsidRPr="00AF43A2" w:rsidRDefault="009A2B0A" w:rsidP="000A0528">
            <w:pPr>
              <w:spacing w:after="0" w:line="240" w:lineRule="auto"/>
              <w:ind w:firstLine="284"/>
              <w:jc w:val="both"/>
              <w:rPr>
                <w:rFonts w:eastAsia="Calibri" w:cs="Arial"/>
                <w:color w:val="1E1E1E" w:themeColor="background2"/>
                <w:sz w:val="21"/>
                <w:szCs w:val="21"/>
                <w:lang w:val="en-GB"/>
              </w:rPr>
            </w:pPr>
            <w:r w:rsidRPr="00AF43A2">
              <w:rPr>
                <w:rFonts w:eastAsia="Calibri" w:cs="Arial"/>
                <w:color w:val="1E1E1E" w:themeColor="background2"/>
                <w:sz w:val="21"/>
                <w:szCs w:val="21"/>
                <w:lang w:val="en-GB"/>
              </w:rPr>
              <w:t xml:space="preserve">In addition, Kazakhstan is in the process of introducing </w:t>
            </w:r>
            <w:r w:rsidRPr="00AF43A2">
              <w:rPr>
                <w:rFonts w:eastAsia="Calibri" w:cs="Arial"/>
                <w:b/>
                <w:i/>
                <w:color w:val="1E1E1E" w:themeColor="background2"/>
                <w:sz w:val="21"/>
                <w:szCs w:val="21"/>
                <w:lang w:val="en-GB"/>
              </w:rPr>
              <w:t>Compulsory Social Health Insurance (CSHI)</w:t>
            </w:r>
            <w:r w:rsidRPr="00AF43A2">
              <w:rPr>
                <w:rStyle w:val="af"/>
                <w:rFonts w:eastAsia="Calibri" w:cs="Arial"/>
                <w:b/>
                <w:i/>
                <w:color w:val="1E1E1E" w:themeColor="background2"/>
                <w:sz w:val="21"/>
                <w:szCs w:val="21"/>
                <w:lang w:val="en-GB"/>
              </w:rPr>
              <w:footnoteReference w:id="16"/>
            </w:r>
            <w:r w:rsidRPr="00AF43A2">
              <w:rPr>
                <w:rFonts w:eastAsia="Calibri" w:cs="Arial"/>
                <w:b/>
                <w:i/>
                <w:color w:val="1E1E1E" w:themeColor="background2"/>
                <w:sz w:val="21"/>
                <w:szCs w:val="21"/>
                <w:lang w:val="en-GB"/>
              </w:rPr>
              <w:t>,</w:t>
            </w:r>
            <w:r w:rsidRPr="00AF43A2">
              <w:rPr>
                <w:rFonts w:eastAsia="Calibri" w:cs="Arial"/>
                <w:color w:val="1E1E1E" w:themeColor="background2"/>
                <w:sz w:val="21"/>
                <w:szCs w:val="21"/>
                <w:lang w:val="en-GB"/>
              </w:rPr>
              <w:t xml:space="preserve"> which aims to guarantee free medical care to all citizens. CSHI will cover first aid, out-patient and polyclinic care, Inpatient care and hospital-assisted care. In comparison to the relatively unreliable and more short-term social contracting mechanisms, CSHI may offer better opportunities for sustainability of HIV services, including those offered by NGOs. However, the system is still in the</w:t>
            </w:r>
            <w:r w:rsidR="0003091C" w:rsidRPr="00AF43A2">
              <w:rPr>
                <w:rFonts w:eastAsia="Calibri" w:cs="Arial"/>
                <w:color w:val="1E1E1E" w:themeColor="background2"/>
                <w:sz w:val="21"/>
                <w:szCs w:val="21"/>
                <w:lang w:val="en-GB"/>
              </w:rPr>
              <w:t xml:space="preserve"> process </w:t>
            </w:r>
            <w:r w:rsidRPr="00AF43A2">
              <w:rPr>
                <w:rFonts w:eastAsia="Calibri" w:cs="Arial"/>
                <w:color w:val="1E1E1E" w:themeColor="background2"/>
                <w:sz w:val="21"/>
                <w:szCs w:val="21"/>
                <w:lang w:val="en-GB"/>
              </w:rPr>
              <w:t>of being rolled ou</w:t>
            </w:r>
            <w:r w:rsidR="00C64B1E" w:rsidRPr="00AF43A2">
              <w:rPr>
                <w:rFonts w:eastAsia="Calibri" w:cs="Arial"/>
                <w:color w:val="1E1E1E" w:themeColor="background2"/>
                <w:sz w:val="21"/>
                <w:szCs w:val="21"/>
                <w:lang w:val="en-GB"/>
              </w:rPr>
              <w:t xml:space="preserve">t </w:t>
            </w:r>
            <w:r w:rsidRPr="00AF43A2">
              <w:rPr>
                <w:rFonts w:eastAsia="Calibri" w:cs="Arial"/>
                <w:color w:val="1E1E1E" w:themeColor="background2"/>
                <w:sz w:val="21"/>
                <w:szCs w:val="21"/>
                <w:lang w:val="en-GB"/>
              </w:rPr>
              <w:t xml:space="preserve">and </w:t>
            </w:r>
            <w:r w:rsidR="00C64B1E" w:rsidRPr="00AF43A2">
              <w:rPr>
                <w:rFonts w:eastAsia="Calibri" w:cs="Arial"/>
                <w:color w:val="1E1E1E" w:themeColor="background2"/>
                <w:sz w:val="21"/>
                <w:szCs w:val="21"/>
                <w:lang w:val="en-GB"/>
              </w:rPr>
              <w:t xml:space="preserve">at this stage </w:t>
            </w:r>
            <w:r w:rsidRPr="00AF43A2">
              <w:rPr>
                <w:rFonts w:eastAsia="Calibri" w:cs="Arial"/>
                <w:color w:val="1E1E1E" w:themeColor="background2"/>
                <w:sz w:val="21"/>
                <w:szCs w:val="21"/>
                <w:lang w:val="en-GB"/>
              </w:rPr>
              <w:t xml:space="preserve">it is not </w:t>
            </w:r>
            <w:r w:rsidR="0003091C" w:rsidRPr="00AF43A2">
              <w:rPr>
                <w:rFonts w:eastAsia="Calibri" w:cs="Arial"/>
                <w:color w:val="1E1E1E" w:themeColor="background2"/>
                <w:sz w:val="21"/>
                <w:szCs w:val="21"/>
                <w:lang w:val="en-GB"/>
              </w:rPr>
              <w:t xml:space="preserve">yet fully </w:t>
            </w:r>
            <w:r w:rsidRPr="00AF43A2">
              <w:rPr>
                <w:rFonts w:eastAsia="Calibri" w:cs="Arial"/>
                <w:color w:val="1E1E1E" w:themeColor="background2"/>
                <w:sz w:val="21"/>
                <w:szCs w:val="21"/>
                <w:lang w:val="en-GB"/>
              </w:rPr>
              <w:t>clear to what extent it will cover all aspects of HIV prevention, care and treatment. Especially HIV services for KPs offered by NGOs may not be included in the CSHI.</w:t>
            </w:r>
            <w:r w:rsidR="00C64B1E" w:rsidRPr="00AF43A2">
              <w:rPr>
                <w:rFonts w:eastAsia="Calibri" w:cs="Arial"/>
                <w:color w:val="1E1E1E" w:themeColor="background2"/>
                <w:sz w:val="21"/>
                <w:szCs w:val="21"/>
                <w:lang w:val="en-GB"/>
              </w:rPr>
              <w:t xml:space="preserve"> In this context, the Funding request will specifically support the incorporation of HIV-related services as part of the CSHI system, including those delivered by CSOs/NGOs.</w:t>
            </w:r>
          </w:p>
          <w:p w14:paraId="57B1BB3D" w14:textId="77777777" w:rsidR="009A2B0A" w:rsidRPr="00AF43A2" w:rsidRDefault="009A2B0A" w:rsidP="000A0528">
            <w:pPr>
              <w:spacing w:after="0" w:line="240" w:lineRule="auto"/>
              <w:ind w:firstLine="284"/>
              <w:jc w:val="both"/>
              <w:rPr>
                <w:rFonts w:eastAsia="Calibri" w:cs="Arial"/>
                <w:color w:val="1E1E1E" w:themeColor="background2"/>
                <w:sz w:val="8"/>
                <w:szCs w:val="8"/>
                <w:lang w:val="en-GB"/>
              </w:rPr>
            </w:pPr>
            <w:r w:rsidRPr="00AF43A2">
              <w:rPr>
                <w:rFonts w:eastAsia="Calibri" w:cs="Arial"/>
                <w:b/>
                <w:i/>
                <w:color w:val="1E1E1E" w:themeColor="background2"/>
                <w:sz w:val="21"/>
                <w:szCs w:val="21"/>
                <w:lang w:val="en-GB"/>
              </w:rPr>
              <w:t>Key actions to strengthen financial sustainability</w:t>
            </w:r>
            <w:r w:rsidRPr="00AF43A2">
              <w:rPr>
                <w:rFonts w:eastAsia="Calibri" w:cs="Arial"/>
                <w:color w:val="1E1E1E" w:themeColor="background2"/>
                <w:sz w:val="21"/>
                <w:szCs w:val="21"/>
                <w:lang w:val="en-GB"/>
              </w:rPr>
              <w:t xml:space="preserve"> – As described in section 1.1, the grant will specifically support strengthening the eligibility for social contracting of HIV prevention services for KPs by NGOs (Intervention 5.1); as well as strengthening partnerships and linkages between local authorities and NGOs to facilitate the allocation of social contracts in the field of HIV to NGOs (Intervention 6.2). In addition, the grant will support the integration of all HIV-related prevention, care and treatment services – including NGO services for KPs – in the CSHI system (Intervention 5.2).</w:t>
            </w:r>
          </w:p>
          <w:p w14:paraId="5868FB02" w14:textId="77777777" w:rsidR="009A2B0A" w:rsidRPr="00AF43A2" w:rsidRDefault="009A2B0A" w:rsidP="000A0528">
            <w:pPr>
              <w:spacing w:after="0" w:line="240" w:lineRule="auto"/>
              <w:ind w:firstLine="284"/>
              <w:jc w:val="both"/>
              <w:rPr>
                <w:rFonts w:eastAsia="Calibri" w:cs="Arial"/>
                <w:color w:val="1E1E1E" w:themeColor="background2"/>
                <w:sz w:val="8"/>
                <w:szCs w:val="8"/>
                <w:lang w:val="en-GB"/>
              </w:rPr>
            </w:pPr>
          </w:p>
          <w:p w14:paraId="4E72727D" w14:textId="5B39651C" w:rsidR="009A2B0A" w:rsidRPr="00AF43A2" w:rsidRDefault="009A2B0A" w:rsidP="000A0528">
            <w:pPr>
              <w:spacing w:after="0" w:line="240" w:lineRule="auto"/>
              <w:jc w:val="both"/>
              <w:rPr>
                <w:rFonts w:eastAsia="Calibri" w:cs="Arial"/>
                <w:color w:val="1E1E1E" w:themeColor="background2"/>
                <w:sz w:val="21"/>
                <w:szCs w:val="21"/>
                <w:lang w:val="en-GB"/>
              </w:rPr>
            </w:pPr>
            <w:r w:rsidRPr="00AF43A2">
              <w:rPr>
                <w:rFonts w:eastAsia="Calibri" w:cs="Arial"/>
                <w:b/>
                <w:color w:val="1E1E1E" w:themeColor="background2"/>
                <w:sz w:val="21"/>
                <w:szCs w:val="21"/>
                <w:lang w:val="en-GB"/>
              </w:rPr>
              <w:t xml:space="preserve">2) </w:t>
            </w:r>
            <w:r w:rsidRPr="00AF43A2">
              <w:rPr>
                <w:rFonts w:eastAsia="Calibri" w:cs="Arial"/>
                <w:b/>
                <w:color w:val="1E1E1E" w:themeColor="background2"/>
                <w:sz w:val="21"/>
                <w:szCs w:val="21"/>
                <w:u w:val="single"/>
                <w:lang w:val="en-GB"/>
              </w:rPr>
              <w:t>Programmatic sustainability challenges</w:t>
            </w:r>
            <w:r w:rsidRPr="00AF43A2">
              <w:rPr>
                <w:rFonts w:eastAsia="Calibri" w:cs="Arial"/>
                <w:color w:val="1E1E1E" w:themeColor="background2"/>
                <w:sz w:val="21"/>
                <w:szCs w:val="21"/>
                <w:lang w:val="en-GB"/>
              </w:rPr>
              <w:t xml:space="preserve"> – Programmatic sustainability and continuity of HIV prevention, care and treatment services are hampered by </w:t>
            </w:r>
            <w:r w:rsidRPr="00AF43A2">
              <w:rPr>
                <w:rFonts w:eastAsia="Calibri" w:cs="Arial"/>
                <w:b/>
                <w:i/>
                <w:color w:val="1E1E1E" w:themeColor="background2"/>
                <w:sz w:val="21"/>
                <w:szCs w:val="21"/>
                <w:lang w:val="en-GB"/>
              </w:rPr>
              <w:t>inadequate service models</w:t>
            </w:r>
            <w:r w:rsidRPr="00AF43A2">
              <w:rPr>
                <w:rFonts w:eastAsia="Calibri" w:cs="Arial"/>
                <w:color w:val="1E1E1E" w:themeColor="background2"/>
                <w:sz w:val="21"/>
                <w:szCs w:val="21"/>
                <w:lang w:val="en-GB"/>
              </w:rPr>
              <w:t xml:space="preserve"> that fail to meet the needs of key populations (KPs) as well as PLHIV, resulting in </w:t>
            </w:r>
            <w:r w:rsidRPr="00AF43A2">
              <w:rPr>
                <w:rFonts w:eastAsia="Calibri" w:cs="Arial"/>
                <w:b/>
                <w:i/>
                <w:color w:val="1E1E1E" w:themeColor="background2"/>
                <w:sz w:val="21"/>
                <w:szCs w:val="21"/>
                <w:lang w:val="en-GB"/>
              </w:rPr>
              <w:t>poor uptake and coverage</w:t>
            </w:r>
            <w:r w:rsidRPr="00AF43A2">
              <w:rPr>
                <w:rFonts w:eastAsia="Calibri" w:cs="Arial"/>
                <w:color w:val="1E1E1E" w:themeColor="background2"/>
                <w:sz w:val="21"/>
                <w:szCs w:val="21"/>
                <w:lang w:val="en-GB"/>
              </w:rPr>
              <w:t xml:space="preserve">. </w:t>
            </w:r>
            <w:r w:rsidR="00216759" w:rsidRPr="00AF43A2">
              <w:rPr>
                <w:rFonts w:eastAsia="Calibri" w:cs="Arial"/>
                <w:color w:val="1E1E1E" w:themeColor="background2"/>
                <w:sz w:val="21"/>
                <w:szCs w:val="21"/>
                <w:lang w:val="en-GB"/>
              </w:rPr>
              <w:t xml:space="preserve">This is further exacerbated by </w:t>
            </w:r>
            <w:r w:rsidR="00216759" w:rsidRPr="00AF43A2">
              <w:rPr>
                <w:color w:val="1E1E1E" w:themeColor="background2"/>
                <w:sz w:val="21"/>
                <w:szCs w:val="21"/>
              </w:rPr>
              <w:t xml:space="preserve">the </w:t>
            </w:r>
            <w:r w:rsidR="0003091C" w:rsidRPr="00AF43A2">
              <w:rPr>
                <w:color w:val="1E1E1E" w:themeColor="background2"/>
                <w:sz w:val="21"/>
                <w:szCs w:val="21"/>
              </w:rPr>
              <w:t xml:space="preserve">failure to </w:t>
            </w:r>
            <w:r w:rsidR="00216759" w:rsidRPr="00AF43A2">
              <w:rPr>
                <w:color w:val="1E1E1E" w:themeColor="background2"/>
                <w:sz w:val="21"/>
                <w:szCs w:val="21"/>
              </w:rPr>
              <w:t>g</w:t>
            </w:r>
            <w:r w:rsidR="0003091C" w:rsidRPr="00AF43A2">
              <w:rPr>
                <w:color w:val="1E1E1E" w:themeColor="background2"/>
                <w:sz w:val="21"/>
                <w:szCs w:val="21"/>
              </w:rPr>
              <w:t>enerate appropriate dem</w:t>
            </w:r>
            <w:r w:rsidR="00216759" w:rsidRPr="00AF43A2">
              <w:rPr>
                <w:color w:val="1E1E1E" w:themeColor="background2"/>
                <w:sz w:val="21"/>
                <w:szCs w:val="21"/>
              </w:rPr>
              <w:t>a</w:t>
            </w:r>
            <w:r w:rsidR="0003091C" w:rsidRPr="00AF43A2">
              <w:rPr>
                <w:color w:val="1E1E1E" w:themeColor="background2"/>
                <w:sz w:val="21"/>
                <w:szCs w:val="21"/>
              </w:rPr>
              <w:t>nd for service</w:t>
            </w:r>
            <w:r w:rsidR="00216759" w:rsidRPr="00AF43A2">
              <w:rPr>
                <w:color w:val="1E1E1E" w:themeColor="background2"/>
                <w:sz w:val="21"/>
                <w:szCs w:val="21"/>
              </w:rPr>
              <w:t>s.</w:t>
            </w:r>
            <w:r w:rsidR="0003091C" w:rsidRPr="00AF43A2">
              <w:rPr>
                <w:rFonts w:eastAsia="Calibri" w:cs="Arial"/>
                <w:color w:val="1E1E1E" w:themeColor="background2"/>
                <w:sz w:val="21"/>
                <w:szCs w:val="21"/>
                <w:lang w:val="en-GB"/>
              </w:rPr>
              <w:t xml:space="preserve"> </w:t>
            </w:r>
            <w:r w:rsidRPr="00AF43A2">
              <w:rPr>
                <w:rFonts w:eastAsia="Calibri" w:cs="Arial"/>
                <w:color w:val="1E1E1E" w:themeColor="background2"/>
                <w:sz w:val="21"/>
                <w:szCs w:val="21"/>
                <w:lang w:val="en-GB"/>
              </w:rPr>
              <w:t xml:space="preserve">In addition, there are still important </w:t>
            </w:r>
            <w:r w:rsidRPr="00AF43A2">
              <w:rPr>
                <w:rFonts w:eastAsia="Calibri" w:cs="Arial"/>
                <w:b/>
                <w:i/>
                <w:color w:val="1E1E1E" w:themeColor="background2"/>
                <w:sz w:val="21"/>
                <w:szCs w:val="21"/>
                <w:lang w:val="en-GB"/>
              </w:rPr>
              <w:t>gaps with regard to key services</w:t>
            </w:r>
            <w:r w:rsidRPr="00AF43A2">
              <w:rPr>
                <w:rFonts w:eastAsia="Calibri" w:cs="Arial"/>
                <w:color w:val="1E1E1E" w:themeColor="background2"/>
                <w:sz w:val="21"/>
                <w:szCs w:val="21"/>
                <w:lang w:val="en-GB"/>
              </w:rPr>
              <w:t>, especially for KPs. Specific challenges include stigma and discrimination affecting access to health services for PLHIV and KPs; suboptimal access to HIV prevention services for KPs, e.g. due to a lack of community-based rapid testing and HIV self-testing; poor availability and insufficient quality of condoms and lubricants in some Regions; non-availability of PrEP for high-risk KPs; lack of HIV prevention services tailored to the service needs of TG people; Poor availability and very low coverage of OST and OD treatment for PWID; lack of programmes for users of new psychoactive substances (NPS); inadequate peer support for ART adherence; as well as lack of free ART for undocumented migrants.</w:t>
            </w:r>
          </w:p>
          <w:p w14:paraId="43E8D13E" w14:textId="35D1538F" w:rsidR="005F3498" w:rsidRPr="00AF43A2" w:rsidRDefault="005F3498" w:rsidP="000A0528">
            <w:pPr>
              <w:spacing w:after="0" w:line="240" w:lineRule="auto"/>
              <w:ind w:firstLine="167"/>
              <w:jc w:val="both"/>
              <w:rPr>
                <w:rFonts w:eastAsia="Calibri" w:cs="Arial"/>
                <w:color w:val="1E1E1E" w:themeColor="background2"/>
                <w:sz w:val="21"/>
                <w:szCs w:val="21"/>
                <w:lang w:val="en-GB"/>
              </w:rPr>
            </w:pPr>
            <w:r w:rsidRPr="00AF43A2">
              <w:rPr>
                <w:rFonts w:eastAsia="Calibri" w:cs="Arial"/>
                <w:color w:val="1E1E1E" w:themeColor="background2"/>
                <w:sz w:val="21"/>
                <w:szCs w:val="21"/>
                <w:lang w:val="en-GB"/>
              </w:rPr>
              <w:t>The challenges mentioned are partly due to continued problems with drug supply chain, forecasting, stock management, stock outs a</w:t>
            </w:r>
            <w:r w:rsidR="00AC2B5D">
              <w:rPr>
                <w:rFonts w:eastAsia="Calibri" w:cs="Arial"/>
                <w:color w:val="1E1E1E" w:themeColor="background2"/>
                <w:sz w:val="21"/>
                <w:szCs w:val="21"/>
                <w:lang w:val="en-GB"/>
              </w:rPr>
              <w:t>n</w:t>
            </w:r>
            <w:r w:rsidRPr="00AF43A2">
              <w:rPr>
                <w:rFonts w:eastAsia="Calibri" w:cs="Arial"/>
                <w:color w:val="1E1E1E" w:themeColor="background2"/>
                <w:sz w:val="21"/>
                <w:szCs w:val="21"/>
                <w:lang w:val="en-GB"/>
              </w:rPr>
              <w:t>d other PSM-related problems.</w:t>
            </w:r>
          </w:p>
          <w:p w14:paraId="3D6F65FC" w14:textId="4F9693FC" w:rsidR="005F3498" w:rsidRPr="00AF43A2" w:rsidRDefault="009A2B0A" w:rsidP="000A0528">
            <w:pPr>
              <w:spacing w:after="0" w:line="240" w:lineRule="auto"/>
              <w:ind w:firstLine="284"/>
              <w:jc w:val="both"/>
              <w:rPr>
                <w:rFonts w:eastAsia="Calibri" w:cs="Arial"/>
                <w:color w:val="1E1E1E" w:themeColor="background2"/>
                <w:sz w:val="21"/>
                <w:szCs w:val="21"/>
                <w:lang w:val="en-GB"/>
              </w:rPr>
            </w:pPr>
            <w:r w:rsidRPr="00AF43A2">
              <w:rPr>
                <w:rFonts w:eastAsia="Calibri" w:cs="Arial"/>
                <w:b/>
                <w:i/>
                <w:color w:val="1E1E1E" w:themeColor="background2"/>
                <w:sz w:val="21"/>
                <w:szCs w:val="21"/>
                <w:lang w:val="en-GB"/>
              </w:rPr>
              <w:t>Key actions to strengthen programmatic sustainability</w:t>
            </w:r>
            <w:r w:rsidRPr="00AF43A2">
              <w:rPr>
                <w:rFonts w:eastAsia="Calibri" w:cs="Arial"/>
                <w:color w:val="1E1E1E" w:themeColor="background2"/>
                <w:sz w:val="21"/>
                <w:szCs w:val="21"/>
                <w:lang w:val="en-GB"/>
              </w:rPr>
              <w:t xml:space="preserve"> – As described in section 1.1, the grant will systematically address all these challenges by supporting the development and roll-out of </w:t>
            </w:r>
            <w:r w:rsidRPr="00AF43A2">
              <w:rPr>
                <w:rFonts w:eastAsia="Calibri" w:cs="Arial"/>
                <w:b/>
                <w:i/>
                <w:color w:val="1E1E1E" w:themeColor="background2"/>
                <w:sz w:val="21"/>
                <w:szCs w:val="21"/>
                <w:lang w:val="en-GB"/>
              </w:rPr>
              <w:t>innovative HIV testing and prevention services</w:t>
            </w:r>
            <w:r w:rsidRPr="00AF43A2">
              <w:rPr>
                <w:rFonts w:eastAsia="Calibri" w:cs="Arial"/>
                <w:color w:val="1E1E1E" w:themeColor="background2"/>
                <w:sz w:val="21"/>
                <w:szCs w:val="21"/>
                <w:lang w:val="en-GB"/>
              </w:rPr>
              <w:t xml:space="preserve"> </w:t>
            </w:r>
            <w:r w:rsidR="005F3498" w:rsidRPr="00AF43A2">
              <w:rPr>
                <w:rFonts w:eastAsia="Calibri" w:cs="Arial"/>
                <w:color w:val="1E1E1E" w:themeColor="background2"/>
                <w:sz w:val="21"/>
                <w:szCs w:val="21"/>
                <w:lang w:val="en-GB"/>
              </w:rPr>
              <w:t xml:space="preserve">and differentiated service delivery for KPs </w:t>
            </w:r>
            <w:r w:rsidRPr="00AF43A2">
              <w:rPr>
                <w:rFonts w:eastAsia="Calibri" w:cs="Arial"/>
                <w:color w:val="1E1E1E" w:themeColor="background2"/>
                <w:sz w:val="21"/>
                <w:szCs w:val="21"/>
                <w:lang w:val="en-GB"/>
              </w:rPr>
              <w:t xml:space="preserve">(e.g. PrEP, community-based and self-testing; programmes for TG people and NPS drug users); advocacy and capacity building for OST and OD treatment programmes; </w:t>
            </w:r>
            <w:r w:rsidRPr="00AF43A2">
              <w:rPr>
                <w:rFonts w:eastAsia="Calibri" w:cs="Arial"/>
                <w:b/>
                <w:i/>
                <w:color w:val="1E1E1E" w:themeColor="background2"/>
                <w:sz w:val="21"/>
                <w:szCs w:val="21"/>
                <w:lang w:val="en-GB"/>
              </w:rPr>
              <w:t>strengthening innovative models for ART adherence</w:t>
            </w:r>
            <w:r w:rsidRPr="00AF43A2">
              <w:rPr>
                <w:rFonts w:eastAsia="Calibri" w:cs="Arial"/>
                <w:color w:val="1E1E1E" w:themeColor="background2"/>
                <w:sz w:val="21"/>
                <w:szCs w:val="21"/>
                <w:lang w:val="en-GB"/>
              </w:rPr>
              <w:t xml:space="preserve"> (peer </w:t>
            </w:r>
            <w:r w:rsidR="009F791F" w:rsidRPr="00AF43A2">
              <w:rPr>
                <w:rFonts w:eastAsia="Calibri" w:cs="Arial"/>
                <w:color w:val="1E1E1E" w:themeColor="background2"/>
                <w:sz w:val="21"/>
                <w:szCs w:val="21"/>
                <w:lang w:val="en-GB"/>
              </w:rPr>
              <w:t xml:space="preserve">counsellors </w:t>
            </w:r>
            <w:r w:rsidRPr="00AF43A2">
              <w:rPr>
                <w:rFonts w:eastAsia="Calibri" w:cs="Arial"/>
                <w:color w:val="1E1E1E" w:themeColor="background2"/>
                <w:sz w:val="21"/>
                <w:szCs w:val="21"/>
                <w:lang w:val="en-GB"/>
              </w:rPr>
              <w:t xml:space="preserve">for KPs with HIV); and legal and medical support for undocumented </w:t>
            </w:r>
            <w:r w:rsidRPr="00AF43A2">
              <w:rPr>
                <w:rFonts w:eastAsia="Calibri" w:cs="Arial"/>
                <w:sz w:val="21"/>
                <w:szCs w:val="21"/>
                <w:lang w:val="en-GB"/>
              </w:rPr>
              <w:t>foreign migrants. In addition, the grant will support the availability of high-quality condoms and lubricants for MSM, TG people and PWID in selected Regions</w:t>
            </w:r>
            <w:r w:rsidR="004C6416">
              <w:rPr>
                <w:rFonts w:eastAsia="Calibri" w:cs="Arial"/>
                <w:sz w:val="21"/>
                <w:szCs w:val="21"/>
                <w:lang w:val="en-GB"/>
              </w:rPr>
              <w:t>, which</w:t>
            </w:r>
            <w:r w:rsidRPr="00AF43A2">
              <w:rPr>
                <w:rFonts w:eastAsia="Calibri" w:cs="Arial"/>
                <w:sz w:val="21"/>
                <w:szCs w:val="21"/>
                <w:lang w:val="en-GB"/>
              </w:rPr>
              <w:t xml:space="preserve"> will ensure continuity of HIV services to KPs. </w:t>
            </w:r>
            <w:r w:rsidRPr="00AF43A2">
              <w:rPr>
                <w:rFonts w:eastAsia="Calibri" w:cs="Arial"/>
                <w:b/>
                <w:i/>
                <w:sz w:val="21"/>
                <w:szCs w:val="21"/>
                <w:lang w:val="en-GB"/>
              </w:rPr>
              <w:t>All these interventions will be gradually taken over by State funding</w:t>
            </w:r>
            <w:r w:rsidRPr="00AF43A2">
              <w:rPr>
                <w:rFonts w:eastAsia="Calibri" w:cs="Arial"/>
                <w:sz w:val="21"/>
                <w:szCs w:val="21"/>
                <w:lang w:val="en-GB"/>
              </w:rPr>
              <w:t xml:space="preserve">, </w:t>
            </w:r>
            <w:r w:rsidRPr="00AF43A2">
              <w:rPr>
                <w:rFonts w:eastAsia="Calibri" w:cs="Arial"/>
                <w:color w:val="1E1E1E" w:themeColor="background2"/>
                <w:sz w:val="21"/>
                <w:szCs w:val="21"/>
                <w:lang w:val="en-GB"/>
              </w:rPr>
              <w:t>with increasing contributions by government in year 2 and 3 of the grant, to ensure sustainability.</w:t>
            </w:r>
          </w:p>
          <w:p w14:paraId="14A242D7" w14:textId="5A666A54" w:rsidR="005F3498" w:rsidRPr="00AF43A2" w:rsidRDefault="005F3498" w:rsidP="000A0528">
            <w:pPr>
              <w:spacing w:after="0" w:line="240" w:lineRule="auto"/>
              <w:ind w:firstLine="284"/>
              <w:jc w:val="both"/>
              <w:rPr>
                <w:rFonts w:eastAsia="Calibri" w:cs="Arial"/>
                <w:color w:val="1E1E1E" w:themeColor="background2"/>
                <w:sz w:val="21"/>
                <w:szCs w:val="21"/>
                <w:lang w:val="en-GB"/>
              </w:rPr>
            </w:pPr>
            <w:r w:rsidRPr="00AF43A2">
              <w:rPr>
                <w:rFonts w:eastAsia="Calibri" w:cs="Arial"/>
                <w:color w:val="1E1E1E" w:themeColor="background2"/>
                <w:sz w:val="21"/>
                <w:szCs w:val="21"/>
                <w:lang w:val="en-GB"/>
              </w:rPr>
              <w:t xml:space="preserve">The funding request will not specifically support interventions to strengthen the systemic </w:t>
            </w:r>
            <w:r w:rsidRPr="004C6416">
              <w:rPr>
                <w:rFonts w:eastAsia="Calibri" w:cs="Arial"/>
                <w:b/>
                <w:i/>
                <w:color w:val="1E1E1E" w:themeColor="background2"/>
                <w:sz w:val="21"/>
                <w:szCs w:val="21"/>
                <w:lang w:val="en-GB"/>
              </w:rPr>
              <w:t>procurement</w:t>
            </w:r>
            <w:r w:rsidRPr="00AF43A2">
              <w:rPr>
                <w:rFonts w:eastAsia="Calibri" w:cs="Arial"/>
                <w:color w:val="1E1E1E" w:themeColor="background2"/>
                <w:sz w:val="21"/>
                <w:szCs w:val="21"/>
                <w:lang w:val="en-GB"/>
              </w:rPr>
              <w:t xml:space="preserve">-related problems mentioned, as these are already being addressed in the context of the government’s e-health initiative, which includes a specific </w:t>
            </w:r>
            <w:r w:rsidRPr="00AF43A2">
              <w:rPr>
                <w:rFonts w:eastAsia="Calibri" w:cs="Arial"/>
                <w:b/>
                <w:i/>
                <w:color w:val="1E1E1E" w:themeColor="background2"/>
                <w:sz w:val="21"/>
                <w:szCs w:val="21"/>
                <w:lang w:val="en-GB"/>
              </w:rPr>
              <w:t xml:space="preserve">e-procurement component </w:t>
            </w:r>
            <w:r w:rsidRPr="00AF43A2">
              <w:rPr>
                <w:rFonts w:eastAsia="Calibri" w:cs="Arial"/>
                <w:color w:val="1E1E1E" w:themeColor="background2"/>
                <w:sz w:val="21"/>
                <w:szCs w:val="21"/>
                <w:lang w:val="en-GB"/>
              </w:rPr>
              <w:t>that started being rolled out since last year.</w:t>
            </w:r>
          </w:p>
          <w:p w14:paraId="49207284" w14:textId="77777777" w:rsidR="009A2B0A" w:rsidRPr="00AF43A2" w:rsidRDefault="009A2B0A" w:rsidP="000A0528">
            <w:pPr>
              <w:spacing w:after="0" w:line="240" w:lineRule="auto"/>
              <w:ind w:firstLine="284"/>
              <w:jc w:val="both"/>
              <w:rPr>
                <w:rFonts w:cs="Arial"/>
                <w:color w:val="1E1E1E" w:themeColor="background2"/>
                <w:sz w:val="8"/>
                <w:szCs w:val="8"/>
                <w:lang w:val="en-GB"/>
              </w:rPr>
            </w:pPr>
          </w:p>
          <w:p w14:paraId="7CD61DB2" w14:textId="46BDC50F" w:rsidR="009A2B0A" w:rsidRPr="00AF43A2" w:rsidRDefault="009A2B0A" w:rsidP="000A0528">
            <w:pPr>
              <w:spacing w:after="0" w:line="240" w:lineRule="auto"/>
              <w:jc w:val="both"/>
              <w:rPr>
                <w:rFonts w:eastAsia="Calibri" w:cs="Arial"/>
                <w:color w:val="1E1E1E" w:themeColor="background2"/>
                <w:sz w:val="21"/>
                <w:szCs w:val="21"/>
                <w:lang w:val="en-GB"/>
              </w:rPr>
            </w:pPr>
            <w:r w:rsidRPr="00AF43A2">
              <w:rPr>
                <w:rFonts w:eastAsia="Calibri" w:cs="Arial"/>
                <w:b/>
                <w:color w:val="1E1E1E" w:themeColor="background2"/>
                <w:sz w:val="21"/>
                <w:szCs w:val="21"/>
                <w:lang w:val="en-GB"/>
              </w:rPr>
              <w:t xml:space="preserve">3) </w:t>
            </w:r>
            <w:r w:rsidR="00F22DCB" w:rsidRPr="00AF43A2">
              <w:rPr>
                <w:rFonts w:eastAsia="Calibri" w:cs="Arial"/>
                <w:b/>
                <w:color w:val="1E1E1E" w:themeColor="background2"/>
                <w:sz w:val="21"/>
                <w:szCs w:val="21"/>
                <w:u w:val="single"/>
                <w:lang w:val="en-GB"/>
              </w:rPr>
              <w:t>Sustainability challenges related to Health and Community s</w:t>
            </w:r>
            <w:r w:rsidRPr="00AF43A2">
              <w:rPr>
                <w:rFonts w:eastAsia="Calibri" w:cs="Arial"/>
                <w:b/>
                <w:color w:val="1E1E1E" w:themeColor="background2"/>
                <w:sz w:val="21"/>
                <w:szCs w:val="21"/>
                <w:u w:val="single"/>
                <w:lang w:val="en-GB"/>
              </w:rPr>
              <w:t>ystems</w:t>
            </w:r>
            <w:r w:rsidR="00F22DCB" w:rsidRPr="00AF43A2">
              <w:rPr>
                <w:rFonts w:eastAsia="Calibri" w:cs="Arial"/>
                <w:color w:val="1E1E1E" w:themeColor="background2"/>
                <w:sz w:val="21"/>
                <w:szCs w:val="21"/>
                <w:lang w:val="en-GB"/>
              </w:rPr>
              <w:t xml:space="preserve"> –</w:t>
            </w:r>
            <w:r w:rsidRPr="00AF43A2">
              <w:rPr>
                <w:rFonts w:eastAsia="Calibri" w:cs="Arial"/>
                <w:color w:val="1E1E1E" w:themeColor="background2"/>
                <w:sz w:val="21"/>
                <w:szCs w:val="21"/>
                <w:lang w:val="en-GB"/>
              </w:rPr>
              <w:t xml:space="preserve"> relate to community and health systems. As mentioned, government investments in the health system are expected to increase in the coming years. The introduction of the Compulsory Social Health Insurance (CSHI) system will strengthen people’s access to free health care. However, (self) stigma and discrimination in the health system limit access for PLHIV and KPs. Similarly, inadequate allocation of funds to HIV prevention services for KPs hamper their access to a range of services.</w:t>
            </w:r>
          </w:p>
          <w:p w14:paraId="3D3E3D82" w14:textId="77777777" w:rsidR="009A2B0A" w:rsidRPr="00AF43A2" w:rsidRDefault="009A2B0A" w:rsidP="000A0528">
            <w:pPr>
              <w:spacing w:after="0" w:line="240" w:lineRule="auto"/>
              <w:ind w:firstLine="284"/>
              <w:jc w:val="both"/>
              <w:rPr>
                <w:rFonts w:eastAsia="Calibri" w:cs="Arial"/>
                <w:color w:val="1E1E1E" w:themeColor="background2"/>
                <w:sz w:val="21"/>
                <w:szCs w:val="21"/>
                <w:lang w:val="en-GB"/>
              </w:rPr>
            </w:pPr>
            <w:r w:rsidRPr="00AF43A2">
              <w:rPr>
                <w:rFonts w:eastAsia="Calibri" w:cs="Arial"/>
                <w:color w:val="1E1E1E" w:themeColor="background2"/>
                <w:sz w:val="21"/>
                <w:szCs w:val="21"/>
                <w:lang w:val="en-GB"/>
              </w:rPr>
              <w:t xml:space="preserve">Challenges also exist in </w:t>
            </w:r>
            <w:r w:rsidRPr="00AF43A2">
              <w:rPr>
                <w:rFonts w:eastAsia="Calibri" w:cs="Arial"/>
                <w:b/>
                <w:i/>
                <w:color w:val="1E1E1E" w:themeColor="background2"/>
                <w:sz w:val="21"/>
                <w:szCs w:val="21"/>
                <w:lang w:val="en-GB"/>
              </w:rPr>
              <w:t>community systems</w:t>
            </w:r>
            <w:r w:rsidRPr="00AF43A2">
              <w:rPr>
                <w:rFonts w:eastAsia="Calibri" w:cs="Arial"/>
                <w:color w:val="1E1E1E" w:themeColor="background2"/>
                <w:sz w:val="21"/>
                <w:szCs w:val="21"/>
                <w:lang w:val="en-GB"/>
              </w:rPr>
              <w:t xml:space="preserve">: despite existing collaboration between state institutions and NGOs in HIV service delivery and state funding for NGOs (see above), many civil society organisations have </w:t>
            </w:r>
            <w:r w:rsidRPr="00AF43A2">
              <w:rPr>
                <w:rFonts w:eastAsia="Calibri" w:cs="Arial"/>
                <w:color w:val="1E1E1E" w:themeColor="background2"/>
                <w:sz w:val="21"/>
                <w:szCs w:val="21"/>
                <w:lang w:val="en-GB"/>
              </w:rPr>
              <w:lastRenderedPageBreak/>
              <w:t xml:space="preserve">weak organisational capacity to access government funding. This is evidenced by poor linkages and partnerships with government institutions; unreliable funding and over-dependency on external donors; weak financial, human resource and M&amp;E systems; and lack of strategic planning.  </w:t>
            </w:r>
          </w:p>
          <w:p w14:paraId="0CF72B02" w14:textId="77777777" w:rsidR="005E6229" w:rsidRPr="00AF43A2" w:rsidRDefault="009A2B0A" w:rsidP="000A0528">
            <w:pPr>
              <w:spacing w:after="0" w:line="240" w:lineRule="auto"/>
              <w:ind w:firstLine="284"/>
              <w:jc w:val="both"/>
              <w:rPr>
                <w:rFonts w:eastAsia="Calibri" w:cs="Arial"/>
                <w:color w:val="1E1E1E" w:themeColor="background2"/>
                <w:sz w:val="8"/>
                <w:szCs w:val="8"/>
                <w:lang w:val="en-GB"/>
              </w:rPr>
            </w:pPr>
            <w:r w:rsidRPr="00AF43A2">
              <w:rPr>
                <w:rFonts w:eastAsia="Calibri" w:cs="Arial"/>
                <w:b/>
                <w:i/>
                <w:color w:val="1E1E1E" w:themeColor="background2"/>
                <w:sz w:val="21"/>
                <w:szCs w:val="21"/>
                <w:lang w:val="en-GB"/>
              </w:rPr>
              <w:t>Key actions to strengthen systems-related sustainability</w:t>
            </w:r>
            <w:r w:rsidRPr="00AF43A2">
              <w:rPr>
                <w:rFonts w:eastAsia="Calibri" w:cs="Arial"/>
                <w:color w:val="1E1E1E" w:themeColor="background2"/>
                <w:sz w:val="21"/>
                <w:szCs w:val="21"/>
                <w:lang w:val="en-GB"/>
              </w:rPr>
              <w:t xml:space="preserve"> – The grant will support </w:t>
            </w:r>
            <w:r w:rsidRPr="00AF43A2">
              <w:rPr>
                <w:rFonts w:eastAsia="Calibri" w:cs="Arial"/>
                <w:i/>
                <w:color w:val="1E1E1E" w:themeColor="background2"/>
                <w:sz w:val="21"/>
                <w:szCs w:val="21"/>
                <w:lang w:val="en-GB"/>
              </w:rPr>
              <w:t>community systems</w:t>
            </w:r>
            <w:r w:rsidRPr="00AF43A2">
              <w:rPr>
                <w:rFonts w:eastAsia="Calibri" w:cs="Arial"/>
                <w:color w:val="1E1E1E" w:themeColor="background2"/>
                <w:sz w:val="21"/>
                <w:szCs w:val="21"/>
                <w:lang w:val="en-GB"/>
              </w:rPr>
              <w:t xml:space="preserve"> by: i) strengthening the institutional capacity of NGO service providers; ii) strengthening partnerships, referral linkages and coordination between NGOs and State institutions working in the HIV field. The grant will also help strengthen specific gaps in the </w:t>
            </w:r>
            <w:r w:rsidRPr="00AF43A2">
              <w:rPr>
                <w:rFonts w:eastAsia="Calibri" w:cs="Arial"/>
                <w:i/>
                <w:color w:val="1E1E1E" w:themeColor="background2"/>
                <w:sz w:val="21"/>
                <w:szCs w:val="21"/>
                <w:lang w:val="en-GB"/>
              </w:rPr>
              <w:t>health system</w:t>
            </w:r>
            <w:r w:rsidRPr="00AF43A2">
              <w:rPr>
                <w:rFonts w:eastAsia="Calibri" w:cs="Arial"/>
                <w:color w:val="1E1E1E" w:themeColor="background2"/>
                <w:sz w:val="21"/>
                <w:szCs w:val="21"/>
                <w:lang w:val="en-GB"/>
              </w:rPr>
              <w:t xml:space="preserve"> that affect HIV service delivery. This includes: iii) digitalisation of information systems for HIV prevention services; iv) addressing HIV-related stigma and discrimination by health-care workers; as well as: iv) filling critical short-term gaps in laboratory systems for HIV and TB.</w:t>
            </w:r>
          </w:p>
          <w:p w14:paraId="4F67F4D7" w14:textId="1295840A" w:rsidR="00644CB7" w:rsidRPr="00F4260B" w:rsidRDefault="00644CB7" w:rsidP="000A0528">
            <w:pPr>
              <w:spacing w:after="0" w:line="240" w:lineRule="auto"/>
              <w:jc w:val="both"/>
              <w:rPr>
                <w:rFonts w:eastAsia="Calibri" w:cs="Arial"/>
                <w:color w:val="404040" w:themeColor="text1"/>
                <w:sz w:val="8"/>
                <w:szCs w:val="8"/>
                <w:lang w:val="en-GB"/>
              </w:rPr>
            </w:pPr>
          </w:p>
        </w:tc>
      </w:tr>
    </w:tbl>
    <w:p w14:paraId="191ED7DA" w14:textId="77777777" w:rsidR="005E6229" w:rsidRPr="00AF43A2" w:rsidRDefault="005E6229" w:rsidP="000A0528">
      <w:pPr>
        <w:pStyle w:val="affff3"/>
        <w:spacing w:after="0" w:line="240" w:lineRule="auto"/>
        <w:ind w:left="360"/>
        <w:rPr>
          <w:rFonts w:asciiTheme="minorHAnsi" w:hAnsiTheme="minorHAnsi" w:cstheme="minorHAnsi"/>
        </w:rPr>
      </w:pPr>
    </w:p>
    <w:p w14:paraId="6228BDE3" w14:textId="14BC6B03" w:rsidR="00485066" w:rsidRPr="00AF43A2" w:rsidRDefault="00D2174E" w:rsidP="000A0528">
      <w:pPr>
        <w:pStyle w:val="affff3"/>
        <w:numPr>
          <w:ilvl w:val="0"/>
          <w:numId w:val="22"/>
        </w:numPr>
        <w:spacing w:after="0" w:line="240" w:lineRule="auto"/>
        <w:jc w:val="both"/>
        <w:rPr>
          <w:rFonts w:asciiTheme="minorHAnsi" w:hAnsiTheme="minorHAnsi" w:cstheme="minorHAnsi"/>
        </w:rPr>
      </w:pPr>
      <w:r w:rsidRPr="00AF43A2">
        <w:rPr>
          <w:rFonts w:asciiTheme="minorHAnsi" w:hAnsiTheme="minorHAnsi" w:cstheme="minorHAnsi"/>
        </w:rPr>
        <w:t>If you have developed and impl</w:t>
      </w:r>
      <w:r w:rsidR="006931FE" w:rsidRPr="00AF43A2">
        <w:rPr>
          <w:rFonts w:asciiTheme="minorHAnsi" w:hAnsiTheme="minorHAnsi" w:cstheme="minorHAnsi"/>
        </w:rPr>
        <w:t>emented a t</w:t>
      </w:r>
      <w:r w:rsidRPr="00AF43A2">
        <w:rPr>
          <w:rFonts w:asciiTheme="minorHAnsi" w:hAnsiTheme="minorHAnsi" w:cstheme="minorHAnsi"/>
        </w:rPr>
        <w:t xml:space="preserve">ransition </w:t>
      </w:r>
      <w:r w:rsidR="006931FE" w:rsidRPr="00AF43A2">
        <w:rPr>
          <w:rFonts w:asciiTheme="minorHAnsi" w:hAnsiTheme="minorHAnsi" w:cstheme="minorHAnsi"/>
        </w:rPr>
        <w:t>w</w:t>
      </w:r>
      <w:r w:rsidRPr="00AF43A2">
        <w:rPr>
          <w:rFonts w:asciiTheme="minorHAnsi" w:hAnsiTheme="minorHAnsi" w:cstheme="minorHAnsi"/>
        </w:rPr>
        <w:t xml:space="preserve">orkplan in the </w:t>
      </w:r>
      <w:r w:rsidR="00263E19" w:rsidRPr="00AF43A2">
        <w:rPr>
          <w:rFonts w:asciiTheme="minorHAnsi" w:hAnsiTheme="minorHAnsi" w:cstheme="minorHAnsi"/>
        </w:rPr>
        <w:t>current</w:t>
      </w:r>
      <w:r w:rsidRPr="00AF43A2">
        <w:rPr>
          <w:rFonts w:asciiTheme="minorHAnsi" w:hAnsiTheme="minorHAnsi" w:cstheme="minorHAnsi"/>
        </w:rPr>
        <w:t xml:space="preserve"> </w:t>
      </w:r>
      <w:r w:rsidR="00AE7A47" w:rsidRPr="00AF43A2">
        <w:rPr>
          <w:rFonts w:asciiTheme="minorHAnsi" w:hAnsiTheme="minorHAnsi" w:cstheme="minorHAnsi"/>
        </w:rPr>
        <w:t xml:space="preserve">allocation </w:t>
      </w:r>
      <w:r w:rsidRPr="00AF43A2">
        <w:rPr>
          <w:rFonts w:asciiTheme="minorHAnsi" w:hAnsiTheme="minorHAnsi" w:cstheme="minorHAnsi"/>
        </w:rPr>
        <w:t>cycle, provide a status</w:t>
      </w:r>
      <w:r w:rsidRPr="00AF43A2">
        <w:rPr>
          <w:rFonts w:asciiTheme="minorHAnsi" w:hAnsiTheme="minorHAnsi" w:cstheme="minorHAnsi"/>
          <w:b/>
        </w:rPr>
        <w:t xml:space="preserve"> update</w:t>
      </w:r>
      <w:r w:rsidRPr="00AF43A2">
        <w:rPr>
          <w:rFonts w:asciiTheme="minorHAnsi" w:hAnsiTheme="minorHAnsi" w:cstheme="minorHAnsi"/>
        </w:rPr>
        <w:t xml:space="preserve"> as to what </w:t>
      </w:r>
      <w:r w:rsidR="00AE7A47" w:rsidRPr="00AF43A2">
        <w:rPr>
          <w:rFonts w:asciiTheme="minorHAnsi" w:hAnsiTheme="minorHAnsi" w:cstheme="minorHAnsi"/>
        </w:rPr>
        <w:t>has been</w:t>
      </w:r>
      <w:r w:rsidRPr="00AF43A2">
        <w:rPr>
          <w:rFonts w:asciiTheme="minorHAnsi" w:hAnsiTheme="minorHAnsi" w:cstheme="minorHAnsi"/>
        </w:rPr>
        <w:t xml:space="preserve"> achieved.</w:t>
      </w:r>
    </w:p>
    <w:p w14:paraId="0DFEC9C8" w14:textId="77777777" w:rsidR="00485066" w:rsidRPr="00AF43A2" w:rsidRDefault="00485066" w:rsidP="000A0528">
      <w:pPr>
        <w:pStyle w:val="affff3"/>
        <w:spacing w:after="0" w:line="240" w:lineRule="auto"/>
        <w:ind w:left="0"/>
        <w:jc w:val="both"/>
        <w:rPr>
          <w:rFonts w:asciiTheme="minorHAnsi" w:hAnsiTheme="minorHAnsi" w:cstheme="minorHAnsi"/>
          <w:bCs/>
          <w:iCs/>
        </w:rPr>
      </w:pPr>
    </w:p>
    <w:tbl>
      <w:tblPr>
        <w:tblStyle w:val="aa"/>
        <w:tblW w:w="0" w:type="auto"/>
        <w:tblLook w:val="04A0" w:firstRow="1" w:lastRow="0" w:firstColumn="1" w:lastColumn="0" w:noHBand="0" w:noVBand="1"/>
      </w:tblPr>
      <w:tblGrid>
        <w:gridCol w:w="10456"/>
      </w:tblGrid>
      <w:tr w:rsidR="00485066" w:rsidRPr="00AF43A2" w14:paraId="6B5C2BAD" w14:textId="77777777" w:rsidTr="005279BC">
        <w:tc>
          <w:tcPr>
            <w:tcW w:w="10790" w:type="dxa"/>
          </w:tcPr>
          <w:p w14:paraId="4AD48530" w14:textId="77777777" w:rsidR="00F4260B" w:rsidRPr="00F4260B" w:rsidRDefault="00F4260B" w:rsidP="000A0528">
            <w:pPr>
              <w:spacing w:after="0" w:line="240" w:lineRule="auto"/>
              <w:jc w:val="both"/>
              <w:rPr>
                <w:rFonts w:asciiTheme="minorHAnsi" w:hAnsiTheme="minorHAnsi" w:cstheme="minorHAnsi"/>
                <w:color w:val="1E1E1E" w:themeColor="background2"/>
                <w:sz w:val="8"/>
                <w:szCs w:val="8"/>
              </w:rPr>
            </w:pPr>
          </w:p>
          <w:p w14:paraId="0A13419C" w14:textId="6E9F3C75" w:rsidR="00090FBB" w:rsidRPr="00AF43A2" w:rsidRDefault="00090FBB" w:rsidP="000A0528">
            <w:pPr>
              <w:spacing w:after="0" w:line="240" w:lineRule="auto"/>
              <w:jc w:val="both"/>
              <w:rPr>
                <w:rFonts w:asciiTheme="minorHAnsi" w:hAnsiTheme="minorHAnsi" w:cstheme="minorHAnsi"/>
                <w:color w:val="1E1E1E" w:themeColor="background2"/>
                <w:sz w:val="21"/>
              </w:rPr>
            </w:pPr>
            <w:r w:rsidRPr="00AF43A2">
              <w:rPr>
                <w:rFonts w:asciiTheme="minorHAnsi" w:hAnsiTheme="minorHAnsi" w:cstheme="minorHAnsi"/>
                <w:color w:val="1E1E1E" w:themeColor="background2"/>
                <w:sz w:val="21"/>
              </w:rPr>
              <w:t xml:space="preserve">A formal Transition Plan has not been developed yet, but in December 2019 an </w:t>
            </w:r>
            <w:r w:rsidRPr="00AF43A2">
              <w:rPr>
                <w:rFonts w:asciiTheme="minorHAnsi" w:hAnsiTheme="minorHAnsi" w:cstheme="minorHAnsi"/>
                <w:i/>
                <w:color w:val="1E1E1E" w:themeColor="background2"/>
                <w:sz w:val="21"/>
              </w:rPr>
              <w:t xml:space="preserve">“Assessment of the readiness of Kazakhstan for the transition to social contracting to ensure the sustainability of HIV-related services” </w:t>
            </w:r>
            <w:r w:rsidR="00AC2B5D">
              <w:rPr>
                <w:rFonts w:asciiTheme="minorHAnsi" w:hAnsiTheme="minorHAnsi" w:cstheme="minorHAnsi"/>
                <w:i/>
                <w:color w:val="1E1E1E" w:themeColor="background2"/>
                <w:sz w:val="21"/>
              </w:rPr>
              <w:t xml:space="preserve">(see </w:t>
            </w:r>
            <w:r w:rsidR="00502DC9" w:rsidRPr="0004163B">
              <w:rPr>
                <w:rFonts w:asciiTheme="minorHAnsi" w:hAnsiTheme="minorHAnsi" w:cstheme="minorHAnsi"/>
                <w:bCs/>
                <w:i/>
                <w:iCs/>
                <w:color w:val="1E1E1E" w:themeColor="background2"/>
                <w:sz w:val="21"/>
              </w:rPr>
              <w:t>“Assessment of Readiness of the Republic of Kazakhstan to Ensure the Sustainability of HIV-related Services with Funding from the State Budget</w:t>
            </w:r>
            <w:r w:rsidR="00AC2B5D" w:rsidRPr="0004163B">
              <w:rPr>
                <w:rFonts w:asciiTheme="minorHAnsi" w:hAnsiTheme="minorHAnsi" w:cstheme="minorHAnsi"/>
                <w:i/>
                <w:color w:val="1E1E1E" w:themeColor="background2"/>
                <w:sz w:val="21"/>
              </w:rPr>
              <w:t>)</w:t>
            </w:r>
            <w:r w:rsidR="00AC2B5D">
              <w:rPr>
                <w:rFonts w:asciiTheme="minorHAnsi" w:hAnsiTheme="minorHAnsi" w:cstheme="minorHAnsi"/>
                <w:i/>
                <w:color w:val="1E1E1E" w:themeColor="background2"/>
                <w:sz w:val="21"/>
              </w:rPr>
              <w:t xml:space="preserve"> </w:t>
            </w:r>
            <w:r w:rsidRPr="00AF43A2">
              <w:rPr>
                <w:rFonts w:asciiTheme="minorHAnsi" w:hAnsiTheme="minorHAnsi" w:cstheme="minorHAnsi"/>
                <w:color w:val="1E1E1E" w:themeColor="background2"/>
                <w:sz w:val="21"/>
              </w:rPr>
              <w:t xml:space="preserve">was conducted. </w:t>
            </w:r>
            <w:r w:rsidR="00347731" w:rsidRPr="00AF43A2">
              <w:rPr>
                <w:rFonts w:asciiTheme="minorHAnsi" w:hAnsiTheme="minorHAnsi" w:cstheme="minorHAnsi"/>
                <w:color w:val="1E1E1E" w:themeColor="background2"/>
                <w:sz w:val="21"/>
              </w:rPr>
              <w:t xml:space="preserve">A Road map is being developed. </w:t>
            </w:r>
            <w:r w:rsidRPr="00AF43A2">
              <w:rPr>
                <w:rFonts w:asciiTheme="minorHAnsi" w:hAnsiTheme="minorHAnsi" w:cstheme="minorHAnsi"/>
                <w:color w:val="1E1E1E" w:themeColor="background2"/>
                <w:sz w:val="21"/>
              </w:rPr>
              <w:t>Since 2018, a separate programme has been in place to achieve future sustainability of HIV services</w:t>
            </w:r>
            <w:r w:rsidR="00347731" w:rsidRPr="00AF43A2">
              <w:rPr>
                <w:rFonts w:asciiTheme="minorHAnsi" w:hAnsiTheme="minorHAnsi" w:cstheme="minorHAnsi"/>
                <w:color w:val="1E1E1E" w:themeColor="background2"/>
                <w:sz w:val="21"/>
              </w:rPr>
              <w:t xml:space="preserve">. </w:t>
            </w:r>
            <w:r w:rsidRPr="00AF43A2">
              <w:rPr>
                <w:rFonts w:asciiTheme="minorHAnsi" w:hAnsiTheme="minorHAnsi" w:cstheme="minorHAnsi"/>
                <w:color w:val="1E1E1E" w:themeColor="background2"/>
                <w:sz w:val="21"/>
              </w:rPr>
              <w:t>The</w:t>
            </w:r>
            <w:r w:rsidR="00084391" w:rsidRPr="00AF43A2">
              <w:rPr>
                <w:rFonts w:asciiTheme="minorHAnsi" w:hAnsiTheme="minorHAnsi" w:cstheme="minorHAnsi"/>
                <w:color w:val="1E1E1E" w:themeColor="background2"/>
                <w:sz w:val="21"/>
              </w:rPr>
              <w:t xml:space="preserve"> assessment found no structural barriers to an effective transition to national financing and sustainability of HIV services. </w:t>
            </w:r>
          </w:p>
          <w:p w14:paraId="500988E0" w14:textId="77777777" w:rsidR="00485066" w:rsidRPr="00AF43A2" w:rsidRDefault="00485066" w:rsidP="000A0528">
            <w:pPr>
              <w:spacing w:after="0" w:line="240" w:lineRule="auto"/>
              <w:rPr>
                <w:rFonts w:asciiTheme="minorHAnsi" w:hAnsiTheme="minorHAnsi" w:cstheme="minorHAnsi"/>
                <w:sz w:val="8"/>
                <w:szCs w:val="8"/>
              </w:rPr>
            </w:pPr>
          </w:p>
        </w:tc>
      </w:tr>
    </w:tbl>
    <w:p w14:paraId="4A0472B9" w14:textId="77777777" w:rsidR="00485066" w:rsidRPr="00AF43A2" w:rsidRDefault="00485066" w:rsidP="000A0528">
      <w:pPr>
        <w:pStyle w:val="affff3"/>
        <w:spacing w:after="0" w:line="240" w:lineRule="auto"/>
        <w:ind w:left="360"/>
        <w:rPr>
          <w:rFonts w:asciiTheme="minorHAnsi" w:hAnsiTheme="minorHAnsi" w:cstheme="minorHAnsi"/>
        </w:rPr>
      </w:pPr>
    </w:p>
    <w:p w14:paraId="27B20C2F" w14:textId="77777777" w:rsidR="00485066" w:rsidRPr="00AF43A2" w:rsidRDefault="00485066" w:rsidP="000A0528">
      <w:pPr>
        <w:pStyle w:val="affff3"/>
        <w:spacing w:after="0" w:line="240" w:lineRule="auto"/>
        <w:ind w:left="0"/>
        <w:jc w:val="both"/>
        <w:rPr>
          <w:rFonts w:asciiTheme="minorHAnsi" w:hAnsiTheme="minorHAnsi" w:cstheme="minorHAnsi"/>
          <w:bCs/>
          <w:iCs/>
        </w:rPr>
      </w:pPr>
    </w:p>
    <w:p w14:paraId="748A2CE8" w14:textId="77777777" w:rsidR="00485066" w:rsidRPr="00AF43A2" w:rsidRDefault="00485066" w:rsidP="000A0528">
      <w:pPr>
        <w:pStyle w:val="affff3"/>
        <w:spacing w:after="0" w:line="240" w:lineRule="auto"/>
        <w:jc w:val="both"/>
        <w:rPr>
          <w:rFonts w:asciiTheme="minorHAnsi" w:hAnsiTheme="minorHAnsi" w:cstheme="minorHAnsi"/>
          <w:bCs/>
          <w:iCs/>
        </w:rPr>
      </w:pPr>
    </w:p>
    <w:p w14:paraId="73E9A535" w14:textId="77777777" w:rsidR="00485066" w:rsidRPr="00AF43A2" w:rsidRDefault="00485066" w:rsidP="000A0528">
      <w:pPr>
        <w:spacing w:after="0" w:line="240" w:lineRule="auto"/>
        <w:rPr>
          <w:rFonts w:asciiTheme="minorHAnsi" w:hAnsiTheme="minorHAnsi" w:cstheme="minorHAnsi"/>
          <w:bCs/>
          <w:iCs/>
        </w:rPr>
      </w:pPr>
      <w:r w:rsidRPr="00AF43A2">
        <w:rPr>
          <w:rFonts w:asciiTheme="minorHAnsi" w:hAnsiTheme="minorHAnsi" w:cstheme="minorHAnsi"/>
          <w:bCs/>
          <w:iCs/>
        </w:rPr>
        <w:br w:type="page"/>
      </w:r>
    </w:p>
    <w:p w14:paraId="05E80D74" w14:textId="3B69D4AF" w:rsidR="004619FD" w:rsidRPr="00AF43A2" w:rsidRDefault="004619FD" w:rsidP="000A0528">
      <w:pPr>
        <w:pStyle w:val="1"/>
        <w:numPr>
          <w:ilvl w:val="0"/>
          <w:numId w:val="0"/>
        </w:numPr>
        <w:pBdr>
          <w:top w:val="single" w:sz="4" w:space="0"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0" w:after="0" w:line="240" w:lineRule="auto"/>
        <w:ind w:left="567" w:hanging="567"/>
        <w:rPr>
          <w:rFonts w:asciiTheme="minorHAnsi" w:hAnsiTheme="minorHAnsi" w:cstheme="minorHAnsi"/>
          <w:b/>
          <w:lang w:val="fr-CH"/>
        </w:rPr>
      </w:pPr>
      <w:r w:rsidRPr="00AF43A2">
        <w:rPr>
          <w:rFonts w:asciiTheme="minorHAnsi" w:hAnsiTheme="minorHAnsi" w:cstheme="minorHAnsi"/>
          <w:b/>
          <w:lang w:val="fr-CH"/>
        </w:rPr>
        <w:lastRenderedPageBreak/>
        <w:t xml:space="preserve">Annex </w:t>
      </w:r>
      <w:r w:rsidR="00930929" w:rsidRPr="00AF43A2">
        <w:rPr>
          <w:rFonts w:asciiTheme="minorHAnsi" w:hAnsiTheme="minorHAnsi" w:cstheme="minorHAnsi"/>
          <w:b/>
          <w:lang w:val="fr-CH"/>
        </w:rPr>
        <w:t>1</w:t>
      </w:r>
      <w:r w:rsidRPr="00AF43A2">
        <w:rPr>
          <w:rFonts w:asciiTheme="minorHAnsi" w:hAnsiTheme="minorHAnsi" w:cstheme="minorHAnsi"/>
          <w:b/>
          <w:lang w:val="fr-CH"/>
        </w:rPr>
        <w:t>: Documents Checklist</w:t>
      </w:r>
    </w:p>
    <w:p w14:paraId="3258BF2F" w14:textId="77777777" w:rsidR="004619FD" w:rsidRPr="00AF43A2" w:rsidRDefault="004619FD" w:rsidP="000A0528">
      <w:pPr>
        <w:pStyle w:val="affff3"/>
        <w:spacing w:after="0" w:line="240" w:lineRule="auto"/>
        <w:ind w:left="0"/>
        <w:rPr>
          <w:rFonts w:asciiTheme="minorHAnsi" w:hAnsiTheme="minorHAnsi" w:cstheme="minorHAnsi"/>
        </w:rPr>
      </w:pPr>
    </w:p>
    <w:p w14:paraId="1B05CBD7" w14:textId="7D8D1824" w:rsidR="0087373E" w:rsidRPr="00AF43A2" w:rsidRDefault="004619FD" w:rsidP="000A0528">
      <w:pPr>
        <w:pStyle w:val="affff3"/>
        <w:spacing w:after="0" w:line="240" w:lineRule="auto"/>
        <w:ind w:left="0"/>
        <w:rPr>
          <w:rFonts w:asciiTheme="minorHAnsi" w:hAnsiTheme="minorHAnsi" w:cstheme="minorHAnsi"/>
        </w:rPr>
      </w:pPr>
      <w:r w:rsidRPr="00AF43A2">
        <w:rPr>
          <w:rFonts w:asciiTheme="minorHAnsi" w:hAnsiTheme="minorHAnsi" w:cstheme="minorHAnsi"/>
        </w:rPr>
        <w:t>Use the list below to verify the completeness of your application package:</w:t>
      </w:r>
    </w:p>
    <w:tbl>
      <w:tblPr>
        <w:tblStyle w:val="TableGrid2"/>
        <w:tblpPr w:leftFromText="180" w:rightFromText="180" w:vertAnchor="text" w:tblpY="1"/>
        <w:tblOverlap w:val="never"/>
        <w:tblW w:w="102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7"/>
        <w:gridCol w:w="9688"/>
      </w:tblGrid>
      <w:tr w:rsidR="006810B2" w:rsidRPr="00AF43A2" w14:paraId="2A2CC4CD" w14:textId="77777777" w:rsidTr="006810B2">
        <w:trPr>
          <w:trHeight w:val="567"/>
        </w:trPr>
        <w:tc>
          <w:tcPr>
            <w:tcW w:w="567" w:type="dxa"/>
            <w:shd w:val="clear" w:color="auto" w:fill="auto"/>
            <w:vAlign w:val="center"/>
          </w:tcPr>
          <w:p w14:paraId="14EF1921" w14:textId="75FC8396" w:rsidR="006810B2"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180662496"/>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vAlign w:val="center"/>
          </w:tcPr>
          <w:p w14:paraId="33A3B392" w14:textId="77777777" w:rsidR="006810B2" w:rsidRPr="00AF43A2" w:rsidRDefault="006810B2" w:rsidP="000A0528">
            <w:pPr>
              <w:spacing w:after="0" w:line="240" w:lineRule="auto"/>
              <w:rPr>
                <w:rFonts w:asciiTheme="minorHAnsi" w:hAnsiTheme="minorHAnsi" w:cstheme="minorHAnsi"/>
                <w:sz w:val="22"/>
                <w:szCs w:val="22"/>
              </w:rPr>
            </w:pPr>
            <w:r w:rsidRPr="00AF43A2">
              <w:rPr>
                <w:rFonts w:asciiTheme="minorHAnsi" w:hAnsiTheme="minorHAnsi" w:cstheme="minorHAnsi"/>
              </w:rPr>
              <w:t>Funding Request Form</w:t>
            </w:r>
          </w:p>
        </w:tc>
      </w:tr>
      <w:tr w:rsidR="006810B2" w:rsidRPr="00AF43A2" w14:paraId="799804E6" w14:textId="77777777" w:rsidTr="00347731">
        <w:trPr>
          <w:trHeight w:val="567"/>
        </w:trPr>
        <w:tc>
          <w:tcPr>
            <w:tcW w:w="567" w:type="dxa"/>
            <w:shd w:val="clear" w:color="auto" w:fill="auto"/>
            <w:vAlign w:val="center"/>
          </w:tcPr>
          <w:p w14:paraId="1286C15F" w14:textId="06D89E25" w:rsidR="006810B2"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797372883"/>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shd w:val="clear" w:color="auto" w:fill="auto"/>
            <w:vAlign w:val="center"/>
          </w:tcPr>
          <w:p w14:paraId="56B50545" w14:textId="77777777" w:rsidR="006810B2" w:rsidRPr="00AF43A2" w:rsidRDefault="006810B2" w:rsidP="000A0528">
            <w:pPr>
              <w:spacing w:after="0" w:line="240" w:lineRule="auto"/>
              <w:rPr>
                <w:rFonts w:asciiTheme="minorHAnsi" w:hAnsiTheme="minorHAnsi" w:cstheme="minorHAnsi"/>
                <w:b/>
                <w:sz w:val="22"/>
                <w:szCs w:val="22"/>
              </w:rPr>
            </w:pPr>
            <w:r w:rsidRPr="00AF43A2">
              <w:rPr>
                <w:rFonts w:asciiTheme="minorHAnsi" w:hAnsiTheme="minorHAnsi" w:cstheme="minorHAnsi"/>
                <w:lang w:eastAsia="zh-CN"/>
              </w:rPr>
              <w:t>Programmatic Gap Table(s)</w:t>
            </w:r>
          </w:p>
        </w:tc>
      </w:tr>
      <w:tr w:rsidR="006810B2" w:rsidRPr="00AF43A2" w14:paraId="6DCCCCFB" w14:textId="77777777" w:rsidTr="00347731">
        <w:trPr>
          <w:trHeight w:val="567"/>
        </w:trPr>
        <w:tc>
          <w:tcPr>
            <w:tcW w:w="567" w:type="dxa"/>
            <w:shd w:val="clear" w:color="auto" w:fill="auto"/>
            <w:vAlign w:val="center"/>
          </w:tcPr>
          <w:p w14:paraId="5800EDC7" w14:textId="56D544FD" w:rsidR="006810B2"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254638760"/>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shd w:val="clear" w:color="auto" w:fill="auto"/>
            <w:vAlign w:val="center"/>
          </w:tcPr>
          <w:p w14:paraId="36AEDFCF" w14:textId="77777777" w:rsidR="006810B2" w:rsidRPr="00AF43A2" w:rsidRDefault="006810B2" w:rsidP="000A0528">
            <w:pPr>
              <w:spacing w:after="0" w:line="240" w:lineRule="auto"/>
              <w:rPr>
                <w:rFonts w:asciiTheme="minorHAnsi" w:hAnsiTheme="minorHAnsi" w:cstheme="minorHAnsi"/>
                <w:b/>
                <w:sz w:val="22"/>
                <w:szCs w:val="22"/>
              </w:rPr>
            </w:pPr>
            <w:r w:rsidRPr="00AF43A2">
              <w:rPr>
                <w:rFonts w:asciiTheme="minorHAnsi" w:hAnsiTheme="minorHAnsi" w:cstheme="minorHAnsi"/>
              </w:rPr>
              <w:t>Funding Landscape Table(s)</w:t>
            </w:r>
          </w:p>
        </w:tc>
      </w:tr>
      <w:tr w:rsidR="006810B2" w:rsidRPr="00AF43A2" w14:paraId="33424CB1" w14:textId="77777777" w:rsidTr="00347731">
        <w:trPr>
          <w:trHeight w:val="567"/>
        </w:trPr>
        <w:tc>
          <w:tcPr>
            <w:tcW w:w="567" w:type="dxa"/>
            <w:shd w:val="clear" w:color="auto" w:fill="auto"/>
            <w:vAlign w:val="center"/>
          </w:tcPr>
          <w:p w14:paraId="64E0AFA5" w14:textId="623E51E7" w:rsidR="006810B2"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189352396"/>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shd w:val="clear" w:color="auto" w:fill="auto"/>
            <w:vAlign w:val="center"/>
          </w:tcPr>
          <w:p w14:paraId="1ABF2D87" w14:textId="77777777" w:rsidR="006810B2" w:rsidRPr="00AF43A2" w:rsidRDefault="006810B2" w:rsidP="000A0528">
            <w:pPr>
              <w:spacing w:after="0" w:line="240" w:lineRule="auto"/>
              <w:rPr>
                <w:rFonts w:asciiTheme="minorHAnsi" w:hAnsiTheme="minorHAnsi" w:cstheme="minorHAnsi"/>
                <w:b/>
                <w:sz w:val="22"/>
                <w:szCs w:val="22"/>
              </w:rPr>
            </w:pPr>
            <w:r w:rsidRPr="00AF43A2">
              <w:rPr>
                <w:rFonts w:asciiTheme="minorHAnsi" w:hAnsiTheme="minorHAnsi" w:cstheme="minorHAnsi"/>
              </w:rPr>
              <w:t>Performance Framework</w:t>
            </w:r>
          </w:p>
        </w:tc>
      </w:tr>
      <w:tr w:rsidR="006810B2" w:rsidRPr="00AF43A2" w14:paraId="30892731" w14:textId="77777777" w:rsidTr="00347731">
        <w:trPr>
          <w:trHeight w:val="567"/>
        </w:trPr>
        <w:tc>
          <w:tcPr>
            <w:tcW w:w="567" w:type="dxa"/>
            <w:shd w:val="clear" w:color="auto" w:fill="auto"/>
            <w:vAlign w:val="center"/>
          </w:tcPr>
          <w:p w14:paraId="1184E211" w14:textId="1E02D32A" w:rsidR="006810B2"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595447511"/>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shd w:val="clear" w:color="auto" w:fill="auto"/>
            <w:vAlign w:val="center"/>
          </w:tcPr>
          <w:p w14:paraId="31E16FC2" w14:textId="77777777" w:rsidR="006810B2" w:rsidRPr="00AF43A2" w:rsidRDefault="006810B2" w:rsidP="000A0528">
            <w:pPr>
              <w:spacing w:after="0" w:line="240" w:lineRule="auto"/>
              <w:rPr>
                <w:rFonts w:asciiTheme="minorHAnsi" w:hAnsiTheme="minorHAnsi" w:cstheme="minorHAnsi"/>
                <w:sz w:val="22"/>
                <w:szCs w:val="22"/>
              </w:rPr>
            </w:pPr>
            <w:r w:rsidRPr="00AF43A2">
              <w:rPr>
                <w:rFonts w:asciiTheme="minorHAnsi" w:hAnsiTheme="minorHAnsi" w:cstheme="minorHAnsi"/>
              </w:rPr>
              <w:t>Budget</w:t>
            </w:r>
          </w:p>
        </w:tc>
      </w:tr>
      <w:tr w:rsidR="006810B2" w:rsidRPr="00AF43A2" w14:paraId="5818DEE4" w14:textId="77777777" w:rsidTr="00347731">
        <w:trPr>
          <w:trHeight w:val="567"/>
        </w:trPr>
        <w:tc>
          <w:tcPr>
            <w:tcW w:w="567" w:type="dxa"/>
            <w:shd w:val="clear" w:color="auto" w:fill="auto"/>
            <w:vAlign w:val="center"/>
          </w:tcPr>
          <w:p w14:paraId="18B141BE" w14:textId="5748DD61" w:rsidR="006810B2"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2051445561"/>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shd w:val="clear" w:color="auto" w:fill="auto"/>
            <w:vAlign w:val="center"/>
          </w:tcPr>
          <w:p w14:paraId="6333DFAD" w14:textId="1233283D" w:rsidR="006810B2" w:rsidRPr="00AF43A2" w:rsidRDefault="006810B2" w:rsidP="000A0528">
            <w:pPr>
              <w:spacing w:after="0" w:line="240" w:lineRule="auto"/>
              <w:rPr>
                <w:rFonts w:asciiTheme="minorHAnsi" w:hAnsiTheme="minorHAnsi" w:cstheme="minorHAnsi"/>
                <w:sz w:val="22"/>
                <w:szCs w:val="22"/>
              </w:rPr>
            </w:pPr>
            <w:r w:rsidRPr="00AF43A2">
              <w:rPr>
                <w:rFonts w:asciiTheme="minorHAnsi" w:hAnsiTheme="minorHAnsi" w:cstheme="minorHAnsi"/>
              </w:rPr>
              <w:t>Prioriti</w:t>
            </w:r>
            <w:r w:rsidR="00B65B8B" w:rsidRPr="00AF43A2">
              <w:rPr>
                <w:rFonts w:asciiTheme="minorHAnsi" w:hAnsiTheme="minorHAnsi" w:cstheme="minorHAnsi"/>
              </w:rPr>
              <w:t>s</w:t>
            </w:r>
            <w:r w:rsidRPr="00AF43A2">
              <w:rPr>
                <w:rFonts w:asciiTheme="minorHAnsi" w:hAnsiTheme="minorHAnsi" w:cstheme="minorHAnsi"/>
              </w:rPr>
              <w:t>ed above allocation request (PAAR)</w:t>
            </w:r>
          </w:p>
        </w:tc>
      </w:tr>
      <w:tr w:rsidR="00D33288" w:rsidRPr="00AF43A2" w14:paraId="6B993DCA" w14:textId="77777777" w:rsidTr="00347731">
        <w:trPr>
          <w:trHeight w:val="567"/>
        </w:trPr>
        <w:tc>
          <w:tcPr>
            <w:tcW w:w="567" w:type="dxa"/>
            <w:shd w:val="clear" w:color="auto" w:fill="auto"/>
            <w:vAlign w:val="center"/>
          </w:tcPr>
          <w:p w14:paraId="3C0AA115" w14:textId="19250F2E" w:rsidR="00D33288" w:rsidRPr="00AF43A2" w:rsidRDefault="00946163" w:rsidP="000A0528">
            <w:pPr>
              <w:spacing w:after="0" w:line="240" w:lineRule="auto"/>
              <w:rPr>
                <w:rFonts w:asciiTheme="minorHAnsi" w:hAnsiTheme="minorHAnsi" w:cstheme="minorHAnsi"/>
              </w:rPr>
            </w:pPr>
            <w:sdt>
              <w:sdtPr>
                <w:rPr>
                  <w:rFonts w:asciiTheme="minorHAnsi" w:hAnsiTheme="minorHAnsi" w:cstheme="minorHAnsi"/>
                </w:rPr>
                <w:id w:val="-216817733"/>
                <w14:checkbox>
                  <w14:checked w14:val="1"/>
                  <w14:checkedState w14:val="2612" w14:font="MS Gothic"/>
                  <w14:uncheckedState w14:val="2610" w14:font="MS Gothic"/>
                </w14:checkbox>
              </w:sdtPr>
              <w:sdtEndPr/>
              <w:sdtContent>
                <w:r w:rsidR="004872E2" w:rsidRPr="00AF43A2">
                  <w:rPr>
                    <w:rFonts w:ascii="MS Gothic" w:eastAsia="MS Gothic" w:hAnsi="MS Gothic" w:cstheme="minorHAnsi" w:hint="eastAsia"/>
                  </w:rPr>
                  <w:t>☒</w:t>
                </w:r>
              </w:sdtContent>
            </w:sdt>
          </w:p>
        </w:tc>
        <w:tc>
          <w:tcPr>
            <w:tcW w:w="9688" w:type="dxa"/>
            <w:shd w:val="clear" w:color="auto" w:fill="auto"/>
            <w:vAlign w:val="center"/>
          </w:tcPr>
          <w:p w14:paraId="7ED279D8" w14:textId="7B25F092" w:rsidR="00D33288" w:rsidRPr="00AF43A2" w:rsidRDefault="00D33288" w:rsidP="000A0528">
            <w:pPr>
              <w:spacing w:after="0" w:line="240" w:lineRule="auto"/>
              <w:rPr>
                <w:rFonts w:asciiTheme="minorHAnsi" w:hAnsiTheme="minorHAnsi" w:cstheme="minorHAnsi"/>
              </w:rPr>
            </w:pPr>
            <w:r w:rsidRPr="00AF43A2">
              <w:rPr>
                <w:rFonts w:asciiTheme="minorHAnsi" w:hAnsiTheme="minorHAnsi" w:cstheme="minorHAnsi"/>
              </w:rPr>
              <w:t>Implementation Arrangement Map(s)</w:t>
            </w:r>
            <w:r w:rsidRPr="00AF43A2">
              <w:rPr>
                <w:rStyle w:val="af"/>
                <w:rFonts w:asciiTheme="minorHAnsi" w:hAnsiTheme="minorHAnsi" w:cstheme="minorHAnsi"/>
              </w:rPr>
              <w:footnoteReference w:id="17"/>
            </w:r>
          </w:p>
        </w:tc>
      </w:tr>
      <w:tr w:rsidR="00D33288" w:rsidRPr="00AF43A2" w14:paraId="688610CB" w14:textId="77777777" w:rsidTr="00347731">
        <w:trPr>
          <w:trHeight w:val="567"/>
        </w:trPr>
        <w:tc>
          <w:tcPr>
            <w:tcW w:w="567" w:type="dxa"/>
            <w:shd w:val="clear" w:color="auto" w:fill="auto"/>
            <w:vAlign w:val="center"/>
          </w:tcPr>
          <w:p w14:paraId="5B608C89" w14:textId="3D46B397" w:rsidR="00D33288" w:rsidRPr="00AF43A2" w:rsidRDefault="00946163" w:rsidP="000A0528">
            <w:pPr>
              <w:spacing w:after="0" w:line="240" w:lineRule="auto"/>
              <w:rPr>
                <w:rFonts w:asciiTheme="minorHAnsi" w:hAnsiTheme="minorHAnsi" w:cstheme="minorHAnsi"/>
              </w:rPr>
            </w:pPr>
            <w:sdt>
              <w:sdtPr>
                <w:rPr>
                  <w:rFonts w:asciiTheme="minorHAnsi" w:hAnsiTheme="minorHAnsi" w:cstheme="minorHAnsi"/>
                </w:rPr>
                <w:id w:val="-1954390594"/>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shd w:val="clear" w:color="auto" w:fill="auto"/>
            <w:vAlign w:val="center"/>
          </w:tcPr>
          <w:p w14:paraId="21FC5643" w14:textId="1D4F29C4" w:rsidR="00D33288" w:rsidRPr="00AF43A2" w:rsidRDefault="00D33288" w:rsidP="000A0528">
            <w:pPr>
              <w:spacing w:after="0" w:line="240" w:lineRule="auto"/>
              <w:rPr>
                <w:rFonts w:asciiTheme="minorHAnsi" w:hAnsiTheme="minorHAnsi" w:cstheme="minorHAnsi"/>
              </w:rPr>
            </w:pPr>
            <w:r w:rsidRPr="00AF43A2">
              <w:rPr>
                <w:rFonts w:asciiTheme="minorHAnsi" w:hAnsiTheme="minorHAnsi" w:cstheme="minorHAnsi"/>
              </w:rPr>
              <w:t>Essential Data Tables (updated)</w:t>
            </w:r>
          </w:p>
        </w:tc>
      </w:tr>
      <w:tr w:rsidR="00D33288" w:rsidRPr="00AF43A2" w14:paraId="675822DB" w14:textId="77777777" w:rsidTr="00347731">
        <w:trPr>
          <w:trHeight w:val="567"/>
        </w:trPr>
        <w:tc>
          <w:tcPr>
            <w:tcW w:w="567" w:type="dxa"/>
            <w:shd w:val="clear" w:color="auto" w:fill="auto"/>
            <w:vAlign w:val="center"/>
          </w:tcPr>
          <w:p w14:paraId="065206CC" w14:textId="770A2D2E" w:rsidR="00D33288"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1718853472"/>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shd w:val="clear" w:color="auto" w:fill="auto"/>
            <w:vAlign w:val="center"/>
          </w:tcPr>
          <w:p w14:paraId="13DB83B3" w14:textId="48864ACC" w:rsidR="00D33288" w:rsidRPr="00AF43A2" w:rsidRDefault="00D33288" w:rsidP="000A0528">
            <w:pPr>
              <w:spacing w:after="0" w:line="240" w:lineRule="auto"/>
              <w:rPr>
                <w:rFonts w:asciiTheme="minorHAnsi" w:hAnsiTheme="minorHAnsi" w:cstheme="minorHAnsi"/>
                <w:sz w:val="22"/>
                <w:szCs w:val="22"/>
              </w:rPr>
            </w:pPr>
            <w:r w:rsidRPr="00AF43A2">
              <w:rPr>
                <w:rFonts w:asciiTheme="minorHAnsi" w:hAnsiTheme="minorHAnsi" w:cstheme="minorHAnsi"/>
                <w:bCs/>
              </w:rPr>
              <w:t>CCM Endorsement of Funding Request</w:t>
            </w:r>
          </w:p>
        </w:tc>
      </w:tr>
      <w:tr w:rsidR="00D33288" w:rsidRPr="00AF43A2" w14:paraId="59C65730" w14:textId="77777777" w:rsidTr="00347731">
        <w:trPr>
          <w:trHeight w:val="567"/>
        </w:trPr>
        <w:tc>
          <w:tcPr>
            <w:tcW w:w="567" w:type="dxa"/>
            <w:shd w:val="clear" w:color="auto" w:fill="auto"/>
            <w:vAlign w:val="center"/>
          </w:tcPr>
          <w:p w14:paraId="3B3E084D" w14:textId="166E9FBC" w:rsidR="00D33288"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910225486"/>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shd w:val="clear" w:color="auto" w:fill="auto"/>
            <w:vAlign w:val="center"/>
          </w:tcPr>
          <w:p w14:paraId="55D14EBC" w14:textId="37D435FC" w:rsidR="00D33288" w:rsidRPr="00AF43A2" w:rsidRDefault="00D33288" w:rsidP="000A0528">
            <w:pPr>
              <w:spacing w:after="0" w:line="240" w:lineRule="auto"/>
              <w:rPr>
                <w:rFonts w:asciiTheme="minorHAnsi" w:hAnsiTheme="minorHAnsi" w:cstheme="minorHAnsi"/>
                <w:sz w:val="22"/>
                <w:szCs w:val="22"/>
              </w:rPr>
            </w:pPr>
            <w:r w:rsidRPr="00AF43A2">
              <w:rPr>
                <w:rFonts w:asciiTheme="minorHAnsi" w:hAnsiTheme="minorHAnsi" w:cstheme="minorHAnsi"/>
              </w:rPr>
              <w:t>CCM Statement of Compliance</w:t>
            </w:r>
          </w:p>
        </w:tc>
      </w:tr>
      <w:tr w:rsidR="00D33288" w:rsidRPr="00AF43A2" w14:paraId="4A34B2E7" w14:textId="77777777" w:rsidTr="00347731">
        <w:trPr>
          <w:trHeight w:val="567"/>
        </w:trPr>
        <w:tc>
          <w:tcPr>
            <w:tcW w:w="567" w:type="dxa"/>
            <w:shd w:val="clear" w:color="auto" w:fill="auto"/>
            <w:vAlign w:val="center"/>
          </w:tcPr>
          <w:p w14:paraId="290BC4ED" w14:textId="710DDC0C" w:rsidR="00D33288"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220992833"/>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shd w:val="clear" w:color="auto" w:fill="auto"/>
            <w:vAlign w:val="center"/>
          </w:tcPr>
          <w:p w14:paraId="438E6E92" w14:textId="0AAB17BA" w:rsidR="00D33288" w:rsidRPr="00AF43A2" w:rsidRDefault="00D33288" w:rsidP="000A0528">
            <w:pPr>
              <w:spacing w:after="0" w:line="240" w:lineRule="auto"/>
              <w:rPr>
                <w:rFonts w:asciiTheme="minorHAnsi" w:hAnsiTheme="minorHAnsi" w:cstheme="minorHAnsi"/>
                <w:sz w:val="22"/>
                <w:szCs w:val="22"/>
              </w:rPr>
            </w:pPr>
            <w:r w:rsidRPr="00AF43A2">
              <w:rPr>
                <w:rFonts w:asciiTheme="minorHAnsi" w:hAnsiTheme="minorHAnsi" w:cstheme="minorHAnsi"/>
              </w:rPr>
              <w:t xml:space="preserve">Supporting documentation to confirm meeting co-financing requirements for the current allocation period </w:t>
            </w:r>
          </w:p>
        </w:tc>
      </w:tr>
      <w:tr w:rsidR="00D33288" w:rsidRPr="00AF43A2" w14:paraId="21E3ED79" w14:textId="77777777" w:rsidTr="00347731">
        <w:trPr>
          <w:trHeight w:val="567"/>
        </w:trPr>
        <w:tc>
          <w:tcPr>
            <w:tcW w:w="567" w:type="dxa"/>
            <w:shd w:val="clear" w:color="auto" w:fill="auto"/>
            <w:vAlign w:val="center"/>
          </w:tcPr>
          <w:p w14:paraId="62C015EB" w14:textId="43663183" w:rsidR="00D33288"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1023165458"/>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shd w:val="clear" w:color="auto" w:fill="auto"/>
            <w:vAlign w:val="center"/>
          </w:tcPr>
          <w:p w14:paraId="7E15B594" w14:textId="5A0A7BB7" w:rsidR="00D33288" w:rsidRPr="00AF43A2" w:rsidRDefault="00D33288" w:rsidP="000A0528">
            <w:pPr>
              <w:spacing w:after="0" w:line="240" w:lineRule="auto"/>
              <w:rPr>
                <w:rFonts w:asciiTheme="minorHAnsi" w:hAnsiTheme="minorHAnsi" w:cstheme="minorHAnsi"/>
                <w:sz w:val="22"/>
                <w:szCs w:val="22"/>
              </w:rPr>
            </w:pPr>
            <w:r w:rsidRPr="00AF43A2">
              <w:rPr>
                <w:rFonts w:asciiTheme="minorHAnsi" w:hAnsiTheme="minorHAnsi" w:cstheme="minorHAnsi"/>
              </w:rPr>
              <w:t xml:space="preserve">Supporting documentation for co-financing commitments for the next allocation period </w:t>
            </w:r>
          </w:p>
        </w:tc>
      </w:tr>
      <w:tr w:rsidR="00D33288" w:rsidRPr="00AF43A2" w14:paraId="3BC697F8" w14:textId="77777777" w:rsidTr="006810B2">
        <w:trPr>
          <w:trHeight w:val="567"/>
        </w:trPr>
        <w:tc>
          <w:tcPr>
            <w:tcW w:w="567" w:type="dxa"/>
            <w:shd w:val="clear" w:color="auto" w:fill="auto"/>
            <w:vAlign w:val="center"/>
          </w:tcPr>
          <w:p w14:paraId="4C02B429" w14:textId="0AB3999B" w:rsidR="00D33288"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871300088"/>
                <w14:checkbox>
                  <w14:checked w14:val="1"/>
                  <w14:checkedState w14:val="2612" w14:font="MS Gothic"/>
                  <w14:uncheckedState w14:val="2610" w14:font="MS Gothic"/>
                </w14:checkbox>
              </w:sdtPr>
              <w:sdtEndPr/>
              <w:sdtContent>
                <w:r w:rsidR="004872E2" w:rsidRPr="00AF43A2">
                  <w:rPr>
                    <w:rFonts w:ascii="MS Gothic" w:eastAsia="MS Gothic" w:hAnsi="MS Gothic" w:cstheme="minorHAnsi" w:hint="eastAsia"/>
                  </w:rPr>
                  <w:t>☒</w:t>
                </w:r>
              </w:sdtContent>
            </w:sdt>
          </w:p>
        </w:tc>
        <w:tc>
          <w:tcPr>
            <w:tcW w:w="9688" w:type="dxa"/>
            <w:vAlign w:val="center"/>
          </w:tcPr>
          <w:p w14:paraId="1EC662BC" w14:textId="6117C78D" w:rsidR="00D33288" w:rsidRPr="00AF43A2" w:rsidRDefault="00D33288" w:rsidP="000A0528">
            <w:pPr>
              <w:spacing w:after="0" w:line="240" w:lineRule="auto"/>
              <w:rPr>
                <w:rFonts w:asciiTheme="minorHAnsi" w:hAnsiTheme="minorHAnsi" w:cstheme="minorHAnsi"/>
                <w:sz w:val="22"/>
                <w:szCs w:val="22"/>
                <w:lang w:eastAsia="zh-CN"/>
              </w:rPr>
            </w:pPr>
            <w:r w:rsidRPr="00AF43A2">
              <w:rPr>
                <w:rFonts w:asciiTheme="minorHAnsi" w:hAnsiTheme="minorHAnsi" w:cstheme="minorHAnsi"/>
              </w:rPr>
              <w:t>Transition Workplan</w:t>
            </w:r>
            <w:r w:rsidR="003844E1" w:rsidRPr="00AF43A2">
              <w:rPr>
                <w:rFonts w:asciiTheme="minorHAnsi" w:hAnsiTheme="minorHAnsi" w:cstheme="minorHAnsi"/>
              </w:rPr>
              <w:t xml:space="preserve"> (if available)</w:t>
            </w:r>
            <w:r w:rsidR="004872E2" w:rsidRPr="00AF43A2">
              <w:rPr>
                <w:rFonts w:asciiTheme="minorHAnsi" w:hAnsiTheme="minorHAnsi" w:cstheme="minorHAnsi"/>
              </w:rPr>
              <w:t xml:space="preserve"> </w:t>
            </w:r>
          </w:p>
        </w:tc>
      </w:tr>
      <w:tr w:rsidR="00D33288" w:rsidRPr="00AF43A2" w14:paraId="60E59B26" w14:textId="77777777" w:rsidTr="006810B2">
        <w:trPr>
          <w:trHeight w:val="567"/>
        </w:trPr>
        <w:tc>
          <w:tcPr>
            <w:tcW w:w="567" w:type="dxa"/>
            <w:shd w:val="clear" w:color="auto" w:fill="auto"/>
            <w:vAlign w:val="center"/>
          </w:tcPr>
          <w:p w14:paraId="3D99A533" w14:textId="35C907CC" w:rsidR="00D33288"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653519876"/>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vAlign w:val="center"/>
          </w:tcPr>
          <w:p w14:paraId="4A635CA2" w14:textId="10B04B40" w:rsidR="00D33288" w:rsidRPr="00AF43A2" w:rsidRDefault="00D33288" w:rsidP="000A0528">
            <w:pPr>
              <w:spacing w:after="0" w:line="240" w:lineRule="auto"/>
              <w:rPr>
                <w:rFonts w:asciiTheme="minorHAnsi" w:hAnsiTheme="minorHAnsi" w:cstheme="minorHAnsi"/>
                <w:sz w:val="22"/>
                <w:szCs w:val="22"/>
              </w:rPr>
            </w:pPr>
            <w:r w:rsidRPr="00AF43A2">
              <w:rPr>
                <w:rFonts w:asciiTheme="minorHAnsi" w:hAnsiTheme="minorHAnsi" w:cstheme="minorHAnsi"/>
              </w:rPr>
              <w:t>Transition Readiness Assessment (if available)</w:t>
            </w:r>
            <w:r w:rsidR="002D1981">
              <w:rPr>
                <w:rFonts w:asciiTheme="minorHAnsi" w:hAnsiTheme="minorHAnsi" w:cstheme="minorHAnsi"/>
              </w:rPr>
              <w:t xml:space="preserve"> </w:t>
            </w:r>
            <w:r w:rsidR="002D1981" w:rsidRPr="00AF43A2">
              <w:rPr>
                <w:rFonts w:asciiTheme="minorHAnsi" w:hAnsiTheme="minorHAnsi" w:cstheme="minorHAnsi"/>
                <w:i/>
                <w:color w:val="FF0000"/>
              </w:rPr>
              <w:t xml:space="preserve">(Transition assessment </w:t>
            </w:r>
            <w:r w:rsidR="002D1981">
              <w:rPr>
                <w:rFonts w:asciiTheme="minorHAnsi" w:hAnsiTheme="minorHAnsi" w:cstheme="minorHAnsi"/>
                <w:i/>
                <w:color w:val="FF0000"/>
              </w:rPr>
              <w:t>focused on</w:t>
            </w:r>
            <w:r w:rsidR="002D1981" w:rsidRPr="00AF43A2">
              <w:rPr>
                <w:rFonts w:asciiTheme="minorHAnsi" w:hAnsiTheme="minorHAnsi" w:cstheme="minorHAnsi"/>
                <w:i/>
                <w:color w:val="FF0000"/>
              </w:rPr>
              <w:t xml:space="preserve"> social contracting)</w:t>
            </w:r>
          </w:p>
        </w:tc>
      </w:tr>
      <w:tr w:rsidR="00D33288" w:rsidRPr="00AF43A2" w14:paraId="75FD2557" w14:textId="77777777" w:rsidTr="006810B2">
        <w:trPr>
          <w:trHeight w:val="567"/>
        </w:trPr>
        <w:tc>
          <w:tcPr>
            <w:tcW w:w="567" w:type="dxa"/>
            <w:shd w:val="clear" w:color="auto" w:fill="auto"/>
            <w:vAlign w:val="center"/>
          </w:tcPr>
          <w:p w14:paraId="0ED229A7" w14:textId="24612873" w:rsidR="00D33288"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1226954297"/>
                <w14:checkbox>
                  <w14:checked w14:val="1"/>
                  <w14:checkedState w14:val="2612" w14:font="MS Gothic"/>
                  <w14:uncheckedState w14:val="2610" w14:font="MS Gothic"/>
                </w14:checkbox>
              </w:sdtPr>
              <w:sdtEndPr/>
              <w:sdtContent>
                <w:r w:rsidR="004872E2" w:rsidRPr="00AF43A2">
                  <w:rPr>
                    <w:rFonts w:ascii="MS Gothic" w:eastAsia="MS Gothic" w:hAnsi="MS Gothic" w:cstheme="minorHAnsi" w:hint="eastAsia"/>
                  </w:rPr>
                  <w:t>☒</w:t>
                </w:r>
              </w:sdtContent>
            </w:sdt>
          </w:p>
        </w:tc>
        <w:tc>
          <w:tcPr>
            <w:tcW w:w="9688" w:type="dxa"/>
            <w:vAlign w:val="center"/>
          </w:tcPr>
          <w:p w14:paraId="2F94AEA8" w14:textId="7E0D3F30" w:rsidR="00D33288" w:rsidRPr="00AF43A2" w:rsidRDefault="00D33288" w:rsidP="000A0528">
            <w:pPr>
              <w:spacing w:after="0" w:line="240" w:lineRule="auto"/>
              <w:rPr>
                <w:rFonts w:asciiTheme="minorHAnsi" w:hAnsiTheme="minorHAnsi" w:cstheme="minorHAnsi"/>
                <w:sz w:val="22"/>
                <w:szCs w:val="22"/>
              </w:rPr>
            </w:pPr>
            <w:r w:rsidRPr="00AF43A2">
              <w:rPr>
                <w:rFonts w:asciiTheme="minorHAnsi" w:hAnsiTheme="minorHAnsi" w:cstheme="minorHAnsi"/>
              </w:rPr>
              <w:t>National Strategic Plans (Health Sector and Disease specific)</w:t>
            </w:r>
          </w:p>
        </w:tc>
      </w:tr>
      <w:tr w:rsidR="00D33288" w:rsidRPr="00AF43A2" w14:paraId="0591D3E7" w14:textId="77777777" w:rsidTr="006810B2">
        <w:trPr>
          <w:trHeight w:val="567"/>
        </w:trPr>
        <w:tc>
          <w:tcPr>
            <w:tcW w:w="567" w:type="dxa"/>
            <w:shd w:val="clear" w:color="auto" w:fill="auto"/>
            <w:vAlign w:val="center"/>
          </w:tcPr>
          <w:p w14:paraId="45A7E14B" w14:textId="07D1EBE4" w:rsidR="00D33288"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1163155206"/>
                <w14:checkbox>
                  <w14:checked w14:val="0"/>
                  <w14:checkedState w14:val="2612" w14:font="MS Gothic"/>
                  <w14:uncheckedState w14:val="2610" w14:font="MS Gothic"/>
                </w14:checkbox>
              </w:sdtPr>
              <w:sdtEndPr/>
              <w:sdtContent/>
            </w:sdt>
            <w:r w:rsidR="004872E2" w:rsidRPr="00AF43A2">
              <w:rPr>
                <w:rFonts w:asciiTheme="minorHAnsi" w:hAnsiTheme="minorHAnsi" w:cstheme="minorHAnsi"/>
              </w:rPr>
              <w:t xml:space="preserve"> </w:t>
            </w:r>
            <w:sdt>
              <w:sdtPr>
                <w:rPr>
                  <w:rFonts w:asciiTheme="minorHAnsi" w:hAnsiTheme="minorHAnsi" w:cstheme="minorHAnsi"/>
                </w:rPr>
                <w:id w:val="478813708"/>
                <w14:checkbox>
                  <w14:checked w14:val="1"/>
                  <w14:checkedState w14:val="2612" w14:font="MS Gothic"/>
                  <w14:uncheckedState w14:val="2610" w14:font="MS Gothic"/>
                </w14:checkbox>
              </w:sdtPr>
              <w:sdtEndPr/>
              <w:sdtContent>
                <w:r w:rsidR="004872E2" w:rsidRPr="00AF43A2">
                  <w:rPr>
                    <w:rFonts w:ascii="MS Gothic" w:eastAsia="MS Gothic" w:hAnsi="MS Gothic" w:cstheme="minorHAnsi" w:hint="eastAsia"/>
                  </w:rPr>
                  <w:t>☒</w:t>
                </w:r>
              </w:sdtContent>
            </w:sdt>
          </w:p>
        </w:tc>
        <w:tc>
          <w:tcPr>
            <w:tcW w:w="9688" w:type="dxa"/>
            <w:vAlign w:val="center"/>
          </w:tcPr>
          <w:p w14:paraId="547AC985" w14:textId="35BA0E22" w:rsidR="00D33288" w:rsidRPr="00AF43A2" w:rsidRDefault="00D33288" w:rsidP="000A0528">
            <w:pPr>
              <w:spacing w:after="0" w:line="240" w:lineRule="auto"/>
              <w:rPr>
                <w:rFonts w:asciiTheme="minorHAnsi" w:hAnsiTheme="minorHAnsi" w:cstheme="minorHAnsi"/>
                <w:sz w:val="22"/>
                <w:szCs w:val="22"/>
              </w:rPr>
            </w:pPr>
            <w:r w:rsidRPr="00AF43A2">
              <w:rPr>
                <w:rFonts w:asciiTheme="minorHAnsi" w:hAnsiTheme="minorHAnsi" w:cstheme="minorHAnsi"/>
                <w:lang w:eastAsia="zh-CN"/>
              </w:rPr>
              <w:t>All supporting documentation referenced in the funding request</w:t>
            </w:r>
          </w:p>
        </w:tc>
      </w:tr>
      <w:tr w:rsidR="00D33288" w:rsidRPr="00AF43A2" w14:paraId="2529886F" w14:textId="77777777" w:rsidTr="00347731">
        <w:trPr>
          <w:trHeight w:val="567"/>
        </w:trPr>
        <w:tc>
          <w:tcPr>
            <w:tcW w:w="567" w:type="dxa"/>
            <w:shd w:val="clear" w:color="auto" w:fill="auto"/>
            <w:vAlign w:val="center"/>
          </w:tcPr>
          <w:p w14:paraId="7B19AFA1" w14:textId="38012AB9" w:rsidR="00D33288"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1501008062"/>
                <w14:checkbox>
                  <w14:checked w14:val="1"/>
                  <w14:checkedState w14:val="2612" w14:font="MS Gothic"/>
                  <w14:uncheckedState w14:val="2610" w14:font="MS Gothic"/>
                </w14:checkbox>
              </w:sdtPr>
              <w:sdtEndPr/>
              <w:sdtContent>
                <w:r w:rsidR="004872E2" w:rsidRPr="00AF43A2">
                  <w:rPr>
                    <w:rFonts w:ascii="MS Gothic" w:eastAsia="MS Gothic" w:hAnsi="MS Gothic" w:cstheme="minorHAnsi" w:hint="eastAsia"/>
                  </w:rPr>
                  <w:t>☒</w:t>
                </w:r>
              </w:sdtContent>
            </w:sdt>
          </w:p>
        </w:tc>
        <w:tc>
          <w:tcPr>
            <w:tcW w:w="9688" w:type="dxa"/>
            <w:shd w:val="clear" w:color="auto" w:fill="auto"/>
            <w:vAlign w:val="center"/>
          </w:tcPr>
          <w:p w14:paraId="23739BB7" w14:textId="27886806" w:rsidR="00D33288" w:rsidRPr="00AF43A2" w:rsidRDefault="00D33288" w:rsidP="000A0528">
            <w:pPr>
              <w:spacing w:after="0" w:line="240" w:lineRule="auto"/>
              <w:rPr>
                <w:rFonts w:asciiTheme="minorHAnsi" w:hAnsiTheme="minorHAnsi" w:cstheme="minorHAnsi"/>
                <w:sz w:val="22"/>
                <w:szCs w:val="22"/>
              </w:rPr>
            </w:pPr>
            <w:r w:rsidRPr="00AF43A2">
              <w:rPr>
                <w:rFonts w:asciiTheme="minorHAnsi" w:hAnsiTheme="minorHAnsi" w:cstheme="minorHAnsi"/>
              </w:rPr>
              <w:t>Health Product Management Tool (if applicable)</w:t>
            </w:r>
          </w:p>
        </w:tc>
      </w:tr>
      <w:tr w:rsidR="00D33288" w:rsidRPr="0015735D" w14:paraId="000B6993" w14:textId="77777777" w:rsidTr="00F268A0">
        <w:trPr>
          <w:trHeight w:val="567"/>
        </w:trPr>
        <w:tc>
          <w:tcPr>
            <w:tcW w:w="567" w:type="dxa"/>
            <w:shd w:val="clear" w:color="auto" w:fill="auto"/>
            <w:vAlign w:val="center"/>
          </w:tcPr>
          <w:p w14:paraId="5ABDDC04" w14:textId="7C62A1B2" w:rsidR="00D33288" w:rsidRPr="00AF43A2" w:rsidRDefault="00946163" w:rsidP="000A0528">
            <w:pPr>
              <w:spacing w:after="0" w:line="240" w:lineRule="auto"/>
              <w:rPr>
                <w:rFonts w:asciiTheme="minorHAnsi" w:hAnsiTheme="minorHAnsi" w:cstheme="minorHAnsi"/>
                <w:sz w:val="22"/>
                <w:szCs w:val="22"/>
              </w:rPr>
            </w:pPr>
            <w:sdt>
              <w:sdtPr>
                <w:rPr>
                  <w:rFonts w:asciiTheme="minorHAnsi" w:hAnsiTheme="minorHAnsi" w:cstheme="minorHAnsi"/>
                </w:rPr>
                <w:id w:val="401407315"/>
                <w14:checkbox>
                  <w14:checked w14:val="1"/>
                  <w14:checkedState w14:val="2612" w14:font="MS Gothic"/>
                  <w14:uncheckedState w14:val="2610" w14:font="MS Gothic"/>
                </w14:checkbox>
              </w:sdtPr>
              <w:sdtEndPr/>
              <w:sdtContent>
                <w:r w:rsidR="00AC7E53" w:rsidRPr="00AF43A2">
                  <w:rPr>
                    <w:rFonts w:ascii="MS Gothic" w:eastAsia="MS Gothic" w:hAnsi="MS Gothic" w:cstheme="minorHAnsi" w:hint="eastAsia"/>
                  </w:rPr>
                  <w:t>☒</w:t>
                </w:r>
              </w:sdtContent>
            </w:sdt>
          </w:p>
        </w:tc>
        <w:tc>
          <w:tcPr>
            <w:tcW w:w="9688" w:type="dxa"/>
            <w:vAlign w:val="center"/>
          </w:tcPr>
          <w:p w14:paraId="40AE76AC" w14:textId="77777777" w:rsidR="00D33288" w:rsidRPr="0015735D" w:rsidRDefault="00D33288" w:rsidP="000A0528">
            <w:pPr>
              <w:spacing w:after="0" w:line="240" w:lineRule="auto"/>
              <w:rPr>
                <w:rFonts w:asciiTheme="minorHAnsi" w:hAnsiTheme="minorHAnsi" w:cstheme="minorHAnsi"/>
                <w:sz w:val="22"/>
                <w:szCs w:val="22"/>
              </w:rPr>
            </w:pPr>
            <w:r w:rsidRPr="00AF43A2">
              <w:rPr>
                <w:rFonts w:asciiTheme="minorHAnsi" w:hAnsiTheme="minorHAnsi" w:cstheme="minorHAnsi"/>
              </w:rPr>
              <w:t>List of Abbreviations and Annexes</w:t>
            </w:r>
          </w:p>
        </w:tc>
      </w:tr>
    </w:tbl>
    <w:p w14:paraId="72F0A4CC" w14:textId="77777777" w:rsidR="006810B2" w:rsidRPr="0015735D" w:rsidRDefault="006810B2" w:rsidP="000A0528">
      <w:pPr>
        <w:pStyle w:val="affff3"/>
        <w:spacing w:after="0" w:line="240" w:lineRule="auto"/>
        <w:ind w:left="0"/>
        <w:rPr>
          <w:rFonts w:asciiTheme="minorHAnsi" w:hAnsiTheme="minorHAnsi" w:cstheme="minorHAnsi"/>
        </w:rPr>
      </w:pPr>
    </w:p>
    <w:p w14:paraId="6E1D3450" w14:textId="323E3E9E" w:rsidR="009A6DE4" w:rsidRPr="0015735D" w:rsidRDefault="009A6DE4" w:rsidP="000A0528">
      <w:pPr>
        <w:spacing w:after="0" w:line="240" w:lineRule="auto"/>
        <w:rPr>
          <w:rFonts w:asciiTheme="minorHAnsi" w:hAnsiTheme="minorHAnsi" w:cstheme="minorHAnsi"/>
        </w:rPr>
      </w:pPr>
    </w:p>
    <w:sectPr w:rsidR="009A6DE4" w:rsidRPr="0015735D" w:rsidSect="00F5709E">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71B42" w14:textId="77777777" w:rsidR="00946163" w:rsidRPr="009F52F1" w:rsidRDefault="00946163" w:rsidP="0013691B">
      <w:pPr>
        <w:spacing w:after="0" w:line="240" w:lineRule="auto"/>
      </w:pPr>
      <w:r w:rsidRPr="009F52F1">
        <w:separator/>
      </w:r>
    </w:p>
  </w:endnote>
  <w:endnote w:type="continuationSeparator" w:id="0">
    <w:p w14:paraId="2B8B1782" w14:textId="77777777" w:rsidR="00946163" w:rsidRPr="009F52F1" w:rsidRDefault="00946163" w:rsidP="0013691B">
      <w:pPr>
        <w:spacing w:after="0" w:line="240" w:lineRule="auto"/>
      </w:pPr>
      <w:r w:rsidRPr="009F52F1">
        <w:continuationSeparator/>
      </w:r>
    </w:p>
  </w:endnote>
  <w:endnote w:type="continuationNotice" w:id="1">
    <w:p w14:paraId="49D0628A" w14:textId="77777777" w:rsidR="00946163" w:rsidRDefault="00946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49222" w14:textId="77777777" w:rsidR="00947669" w:rsidRDefault="009476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556792"/>
      <w:docPartObj>
        <w:docPartGallery w:val="Page Numbers (Bottom of Page)"/>
        <w:docPartUnique/>
      </w:docPartObj>
    </w:sdtPr>
    <w:sdtEndPr>
      <w:rPr>
        <w:noProof/>
      </w:rPr>
    </w:sdtEndPr>
    <w:sdtContent>
      <w:p w14:paraId="0E4B75CA" w14:textId="77777777" w:rsidR="00947669" w:rsidRDefault="00947669">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5E30F3AB" w14:textId="29B74E9F" w:rsidR="00947669" w:rsidRPr="006364FF" w:rsidRDefault="00947669" w:rsidP="006364FF">
    <w:pPr>
      <w:spacing w:after="0"/>
      <w:jc w:val="center"/>
      <w:rPr>
        <w:color w:val="A6A6A6" w:themeColor="background1" w:themeShade="A6"/>
        <w:sz w:val="18"/>
        <w:szCs w:val="18"/>
      </w:rPr>
    </w:pPr>
    <w:r w:rsidRPr="00D21468">
      <w:rPr>
        <w:color w:val="A6A6A6" w:themeColor="background1" w:themeShade="A6"/>
        <w:sz w:val="18"/>
        <w:szCs w:val="18"/>
      </w:rPr>
      <w:t xml:space="preserve"> </w:t>
    </w:r>
    <w:bookmarkStart w:id="15" w:name="_Hlk14420169"/>
    <w:r w:rsidRPr="006364FF">
      <w:rPr>
        <w:color w:val="A6A6A6" w:themeColor="background1" w:themeShade="A6"/>
        <w:sz w:val="18"/>
        <w:szCs w:val="18"/>
      </w:rPr>
      <w:t xml:space="preserve">Funding Request Form – </w:t>
    </w:r>
    <w:r>
      <w:rPr>
        <w:color w:val="A6A6A6" w:themeColor="background1" w:themeShade="A6"/>
        <w:sz w:val="18"/>
        <w:szCs w:val="18"/>
      </w:rPr>
      <w:t>Tailored for Focused Portfolios</w:t>
    </w:r>
  </w:p>
  <w:p w14:paraId="163F2751" w14:textId="7CD8D1A3" w:rsidR="00947669" w:rsidRPr="009B192C" w:rsidRDefault="00947669" w:rsidP="006364FF">
    <w:pPr>
      <w:spacing w:after="0"/>
      <w:jc w:val="center"/>
      <w:rPr>
        <w:b/>
        <w:color w:val="A6A6A6" w:themeColor="background1" w:themeShade="A6"/>
        <w:sz w:val="18"/>
        <w:szCs w:val="18"/>
      </w:rPr>
    </w:pPr>
    <w:r w:rsidRPr="006364FF">
      <w:rPr>
        <w:color w:val="A6A6A6" w:themeColor="background1" w:themeShade="A6"/>
        <w:sz w:val="18"/>
        <w:szCs w:val="18"/>
      </w:rPr>
      <w:t xml:space="preserve">Issue Date: </w:t>
    </w:r>
    <w:bookmarkEnd w:id="15"/>
    <w:r>
      <w:rPr>
        <w:color w:val="A6A6A6" w:themeColor="background1" w:themeShade="A6"/>
        <w:sz w:val="18"/>
        <w:szCs w:val="18"/>
      </w:rPr>
      <w:t>November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2C72B" w14:textId="39EF8D9B" w:rsidR="00947669" w:rsidRDefault="00947669" w:rsidP="00F5709E">
    <w:pPr>
      <w:spacing w:after="0"/>
      <w:jc w:val="center"/>
      <w:rPr>
        <w:color w:val="A6A6A6" w:themeColor="background1" w:themeShade="A6"/>
        <w:sz w:val="18"/>
        <w:szCs w:val="18"/>
      </w:rPr>
    </w:pPr>
    <w:r w:rsidRPr="00EF23C6">
      <w:rPr>
        <w:color w:val="A6A6A6" w:themeColor="background1" w:themeShade="A6"/>
        <w:sz w:val="18"/>
        <w:szCs w:val="18"/>
      </w:rPr>
      <w:t xml:space="preserve">Funding Request </w:t>
    </w:r>
    <w:r>
      <w:rPr>
        <w:color w:val="A6A6A6" w:themeColor="background1" w:themeShade="A6"/>
        <w:sz w:val="18"/>
        <w:szCs w:val="18"/>
      </w:rPr>
      <w:t>Form</w:t>
    </w:r>
    <w:r w:rsidRPr="00EF23C6">
      <w:rPr>
        <w:color w:val="A6A6A6" w:themeColor="background1" w:themeShade="A6"/>
        <w:sz w:val="18"/>
        <w:szCs w:val="18"/>
      </w:rPr>
      <w:t xml:space="preserve"> </w:t>
    </w:r>
    <w:r>
      <w:rPr>
        <w:color w:val="A6A6A6" w:themeColor="background1" w:themeShade="A6"/>
        <w:sz w:val="18"/>
        <w:szCs w:val="18"/>
      </w:rPr>
      <w:t>–</w:t>
    </w:r>
    <w:r w:rsidRPr="00EF23C6">
      <w:rPr>
        <w:color w:val="A6A6A6" w:themeColor="background1" w:themeShade="A6"/>
        <w:sz w:val="18"/>
        <w:szCs w:val="18"/>
      </w:rPr>
      <w:t xml:space="preserve"> </w:t>
    </w:r>
    <w:r>
      <w:rPr>
        <w:color w:val="A6A6A6" w:themeColor="background1" w:themeShade="A6"/>
        <w:sz w:val="18"/>
        <w:szCs w:val="18"/>
      </w:rPr>
      <w:t>Tailored for Focused Portfolios</w:t>
    </w:r>
  </w:p>
  <w:p w14:paraId="2BEB7DF9" w14:textId="64897F2A" w:rsidR="00947669" w:rsidRDefault="00947669" w:rsidP="00F5709E">
    <w:pPr>
      <w:pStyle w:val="a8"/>
      <w:jc w:val="center"/>
    </w:pPr>
    <w:r>
      <w:rPr>
        <w:color w:val="A6A6A6" w:themeColor="background1" w:themeShade="A6"/>
        <w:sz w:val="18"/>
        <w:szCs w:val="18"/>
      </w:rPr>
      <w:t>Issue Date: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3109D" w14:textId="77777777" w:rsidR="00946163" w:rsidRPr="009F52F1" w:rsidRDefault="00946163" w:rsidP="0013691B">
      <w:pPr>
        <w:spacing w:after="0" w:line="240" w:lineRule="auto"/>
      </w:pPr>
      <w:r w:rsidRPr="009F52F1">
        <w:separator/>
      </w:r>
    </w:p>
  </w:footnote>
  <w:footnote w:type="continuationSeparator" w:id="0">
    <w:p w14:paraId="6FFA9F50" w14:textId="77777777" w:rsidR="00946163" w:rsidRPr="009F52F1" w:rsidRDefault="00946163" w:rsidP="0013691B">
      <w:pPr>
        <w:spacing w:after="0" w:line="240" w:lineRule="auto"/>
      </w:pPr>
      <w:r w:rsidRPr="009F52F1">
        <w:continuationSeparator/>
      </w:r>
    </w:p>
  </w:footnote>
  <w:footnote w:type="continuationNotice" w:id="1">
    <w:p w14:paraId="3CFF9816" w14:textId="77777777" w:rsidR="00946163" w:rsidRDefault="00946163">
      <w:pPr>
        <w:spacing w:after="0" w:line="240" w:lineRule="auto"/>
      </w:pPr>
    </w:p>
  </w:footnote>
  <w:footnote w:id="2">
    <w:p w14:paraId="10AA0A09" w14:textId="77777777" w:rsidR="00947669" w:rsidRDefault="00947669" w:rsidP="00F5709E">
      <w:pPr>
        <w:pStyle w:val="ad"/>
        <w:ind w:right="386"/>
      </w:pPr>
      <w:r>
        <w:rPr>
          <w:rStyle w:val="af"/>
        </w:rPr>
        <w:footnoteRef/>
      </w:r>
      <w:r>
        <w:t xml:space="preserve"> </w:t>
      </w:r>
      <w:r w:rsidRPr="001358AD">
        <w:rPr>
          <w:szCs w:val="16"/>
        </w:rPr>
        <w:t>PAARs</w:t>
      </w:r>
      <w:r>
        <w:rPr>
          <w:szCs w:val="16"/>
        </w:rPr>
        <w:t xml:space="preserve"> </w:t>
      </w:r>
      <w:r w:rsidRPr="001358AD">
        <w:rPr>
          <w:szCs w:val="16"/>
        </w:rPr>
        <w:t>can only be submitted with the Funding Request. To complete a P</w:t>
      </w:r>
      <w:r>
        <w:rPr>
          <w:szCs w:val="16"/>
        </w:rPr>
        <w:t>AAR, fill-in the</w:t>
      </w:r>
      <w:r w:rsidRPr="001358AD">
        <w:rPr>
          <w:szCs w:val="16"/>
        </w:rPr>
        <w:t xml:space="preserve"> Excel template</w:t>
      </w:r>
      <w:r>
        <w:rPr>
          <w:szCs w:val="16"/>
        </w:rPr>
        <w:t xml:space="preserve"> that you will receive from the Global Fund Secretariat.</w:t>
      </w:r>
    </w:p>
  </w:footnote>
  <w:footnote w:id="3">
    <w:p w14:paraId="664FAF6B" w14:textId="36184090" w:rsidR="00947669" w:rsidRDefault="00947669" w:rsidP="00F5709E">
      <w:pPr>
        <w:pStyle w:val="ad"/>
        <w:ind w:right="386"/>
      </w:pPr>
      <w:r>
        <w:rPr>
          <w:rStyle w:val="af"/>
        </w:rPr>
        <w:footnoteRef/>
      </w:r>
      <w:r w:rsidRPr="00890D60">
        <w:t>This is only relevant for applicants with designated matching funds as indicated in the allocation letter.</w:t>
      </w:r>
    </w:p>
    <w:p w14:paraId="5B719234" w14:textId="77777777" w:rsidR="00947669" w:rsidRDefault="00947669" w:rsidP="00F5709E">
      <w:pPr>
        <w:pStyle w:val="ad"/>
        <w:ind w:right="386"/>
      </w:pPr>
    </w:p>
  </w:footnote>
  <w:footnote w:id="4">
    <w:p w14:paraId="3C4FFFD6" w14:textId="1623F5E3" w:rsidR="003A11FB" w:rsidRPr="00287825" w:rsidRDefault="003A11FB">
      <w:pPr>
        <w:pStyle w:val="ad"/>
      </w:pPr>
      <w:r w:rsidRPr="0004163B">
        <w:rPr>
          <w:rStyle w:val="af"/>
        </w:rPr>
        <w:footnoteRef/>
      </w:r>
      <w:r w:rsidRPr="0004163B">
        <w:t xml:space="preserve"> </w:t>
      </w:r>
      <w:proofErr w:type="spellStart"/>
      <w:r w:rsidR="00287825" w:rsidRPr="0004163B">
        <w:t>openDemocracy</w:t>
      </w:r>
      <w:proofErr w:type="spellEnd"/>
      <w:r w:rsidR="00287825" w:rsidRPr="0004163B">
        <w:t xml:space="preserve"> (2019). “In Kazakhstan, Transgender People Face Discrimination”, https://www.opendemocracy.net/en/odr/kazakhstan-transgender-discrimination-ru-en/</w:t>
      </w:r>
    </w:p>
  </w:footnote>
  <w:footnote w:id="5">
    <w:p w14:paraId="0430073D" w14:textId="77777777" w:rsidR="00947669" w:rsidRPr="00D9383C" w:rsidRDefault="00947669" w:rsidP="00D9383C">
      <w:pPr>
        <w:spacing w:after="0" w:line="240" w:lineRule="auto"/>
        <w:jc w:val="both"/>
        <w:rPr>
          <w:color w:val="404040" w:themeColor="text1"/>
          <w:sz w:val="18"/>
          <w:szCs w:val="18"/>
        </w:rPr>
      </w:pPr>
      <w:r w:rsidRPr="00D9383C">
        <w:rPr>
          <w:rStyle w:val="af"/>
          <w:color w:val="404040" w:themeColor="text1"/>
          <w:sz w:val="18"/>
          <w:szCs w:val="18"/>
        </w:rPr>
        <w:footnoteRef/>
      </w:r>
      <w:r w:rsidRPr="00D9383C">
        <w:rPr>
          <w:color w:val="404040" w:themeColor="text1"/>
          <w:sz w:val="18"/>
          <w:szCs w:val="18"/>
        </w:rPr>
        <w:t xml:space="preserve"> </w:t>
      </w:r>
      <w:proofErr w:type="spellStart"/>
      <w:r w:rsidRPr="00D9383C">
        <w:rPr>
          <w:color w:val="404040" w:themeColor="text1"/>
          <w:sz w:val="18"/>
          <w:szCs w:val="18"/>
        </w:rPr>
        <w:t>Roshchupkin</w:t>
      </w:r>
      <w:proofErr w:type="spellEnd"/>
      <w:r w:rsidRPr="00D9383C">
        <w:rPr>
          <w:color w:val="404040" w:themeColor="text1"/>
          <w:sz w:val="18"/>
          <w:szCs w:val="18"/>
        </w:rPr>
        <w:t xml:space="preserve">, G. (2020). </w:t>
      </w:r>
      <w:r w:rsidRPr="00D9383C">
        <w:rPr>
          <w:i/>
          <w:color w:val="404040" w:themeColor="text1"/>
          <w:sz w:val="18"/>
          <w:szCs w:val="18"/>
        </w:rPr>
        <w:t>Report on Meetings of Representatives of Key Communities in the Framework of the National Dialogue in the Republic of Kazakhstan.</w:t>
      </w:r>
      <w:r w:rsidRPr="00D9383C">
        <w:rPr>
          <w:color w:val="404040" w:themeColor="text1"/>
          <w:sz w:val="18"/>
          <w:szCs w:val="18"/>
        </w:rPr>
        <w:t xml:space="preserve"> Almaty.</w:t>
      </w:r>
    </w:p>
  </w:footnote>
  <w:footnote w:id="6">
    <w:p w14:paraId="41926974" w14:textId="4F9AD642" w:rsidR="00947669" w:rsidRPr="00A62D93" w:rsidRDefault="00947669" w:rsidP="00D9383C">
      <w:pPr>
        <w:pStyle w:val="ad"/>
        <w:rPr>
          <w:sz w:val="18"/>
          <w:szCs w:val="18"/>
        </w:rPr>
      </w:pPr>
      <w:r w:rsidRPr="00D9383C">
        <w:rPr>
          <w:rStyle w:val="af"/>
          <w:color w:val="404040" w:themeColor="text1"/>
          <w:sz w:val="18"/>
          <w:szCs w:val="18"/>
        </w:rPr>
        <w:footnoteRef/>
      </w:r>
      <w:r w:rsidRPr="00D9383C">
        <w:rPr>
          <w:color w:val="404040" w:themeColor="text1"/>
          <w:sz w:val="18"/>
          <w:szCs w:val="18"/>
        </w:rPr>
        <w:t xml:space="preserve"> </w:t>
      </w:r>
      <w:r>
        <w:rPr>
          <w:color w:val="404040" w:themeColor="text1"/>
          <w:sz w:val="18"/>
          <w:szCs w:val="18"/>
        </w:rPr>
        <w:t xml:space="preserve">Key documents included the </w:t>
      </w:r>
      <w:r w:rsidRPr="00810253">
        <w:rPr>
          <w:color w:val="404040" w:themeColor="text1"/>
          <w:sz w:val="18"/>
          <w:szCs w:val="18"/>
        </w:rPr>
        <w:t>Op</w:t>
      </w:r>
      <w:r>
        <w:rPr>
          <w:color w:val="404040" w:themeColor="text1"/>
          <w:sz w:val="18"/>
          <w:szCs w:val="18"/>
        </w:rPr>
        <w:t>t</w:t>
      </w:r>
      <w:r w:rsidRPr="00810253">
        <w:rPr>
          <w:color w:val="404040" w:themeColor="text1"/>
          <w:sz w:val="18"/>
          <w:szCs w:val="18"/>
        </w:rPr>
        <w:t xml:space="preserve">ima exercise, CDC </w:t>
      </w:r>
      <w:r>
        <w:rPr>
          <w:color w:val="404040" w:themeColor="text1"/>
          <w:sz w:val="18"/>
          <w:szCs w:val="18"/>
        </w:rPr>
        <w:t>L</w:t>
      </w:r>
      <w:r w:rsidRPr="00810253">
        <w:rPr>
          <w:color w:val="404040" w:themeColor="text1"/>
          <w:sz w:val="18"/>
          <w:szCs w:val="18"/>
        </w:rPr>
        <w:t>ab</w:t>
      </w:r>
      <w:r>
        <w:rPr>
          <w:color w:val="404040" w:themeColor="text1"/>
          <w:sz w:val="18"/>
          <w:szCs w:val="18"/>
        </w:rPr>
        <w:t>oratory Assessment</w:t>
      </w:r>
      <w:r w:rsidRPr="00810253">
        <w:rPr>
          <w:color w:val="404040" w:themeColor="text1"/>
          <w:sz w:val="18"/>
          <w:szCs w:val="18"/>
        </w:rPr>
        <w:t xml:space="preserve"> and APMG review.</w:t>
      </w:r>
      <w:r>
        <w:rPr>
          <w:color w:val="404040" w:themeColor="text1"/>
          <w:sz w:val="18"/>
          <w:szCs w:val="18"/>
        </w:rPr>
        <w:t xml:space="preserve"> These and other</w:t>
      </w:r>
      <w:r w:rsidRPr="00D9383C">
        <w:rPr>
          <w:color w:val="404040" w:themeColor="text1"/>
          <w:sz w:val="18"/>
          <w:szCs w:val="18"/>
        </w:rPr>
        <w:t xml:space="preserve"> key documents and reports consulted are attached </w:t>
      </w:r>
      <w:r>
        <w:rPr>
          <w:color w:val="404040" w:themeColor="text1"/>
          <w:sz w:val="18"/>
          <w:szCs w:val="18"/>
        </w:rPr>
        <w:t xml:space="preserve">as Annexes </w:t>
      </w:r>
      <w:r w:rsidRPr="00D9383C">
        <w:rPr>
          <w:color w:val="404040" w:themeColor="text1"/>
          <w:sz w:val="18"/>
          <w:szCs w:val="18"/>
        </w:rPr>
        <w:t>to this Funding Request</w:t>
      </w:r>
      <w:r>
        <w:rPr>
          <w:color w:val="404040" w:themeColor="text1"/>
          <w:sz w:val="18"/>
          <w:szCs w:val="18"/>
        </w:rPr>
        <w:t>.</w:t>
      </w:r>
    </w:p>
  </w:footnote>
  <w:footnote w:id="7">
    <w:p w14:paraId="2E1A84B0" w14:textId="77777777" w:rsidR="00947669" w:rsidRPr="00A701A3" w:rsidRDefault="00947669" w:rsidP="001E6199">
      <w:pPr>
        <w:pStyle w:val="ad"/>
        <w:rPr>
          <w:sz w:val="18"/>
          <w:szCs w:val="18"/>
        </w:rPr>
      </w:pPr>
      <w:r w:rsidRPr="00A701A3">
        <w:rPr>
          <w:rStyle w:val="af"/>
          <w:sz w:val="18"/>
          <w:szCs w:val="18"/>
        </w:rPr>
        <w:footnoteRef/>
      </w:r>
      <w:r w:rsidRPr="00A701A3">
        <w:rPr>
          <w:sz w:val="18"/>
          <w:szCs w:val="18"/>
        </w:rPr>
        <w:t xml:space="preserve"> </w:t>
      </w:r>
      <w:hyperlink r:id="rId1" w:tgtFrame="_blank" w:history="1">
        <w:r w:rsidRPr="00A701A3">
          <w:rPr>
            <w:rStyle w:val="af9"/>
            <w:rFonts w:cs="Arial"/>
            <w:sz w:val="18"/>
            <w:szCs w:val="18"/>
          </w:rPr>
          <w:t>http://optimamodel.com/pubs/Kazakhstan_2020.pdf</w:t>
        </w:r>
      </w:hyperlink>
      <w:r w:rsidRPr="00A701A3">
        <w:rPr>
          <w:rFonts w:cs="Arial"/>
          <w:sz w:val="18"/>
          <w:szCs w:val="18"/>
        </w:rPr>
        <w:t xml:space="preserve">  </w:t>
      </w:r>
    </w:p>
  </w:footnote>
  <w:footnote w:id="8">
    <w:p w14:paraId="771F768F" w14:textId="77777777" w:rsidR="00947669" w:rsidRPr="00903EEC" w:rsidRDefault="00947669" w:rsidP="005F59C4">
      <w:pPr>
        <w:spacing w:after="0" w:line="240" w:lineRule="auto"/>
        <w:rPr>
          <w:sz w:val="18"/>
          <w:szCs w:val="18"/>
        </w:rPr>
      </w:pPr>
      <w:r w:rsidRPr="00903EEC">
        <w:rPr>
          <w:rStyle w:val="af"/>
          <w:sz w:val="18"/>
          <w:szCs w:val="18"/>
        </w:rPr>
        <w:footnoteRef/>
      </w:r>
      <w:r w:rsidRPr="00903EEC">
        <w:rPr>
          <w:sz w:val="18"/>
          <w:szCs w:val="18"/>
        </w:rPr>
        <w:t xml:space="preserve"> </w:t>
      </w:r>
      <w:hyperlink r:id="rId2" w:tgtFrame="_blank" w:history="1">
        <w:r w:rsidRPr="00903EEC">
          <w:rPr>
            <w:rStyle w:val="af9"/>
            <w:sz w:val="18"/>
            <w:szCs w:val="18"/>
          </w:rPr>
          <w:t>https://goszakup.gov.kz/</w:t>
        </w:r>
      </w:hyperlink>
      <w:r w:rsidRPr="00903EEC">
        <w:rPr>
          <w:sz w:val="18"/>
          <w:szCs w:val="18"/>
        </w:rPr>
        <w:t xml:space="preserve"> </w:t>
      </w:r>
      <w:r>
        <w:rPr>
          <w:sz w:val="18"/>
          <w:szCs w:val="18"/>
        </w:rPr>
        <w:t>is the Kazakhstan Government web</w:t>
      </w:r>
      <w:r w:rsidRPr="00903EEC">
        <w:rPr>
          <w:sz w:val="18"/>
          <w:szCs w:val="18"/>
        </w:rPr>
        <w:t xml:space="preserve">site for electronic </w:t>
      </w:r>
      <w:r>
        <w:rPr>
          <w:sz w:val="18"/>
          <w:szCs w:val="18"/>
        </w:rPr>
        <w:t>S</w:t>
      </w:r>
      <w:r w:rsidRPr="00903EEC">
        <w:rPr>
          <w:sz w:val="18"/>
          <w:szCs w:val="18"/>
        </w:rPr>
        <w:t>tate procurement</w:t>
      </w:r>
      <w:r>
        <w:rPr>
          <w:sz w:val="18"/>
          <w:szCs w:val="18"/>
        </w:rPr>
        <w:t>.</w:t>
      </w:r>
    </w:p>
  </w:footnote>
  <w:footnote w:id="9">
    <w:p w14:paraId="089FFF2A" w14:textId="77777777" w:rsidR="00947669" w:rsidRPr="00084391" w:rsidRDefault="00947669" w:rsidP="00A520EB">
      <w:pPr>
        <w:jc w:val="both"/>
        <w:rPr>
          <w:color w:val="000000"/>
          <w:sz w:val="18"/>
          <w:szCs w:val="18"/>
        </w:rPr>
      </w:pPr>
      <w:r w:rsidRPr="00732126">
        <w:rPr>
          <w:rStyle w:val="af"/>
          <w:sz w:val="18"/>
          <w:szCs w:val="18"/>
        </w:rPr>
        <w:footnoteRef/>
      </w:r>
      <w:r w:rsidRPr="00732126">
        <w:rPr>
          <w:sz w:val="18"/>
          <w:szCs w:val="18"/>
        </w:rPr>
        <w:t xml:space="preserve"> </w:t>
      </w:r>
      <w:r w:rsidRPr="00084391">
        <w:rPr>
          <w:color w:val="000000"/>
          <w:sz w:val="18"/>
          <w:szCs w:val="18"/>
        </w:rPr>
        <w:t xml:space="preserve">Kalmyrzaev, B. (2020). </w:t>
      </w:r>
      <w:r w:rsidRPr="00084391">
        <w:rPr>
          <w:i/>
          <w:color w:val="000000"/>
          <w:sz w:val="18"/>
          <w:szCs w:val="18"/>
        </w:rPr>
        <w:t>Optimization of HIV Laboratory Diagnostics in the Republic of Kazakhstan.</w:t>
      </w:r>
      <w:r w:rsidRPr="00084391">
        <w:rPr>
          <w:color w:val="000000"/>
          <w:sz w:val="18"/>
          <w:szCs w:val="18"/>
        </w:rPr>
        <w:t xml:space="preserve"> Almaty: US Centers for Diseases Control (CDC) in Central Asia.</w:t>
      </w:r>
    </w:p>
  </w:footnote>
  <w:footnote w:id="10">
    <w:p w14:paraId="3749DA6F" w14:textId="66F23C4E" w:rsidR="00947669" w:rsidRPr="00183C77" w:rsidRDefault="00947669">
      <w:pPr>
        <w:pStyle w:val="ad"/>
        <w:rPr>
          <w:sz w:val="18"/>
          <w:szCs w:val="18"/>
        </w:rPr>
      </w:pPr>
      <w:r w:rsidRPr="00183C77">
        <w:rPr>
          <w:rStyle w:val="af"/>
          <w:sz w:val="18"/>
          <w:szCs w:val="18"/>
        </w:rPr>
        <w:footnoteRef/>
      </w:r>
      <w:r w:rsidRPr="00183C77">
        <w:rPr>
          <w:sz w:val="18"/>
          <w:szCs w:val="18"/>
        </w:rPr>
        <w:t xml:space="preserve"> https://egov.kz/cms/en/digital-kazakhstan</w:t>
      </w:r>
    </w:p>
  </w:footnote>
  <w:footnote w:id="11">
    <w:p w14:paraId="267D99AD" w14:textId="77777777" w:rsidR="00947669" w:rsidRPr="00D96DFD" w:rsidRDefault="00947669" w:rsidP="00EF2B94">
      <w:pPr>
        <w:pStyle w:val="ad"/>
        <w:rPr>
          <w:sz w:val="18"/>
          <w:szCs w:val="18"/>
        </w:rPr>
      </w:pPr>
      <w:r w:rsidRPr="00D96DFD">
        <w:rPr>
          <w:rStyle w:val="af"/>
          <w:sz w:val="18"/>
          <w:szCs w:val="18"/>
        </w:rPr>
        <w:footnoteRef/>
      </w:r>
      <w:r w:rsidRPr="00D96DFD">
        <w:rPr>
          <w:sz w:val="18"/>
          <w:szCs w:val="18"/>
        </w:rPr>
        <w:t xml:space="preserve"> For details, refer </w:t>
      </w:r>
      <w:r w:rsidRPr="004B2F72">
        <w:rPr>
          <w:sz w:val="18"/>
          <w:szCs w:val="18"/>
        </w:rPr>
        <w:t>to Attachment 4: “Prevention</w:t>
      </w:r>
      <w:r w:rsidRPr="00D96DFD">
        <w:rPr>
          <w:sz w:val="18"/>
          <w:szCs w:val="18"/>
        </w:rPr>
        <w:t xml:space="preserve"> work among MSM in the Republic of Kazakhstan”</w:t>
      </w:r>
    </w:p>
  </w:footnote>
  <w:footnote w:id="12">
    <w:p w14:paraId="0C2DCA72" w14:textId="50A72775" w:rsidR="00947669" w:rsidRPr="00A701A3" w:rsidRDefault="00947669">
      <w:pPr>
        <w:pStyle w:val="ad"/>
        <w:rPr>
          <w:sz w:val="18"/>
          <w:szCs w:val="18"/>
        </w:rPr>
      </w:pPr>
      <w:r w:rsidRPr="00A701A3">
        <w:rPr>
          <w:rStyle w:val="af"/>
          <w:sz w:val="18"/>
          <w:szCs w:val="18"/>
        </w:rPr>
        <w:footnoteRef/>
      </w:r>
      <w:r w:rsidRPr="00A701A3">
        <w:rPr>
          <w:sz w:val="18"/>
          <w:szCs w:val="18"/>
        </w:rPr>
        <w:t xml:space="preserve"> </w:t>
      </w:r>
      <w:hyperlink r:id="rId3" w:tgtFrame="_blank" w:history="1">
        <w:r w:rsidRPr="00A701A3">
          <w:rPr>
            <w:rStyle w:val="af9"/>
            <w:rFonts w:cs="Arial"/>
            <w:sz w:val="18"/>
            <w:szCs w:val="18"/>
          </w:rPr>
          <w:t>http://optimamodel.com/pubs/Kazakhstan_2020.pdf</w:t>
        </w:r>
      </w:hyperlink>
      <w:r w:rsidRPr="00A701A3">
        <w:rPr>
          <w:rFonts w:cs="Arial"/>
          <w:sz w:val="18"/>
          <w:szCs w:val="18"/>
        </w:rPr>
        <w:t xml:space="preserve">  </w:t>
      </w:r>
    </w:p>
  </w:footnote>
  <w:footnote w:id="13">
    <w:p w14:paraId="269A5140" w14:textId="5EDD7980" w:rsidR="00947669" w:rsidRDefault="00947669">
      <w:pPr>
        <w:pStyle w:val="ad"/>
      </w:pPr>
      <w:r>
        <w:rPr>
          <w:rStyle w:val="af"/>
        </w:rPr>
        <w:footnoteRef/>
      </w:r>
      <w:r>
        <w:t xml:space="preserve"> </w:t>
      </w:r>
      <w:r w:rsidRPr="004407F0">
        <w:t>An updated implementation arrangement map is mandatory if the program</w:t>
      </w:r>
      <w:r>
        <w:t>me</w:t>
      </w:r>
      <w:r w:rsidRPr="004407F0">
        <w:t xml:space="preserve"> is continuing with the same PR(s). In cases where the PR is changing, the implementation arrangement map may be submitted at the grant-making stage.</w:t>
      </w:r>
    </w:p>
  </w:footnote>
  <w:footnote w:id="14">
    <w:p w14:paraId="6E662F01" w14:textId="33AC9C5D" w:rsidR="00947669" w:rsidRDefault="00947669">
      <w:pPr>
        <w:pStyle w:val="ad"/>
      </w:pPr>
      <w:r>
        <w:rPr>
          <w:rStyle w:val="af"/>
        </w:rPr>
        <w:footnoteRef/>
      </w:r>
      <w:r>
        <w:t xml:space="preserve"> </w:t>
      </w:r>
      <w:r>
        <w:rPr>
          <w:rFonts w:asciiTheme="minorHAnsi" w:hAnsiTheme="minorHAnsi" w:cstheme="minorHAnsi"/>
          <w:iCs/>
        </w:rPr>
        <w:t>N</w:t>
      </w:r>
      <w:r w:rsidRPr="005C32A6">
        <w:rPr>
          <w:rFonts w:asciiTheme="minorHAnsi" w:hAnsiTheme="minorHAnsi" w:cstheme="minorHAnsi"/>
          <w:iCs/>
        </w:rPr>
        <w:t>ote that information derived from the supporting documentation provided in response to the questions below, including information on funding landscape or domestic commitments, may be made publicly available by the Global Fund</w:t>
      </w:r>
      <w:r w:rsidRPr="005C32A6">
        <w:rPr>
          <w:rFonts w:asciiTheme="minorHAnsi" w:hAnsiTheme="minorHAnsi" w:cstheme="minorHAnsi"/>
        </w:rPr>
        <w:t>.</w:t>
      </w:r>
    </w:p>
  </w:footnote>
  <w:footnote w:id="15">
    <w:p w14:paraId="45EF064A" w14:textId="00BD7EFF" w:rsidR="00947669" w:rsidRPr="00903EEC" w:rsidRDefault="00947669" w:rsidP="00903EEC">
      <w:pPr>
        <w:spacing w:after="0" w:line="240" w:lineRule="auto"/>
        <w:rPr>
          <w:sz w:val="18"/>
          <w:szCs w:val="18"/>
        </w:rPr>
      </w:pPr>
      <w:r w:rsidRPr="00903EEC">
        <w:rPr>
          <w:rStyle w:val="af"/>
          <w:sz w:val="18"/>
          <w:szCs w:val="18"/>
        </w:rPr>
        <w:footnoteRef/>
      </w:r>
      <w:r w:rsidRPr="00903EEC">
        <w:rPr>
          <w:sz w:val="18"/>
          <w:szCs w:val="18"/>
        </w:rPr>
        <w:t xml:space="preserve"> </w:t>
      </w:r>
      <w:hyperlink r:id="rId4" w:tgtFrame="_blank" w:history="1">
        <w:r w:rsidRPr="00903EEC">
          <w:rPr>
            <w:rStyle w:val="af9"/>
            <w:sz w:val="18"/>
            <w:szCs w:val="18"/>
          </w:rPr>
          <w:t>https://goszakup.gov.kz/</w:t>
        </w:r>
      </w:hyperlink>
      <w:r w:rsidRPr="00903EEC">
        <w:rPr>
          <w:sz w:val="18"/>
          <w:szCs w:val="18"/>
        </w:rPr>
        <w:t xml:space="preserve"> </w:t>
      </w:r>
      <w:r>
        <w:rPr>
          <w:sz w:val="18"/>
          <w:szCs w:val="18"/>
        </w:rPr>
        <w:t>is the Kazakhstan Government web</w:t>
      </w:r>
      <w:r w:rsidRPr="00903EEC">
        <w:rPr>
          <w:sz w:val="18"/>
          <w:szCs w:val="18"/>
        </w:rPr>
        <w:t xml:space="preserve">site for electronic </w:t>
      </w:r>
      <w:r>
        <w:rPr>
          <w:sz w:val="18"/>
          <w:szCs w:val="18"/>
        </w:rPr>
        <w:t>S</w:t>
      </w:r>
      <w:r w:rsidRPr="00903EEC">
        <w:rPr>
          <w:sz w:val="18"/>
          <w:szCs w:val="18"/>
        </w:rPr>
        <w:t>tate procurement</w:t>
      </w:r>
      <w:r>
        <w:rPr>
          <w:sz w:val="18"/>
          <w:szCs w:val="18"/>
        </w:rPr>
        <w:t>.</w:t>
      </w:r>
    </w:p>
  </w:footnote>
  <w:footnote w:id="16">
    <w:p w14:paraId="5024CEE5" w14:textId="77777777" w:rsidR="00947669" w:rsidRPr="000149B6" w:rsidRDefault="00947669" w:rsidP="009A2B0A">
      <w:pPr>
        <w:pStyle w:val="ad"/>
        <w:rPr>
          <w:sz w:val="18"/>
          <w:szCs w:val="18"/>
        </w:rPr>
      </w:pPr>
      <w:r w:rsidRPr="000149B6">
        <w:rPr>
          <w:rStyle w:val="af"/>
          <w:sz w:val="18"/>
          <w:szCs w:val="18"/>
        </w:rPr>
        <w:footnoteRef/>
      </w:r>
      <w:r w:rsidRPr="000149B6">
        <w:rPr>
          <w:sz w:val="18"/>
          <w:szCs w:val="18"/>
        </w:rPr>
        <w:t xml:space="preserve"> https://egov.kz/cms/en/articles/health_care/osms</w:t>
      </w:r>
    </w:p>
  </w:footnote>
  <w:footnote w:id="17">
    <w:p w14:paraId="798B0F71" w14:textId="7E170DE7" w:rsidR="00947669" w:rsidRDefault="00947669" w:rsidP="008A7F7E">
      <w:pPr>
        <w:pStyle w:val="ad"/>
      </w:pPr>
      <w:r>
        <w:rPr>
          <w:rStyle w:val="af"/>
        </w:rPr>
        <w:footnoteRef/>
      </w:r>
      <w:r>
        <w:t xml:space="preserve"> </w:t>
      </w:r>
      <w:r w:rsidRPr="00B74DAA">
        <w:t>An updated implementation arrangement map is mandatory if the program</w:t>
      </w:r>
      <w:r>
        <w:t>me</w:t>
      </w:r>
      <w:r w:rsidRPr="00B74DAA">
        <w:t xml:space="preserve"> is continuing with the same PR(s). In cases where the PR is changing, the implementation arrangement map may be submitted at the grant-making stage.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FAAB3" w14:textId="77777777" w:rsidR="00947669" w:rsidRDefault="0094766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9F76" w14:textId="77777777" w:rsidR="00947669" w:rsidRDefault="0094766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F260" w14:textId="77777777" w:rsidR="00947669" w:rsidRDefault="009476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6A59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CD1048"/>
    <w:multiLevelType w:val="multilevel"/>
    <w:tmpl w:val="BA98EFB4"/>
    <w:lvl w:ilvl="0">
      <w:start w:val="1"/>
      <w:numFmt w:val="decimal"/>
      <w:lvlText w:val="%1"/>
      <w:lvlJc w:val="left"/>
      <w:pPr>
        <w:ind w:left="360" w:hanging="360"/>
      </w:pPr>
      <w:rPr>
        <w:rFonts w:hint="default"/>
      </w:rPr>
    </w:lvl>
    <w:lvl w:ilvl="1">
      <w:start w:val="1"/>
      <w:numFmt w:val="decimal"/>
      <w:lvlText w:val="%1.%2"/>
      <w:lvlJc w:val="left"/>
      <w:pPr>
        <w:ind w:left="488" w:hanging="360"/>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464" w:hanging="144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BCB13BD"/>
    <w:multiLevelType w:val="multilevel"/>
    <w:tmpl w:val="F3FEEB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4344584"/>
    <w:multiLevelType w:val="hybridMultilevel"/>
    <w:tmpl w:val="A15AA8C6"/>
    <w:lvl w:ilvl="0" w:tplc="CAEAFEDA">
      <w:start w:val="1"/>
      <w:numFmt w:val="lowerLetter"/>
      <w:lvlText w:val="%1)"/>
      <w:lvlJc w:val="left"/>
      <w:pPr>
        <w:ind w:left="1080" w:hanging="360"/>
      </w:pPr>
      <w:rPr>
        <w:rFonts w:eastAsia="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576D6B"/>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FB05B5"/>
    <w:multiLevelType w:val="multilevel"/>
    <w:tmpl w:val="42F06EBE"/>
    <w:lvl w:ilvl="0">
      <w:start w:val="8"/>
      <w:numFmt w:val="decimal"/>
      <w:lvlText w:val="%1"/>
      <w:lvlJc w:val="left"/>
      <w:pPr>
        <w:ind w:left="360" w:hanging="360"/>
      </w:pPr>
      <w:rPr>
        <w:rFonts w:hint="default"/>
        <w:b/>
        <w:i/>
      </w:rPr>
    </w:lvl>
    <w:lvl w:ilvl="1">
      <w:start w:val="1"/>
      <w:numFmt w:val="decimal"/>
      <w:lvlText w:val="%1.%2"/>
      <w:lvlJc w:val="left"/>
      <w:pPr>
        <w:ind w:left="772" w:hanging="360"/>
      </w:pPr>
      <w:rPr>
        <w:rFonts w:hint="default"/>
        <w:b/>
        <w:i/>
      </w:rPr>
    </w:lvl>
    <w:lvl w:ilvl="2">
      <w:start w:val="1"/>
      <w:numFmt w:val="decimal"/>
      <w:lvlText w:val="%1.%2.%3"/>
      <w:lvlJc w:val="left"/>
      <w:pPr>
        <w:ind w:left="1544" w:hanging="720"/>
      </w:pPr>
      <w:rPr>
        <w:rFonts w:hint="default"/>
        <w:b/>
        <w:i/>
      </w:rPr>
    </w:lvl>
    <w:lvl w:ilvl="3">
      <w:start w:val="1"/>
      <w:numFmt w:val="decimal"/>
      <w:lvlText w:val="%1.%2.%3.%4"/>
      <w:lvlJc w:val="left"/>
      <w:pPr>
        <w:ind w:left="1956" w:hanging="720"/>
      </w:pPr>
      <w:rPr>
        <w:rFonts w:hint="default"/>
        <w:b/>
        <w:i/>
      </w:rPr>
    </w:lvl>
    <w:lvl w:ilvl="4">
      <w:start w:val="1"/>
      <w:numFmt w:val="decimal"/>
      <w:lvlText w:val="%1.%2.%3.%4.%5"/>
      <w:lvlJc w:val="left"/>
      <w:pPr>
        <w:ind w:left="2728" w:hanging="1080"/>
      </w:pPr>
      <w:rPr>
        <w:rFonts w:hint="default"/>
        <w:b/>
        <w:i/>
      </w:rPr>
    </w:lvl>
    <w:lvl w:ilvl="5">
      <w:start w:val="1"/>
      <w:numFmt w:val="decimal"/>
      <w:lvlText w:val="%1.%2.%3.%4.%5.%6"/>
      <w:lvlJc w:val="left"/>
      <w:pPr>
        <w:ind w:left="3140" w:hanging="1080"/>
      </w:pPr>
      <w:rPr>
        <w:rFonts w:hint="default"/>
        <w:b/>
        <w:i/>
      </w:rPr>
    </w:lvl>
    <w:lvl w:ilvl="6">
      <w:start w:val="1"/>
      <w:numFmt w:val="decimal"/>
      <w:lvlText w:val="%1.%2.%3.%4.%5.%6.%7"/>
      <w:lvlJc w:val="left"/>
      <w:pPr>
        <w:ind w:left="3912" w:hanging="1440"/>
      </w:pPr>
      <w:rPr>
        <w:rFonts w:hint="default"/>
        <w:b/>
        <w:i/>
      </w:rPr>
    </w:lvl>
    <w:lvl w:ilvl="7">
      <w:start w:val="1"/>
      <w:numFmt w:val="decimal"/>
      <w:lvlText w:val="%1.%2.%3.%4.%5.%6.%7.%8"/>
      <w:lvlJc w:val="left"/>
      <w:pPr>
        <w:ind w:left="4324" w:hanging="1440"/>
      </w:pPr>
      <w:rPr>
        <w:rFonts w:hint="default"/>
        <w:b/>
        <w:i/>
      </w:rPr>
    </w:lvl>
    <w:lvl w:ilvl="8">
      <w:start w:val="1"/>
      <w:numFmt w:val="decimal"/>
      <w:lvlText w:val="%1.%2.%3.%4.%5.%6.%7.%8.%9"/>
      <w:lvlJc w:val="left"/>
      <w:pPr>
        <w:ind w:left="5096" w:hanging="1800"/>
      </w:pPr>
      <w:rPr>
        <w:rFonts w:hint="default"/>
        <w:b/>
        <w:i/>
      </w:rPr>
    </w:lvl>
  </w:abstractNum>
  <w:abstractNum w:abstractNumId="16" w15:restartNumberingAfterBreak="0">
    <w:nsid w:val="19C724D4"/>
    <w:multiLevelType w:val="multilevel"/>
    <w:tmpl w:val="3DC642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9F4FFA"/>
    <w:multiLevelType w:val="hybridMultilevel"/>
    <w:tmpl w:val="0D06F5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4705F0"/>
    <w:multiLevelType w:val="hybridMultilevel"/>
    <w:tmpl w:val="1A9C56DA"/>
    <w:lvl w:ilvl="0" w:tplc="ACEEDC9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B3175E"/>
    <w:multiLevelType w:val="hybridMultilevel"/>
    <w:tmpl w:val="A00EA896"/>
    <w:lvl w:ilvl="0" w:tplc="2416AFB2">
      <w:start w:val="1"/>
      <w:numFmt w:val="bullet"/>
      <w:lvlText w:val=""/>
      <w:lvlJc w:val="left"/>
      <w:pPr>
        <w:ind w:left="720" w:hanging="360"/>
      </w:pPr>
      <w:rPr>
        <w:rFonts w:ascii="Symbol" w:eastAsia="Times New Roman" w:hAnsi="Symbol" w:cs="Arial" w:hint="default"/>
      </w:rPr>
    </w:lvl>
    <w:lvl w:ilvl="1" w:tplc="0E4E3000">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57E2B"/>
    <w:multiLevelType w:val="hybridMultilevel"/>
    <w:tmpl w:val="C724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A56146"/>
    <w:multiLevelType w:val="multilevel"/>
    <w:tmpl w:val="A91AF7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B3C5A3D"/>
    <w:multiLevelType w:val="multilevel"/>
    <w:tmpl w:val="7200E4CE"/>
    <w:styleLink w:val="NumHeadingsLst"/>
    <w:lvl w:ilvl="0">
      <w:start w:val="1"/>
      <w:numFmt w:val="decimal"/>
      <w:pStyle w:val="1"/>
      <w:lvlText w:val="%1."/>
      <w:lvlJc w:val="left"/>
      <w:pPr>
        <w:ind w:left="567" w:hanging="567"/>
      </w:pPr>
      <w:rPr>
        <w:rFonts w:hint="default"/>
      </w:rPr>
    </w:lvl>
    <w:lvl w:ilvl="1">
      <w:start w:val="1"/>
      <w:numFmt w:val="decimal"/>
      <w:pStyle w:val="21"/>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3" w15:restartNumberingAfterBreak="0">
    <w:nsid w:val="2B7D1220"/>
    <w:multiLevelType w:val="hybridMultilevel"/>
    <w:tmpl w:val="FCECA728"/>
    <w:lvl w:ilvl="0" w:tplc="ACEEDC9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75FE1"/>
    <w:multiLevelType w:val="hybridMultilevel"/>
    <w:tmpl w:val="95B6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D55C6"/>
    <w:multiLevelType w:val="multilevel"/>
    <w:tmpl w:val="A82ADF72"/>
    <w:lvl w:ilvl="0">
      <w:start w:val="9"/>
      <w:numFmt w:val="decimal"/>
      <w:lvlText w:val="%1"/>
      <w:lvlJc w:val="left"/>
      <w:pPr>
        <w:ind w:left="360" w:hanging="360"/>
      </w:pPr>
      <w:rPr>
        <w:rFonts w:hint="default"/>
      </w:rPr>
    </w:lvl>
    <w:lvl w:ilvl="1">
      <w:start w:val="1"/>
      <w:numFmt w:val="decimal"/>
      <w:lvlText w:val="%1.%2"/>
      <w:lvlJc w:val="left"/>
      <w:pPr>
        <w:ind w:left="772" w:hanging="36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27"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8" w15:restartNumberingAfterBreak="0">
    <w:nsid w:val="4BA54E07"/>
    <w:multiLevelType w:val="hybridMultilevel"/>
    <w:tmpl w:val="9D7659C4"/>
    <w:lvl w:ilvl="0" w:tplc="01325238">
      <w:start w:val="202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A3CC0"/>
    <w:multiLevelType w:val="multilevel"/>
    <w:tmpl w:val="6FEE89FE"/>
    <w:lvl w:ilvl="0">
      <w:start w:val="8"/>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0" w15:restartNumberingAfterBreak="0">
    <w:nsid w:val="4E5C6861"/>
    <w:multiLevelType w:val="multilevel"/>
    <w:tmpl w:val="74264D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CF31C0"/>
    <w:multiLevelType w:val="multilevel"/>
    <w:tmpl w:val="17A0D06E"/>
    <w:numStyleLink w:val="NumbListAlpha"/>
  </w:abstractNum>
  <w:abstractNum w:abstractNumId="32" w15:restartNumberingAfterBreak="0">
    <w:nsid w:val="503F59F8"/>
    <w:multiLevelType w:val="multilevel"/>
    <w:tmpl w:val="4EB86F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952110"/>
    <w:multiLevelType w:val="hybridMultilevel"/>
    <w:tmpl w:val="098236E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05C98"/>
    <w:multiLevelType w:val="hybridMultilevel"/>
    <w:tmpl w:val="79063E5C"/>
    <w:lvl w:ilvl="0" w:tplc="A4FE25AC">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9A54657"/>
    <w:multiLevelType w:val="multilevel"/>
    <w:tmpl w:val="5E426906"/>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6" w15:restartNumberingAfterBreak="0">
    <w:nsid w:val="59F004EB"/>
    <w:multiLevelType w:val="hybridMultilevel"/>
    <w:tmpl w:val="AA54CED6"/>
    <w:lvl w:ilvl="0" w:tplc="ACEEDC9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81F4F"/>
    <w:multiLevelType w:val="hybridMultilevel"/>
    <w:tmpl w:val="4A54F538"/>
    <w:lvl w:ilvl="0" w:tplc="C0E80D58">
      <w:start w:val="1"/>
      <w:numFmt w:val="lowerLetter"/>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9F540F"/>
    <w:multiLevelType w:val="hybridMultilevel"/>
    <w:tmpl w:val="1E32C9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243B3"/>
    <w:multiLevelType w:val="hybridMultilevel"/>
    <w:tmpl w:val="E10AC052"/>
    <w:lvl w:ilvl="0" w:tplc="ACEEDC9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F60DF0"/>
    <w:multiLevelType w:val="hybridMultilevel"/>
    <w:tmpl w:val="AF4458C2"/>
    <w:lvl w:ilvl="0" w:tplc="AAC85DB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60AD6"/>
    <w:multiLevelType w:val="hybridMultilevel"/>
    <w:tmpl w:val="2D987EEA"/>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644D1E"/>
    <w:multiLevelType w:val="multilevel"/>
    <w:tmpl w:val="5C56C6A0"/>
    <w:lvl w:ilvl="0">
      <w:start w:val="6"/>
      <w:numFmt w:val="decimal"/>
      <w:lvlText w:val="%1"/>
      <w:lvlJc w:val="left"/>
      <w:pPr>
        <w:ind w:left="360" w:hanging="360"/>
      </w:pPr>
      <w:rPr>
        <w:rFonts w:hint="default"/>
      </w:rPr>
    </w:lvl>
    <w:lvl w:ilvl="1">
      <w:start w:val="1"/>
      <w:numFmt w:val="decimal"/>
      <w:lvlText w:val="%1.%2"/>
      <w:lvlJc w:val="left"/>
      <w:pPr>
        <w:ind w:left="772" w:hanging="36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44" w15:restartNumberingAfterBreak="0">
    <w:nsid w:val="75FD36A8"/>
    <w:multiLevelType w:val="multilevel"/>
    <w:tmpl w:val="342CF664"/>
    <w:lvl w:ilvl="0">
      <w:start w:val="8"/>
      <w:numFmt w:val="decimal"/>
      <w:lvlText w:val="%1"/>
      <w:lvlJc w:val="left"/>
      <w:pPr>
        <w:ind w:left="360" w:hanging="360"/>
      </w:pPr>
      <w:rPr>
        <w:rFonts w:hint="default"/>
      </w:rPr>
    </w:lvl>
    <w:lvl w:ilvl="1">
      <w:start w:val="1"/>
      <w:numFmt w:val="decimal"/>
      <w:lvlText w:val="%1.%2"/>
      <w:lvlJc w:val="left"/>
      <w:pPr>
        <w:ind w:left="772" w:hanging="36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45" w15:restartNumberingAfterBreak="0">
    <w:nsid w:val="79B61B18"/>
    <w:multiLevelType w:val="hybridMultilevel"/>
    <w:tmpl w:val="2C96C5D0"/>
    <w:lvl w:ilvl="0" w:tplc="A35807A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7"/>
  </w:num>
  <w:num w:numId="13">
    <w:abstractNumId w:val="22"/>
  </w:num>
  <w:num w:numId="14">
    <w:abstractNumId w:val="31"/>
  </w:num>
  <w:num w:numId="15">
    <w:abstractNumId w:val="24"/>
  </w:num>
  <w:num w:numId="16">
    <w:abstractNumId w:val="38"/>
  </w:num>
  <w:num w:numId="17">
    <w:abstractNumId w:val="14"/>
  </w:num>
  <w:num w:numId="18">
    <w:abstractNumId w:val="22"/>
    <w:lvlOverride w:ilvl="0">
      <w:lvl w:ilvl="0">
        <w:start w:val="1"/>
        <w:numFmt w:val="decimal"/>
        <w:pStyle w:val="1"/>
        <w:lvlText w:val="%1."/>
        <w:lvlJc w:val="left"/>
        <w:pPr>
          <w:ind w:left="567" w:hanging="567"/>
        </w:pPr>
        <w:rPr>
          <w:rFonts w:hint="default"/>
        </w:rPr>
      </w:lvl>
    </w:lvlOverride>
    <w:lvlOverride w:ilvl="1">
      <w:lvl w:ilvl="1">
        <w:start w:val="1"/>
        <w:numFmt w:val="decimal"/>
        <w:pStyle w:val="21"/>
        <w:lvlText w:val="%1.%2"/>
        <w:lvlJc w:val="left"/>
        <w:pPr>
          <w:ind w:left="567" w:hanging="567"/>
        </w:pPr>
        <w:rPr>
          <w:rFonts w:hint="default"/>
          <w:b/>
          <w:color w:val="auto"/>
        </w:rPr>
      </w:lvl>
    </w:lvlOverride>
    <w:lvlOverride w:ilvl="2">
      <w:lvl w:ilvl="2">
        <w:start w:val="1"/>
        <w:numFmt w:val="none"/>
        <w:lvlText w:val=""/>
        <w:lvlJc w:val="left"/>
        <w:pPr>
          <w:ind w:left="567" w:firstLine="0"/>
        </w:pPr>
        <w:rPr>
          <w:rFonts w:hint="default"/>
        </w:rPr>
      </w:lvl>
    </w:lvlOverride>
    <w:lvlOverride w:ilvl="3">
      <w:lvl w:ilvl="3">
        <w:start w:val="1"/>
        <w:numFmt w:val="none"/>
        <w:lvlText w:val=""/>
        <w:lvlJc w:val="left"/>
        <w:pPr>
          <w:ind w:left="567" w:firstLine="0"/>
        </w:pPr>
        <w:rPr>
          <w:rFonts w:hint="default"/>
        </w:rPr>
      </w:lvl>
    </w:lvlOverride>
    <w:lvlOverride w:ilvl="4">
      <w:lvl w:ilvl="4">
        <w:start w:val="1"/>
        <w:numFmt w:val="none"/>
        <w:lvlText w:val=""/>
        <w:lvlJc w:val="left"/>
        <w:pPr>
          <w:ind w:left="567" w:firstLine="0"/>
        </w:pPr>
        <w:rPr>
          <w:rFonts w:hint="default"/>
        </w:rPr>
      </w:lvl>
    </w:lvlOverride>
    <w:lvlOverride w:ilvl="5">
      <w:lvl w:ilvl="5">
        <w:start w:val="1"/>
        <w:numFmt w:val="none"/>
        <w:lvlText w:val=""/>
        <w:lvlJc w:val="left"/>
        <w:pPr>
          <w:ind w:left="567" w:firstLine="0"/>
        </w:pPr>
        <w:rPr>
          <w:rFonts w:hint="default"/>
        </w:rPr>
      </w:lvl>
    </w:lvlOverride>
    <w:lvlOverride w:ilvl="6">
      <w:lvl w:ilvl="6">
        <w:start w:val="1"/>
        <w:numFmt w:val="none"/>
        <w:lvlText w:val=""/>
        <w:lvlJc w:val="left"/>
        <w:pPr>
          <w:ind w:left="567" w:firstLine="0"/>
        </w:pPr>
        <w:rPr>
          <w:rFonts w:hint="default"/>
        </w:rPr>
      </w:lvl>
    </w:lvlOverride>
    <w:lvlOverride w:ilvl="7">
      <w:lvl w:ilvl="7">
        <w:start w:val="1"/>
        <w:numFmt w:val="none"/>
        <w:lvlText w:val=""/>
        <w:lvlJc w:val="left"/>
        <w:pPr>
          <w:ind w:left="567" w:firstLine="0"/>
        </w:pPr>
        <w:rPr>
          <w:rFonts w:hint="default"/>
        </w:rPr>
      </w:lvl>
    </w:lvlOverride>
    <w:lvlOverride w:ilvl="8">
      <w:lvl w:ilvl="8">
        <w:start w:val="1"/>
        <w:numFmt w:val="none"/>
        <w:lvlText w:val=""/>
        <w:lvlJc w:val="left"/>
        <w:pPr>
          <w:ind w:left="567" w:firstLine="0"/>
        </w:pPr>
        <w:rPr>
          <w:rFonts w:hint="default"/>
        </w:rPr>
      </w:lvl>
    </w:lvlOverride>
  </w:num>
  <w:num w:numId="19">
    <w:abstractNumId w:val="13"/>
  </w:num>
  <w:num w:numId="20">
    <w:abstractNumId w:val="17"/>
  </w:num>
  <w:num w:numId="21">
    <w:abstractNumId w:val="42"/>
  </w:num>
  <w:num w:numId="22">
    <w:abstractNumId w:val="37"/>
  </w:num>
  <w:num w:numId="23">
    <w:abstractNumId w:val="33"/>
  </w:num>
  <w:num w:numId="24">
    <w:abstractNumId w:val="39"/>
  </w:num>
  <w:num w:numId="25">
    <w:abstractNumId w:val="10"/>
  </w:num>
  <w:num w:numId="26">
    <w:abstractNumId w:val="16"/>
  </w:num>
  <w:num w:numId="27">
    <w:abstractNumId w:val="32"/>
  </w:num>
  <w:num w:numId="28">
    <w:abstractNumId w:val="30"/>
  </w:num>
  <w:num w:numId="29">
    <w:abstractNumId w:val="35"/>
  </w:num>
  <w:num w:numId="30">
    <w:abstractNumId w:val="43"/>
  </w:num>
  <w:num w:numId="31">
    <w:abstractNumId w:val="12"/>
  </w:num>
  <w:num w:numId="32">
    <w:abstractNumId w:val="44"/>
  </w:num>
  <w:num w:numId="33">
    <w:abstractNumId w:val="26"/>
  </w:num>
  <w:num w:numId="34">
    <w:abstractNumId w:val="45"/>
  </w:num>
  <w:num w:numId="35">
    <w:abstractNumId w:val="19"/>
  </w:num>
  <w:num w:numId="36">
    <w:abstractNumId w:val="20"/>
  </w:num>
  <w:num w:numId="37">
    <w:abstractNumId w:val="34"/>
  </w:num>
  <w:num w:numId="38">
    <w:abstractNumId w:val="18"/>
  </w:num>
  <w:num w:numId="39">
    <w:abstractNumId w:val="40"/>
  </w:num>
  <w:num w:numId="40">
    <w:abstractNumId w:val="36"/>
  </w:num>
  <w:num w:numId="41">
    <w:abstractNumId w:val="23"/>
  </w:num>
  <w:num w:numId="42">
    <w:abstractNumId w:val="28"/>
  </w:num>
  <w:num w:numId="43">
    <w:abstractNumId w:val="41"/>
  </w:num>
  <w:num w:numId="44">
    <w:abstractNumId w:val="25"/>
  </w:num>
  <w:num w:numId="45">
    <w:abstractNumId w:val="21"/>
  </w:num>
  <w:num w:numId="46">
    <w:abstractNumId w:val="15"/>
  </w:num>
  <w:num w:numId="47">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1706"/>
    <w:rsid w:val="000028BC"/>
    <w:rsid w:val="0000563C"/>
    <w:rsid w:val="0000591B"/>
    <w:rsid w:val="00006641"/>
    <w:rsid w:val="000067A2"/>
    <w:rsid w:val="000067AC"/>
    <w:rsid w:val="000072BD"/>
    <w:rsid w:val="0000768D"/>
    <w:rsid w:val="00010133"/>
    <w:rsid w:val="000115A3"/>
    <w:rsid w:val="00011D89"/>
    <w:rsid w:val="00012782"/>
    <w:rsid w:val="000159AA"/>
    <w:rsid w:val="00015D01"/>
    <w:rsid w:val="00017D73"/>
    <w:rsid w:val="00021A9D"/>
    <w:rsid w:val="000226A7"/>
    <w:rsid w:val="000242DD"/>
    <w:rsid w:val="00024539"/>
    <w:rsid w:val="000248A7"/>
    <w:rsid w:val="00024DFE"/>
    <w:rsid w:val="000260D9"/>
    <w:rsid w:val="00026B43"/>
    <w:rsid w:val="00027195"/>
    <w:rsid w:val="00027D89"/>
    <w:rsid w:val="0003091C"/>
    <w:rsid w:val="00030AF5"/>
    <w:rsid w:val="000319DB"/>
    <w:rsid w:val="00031C81"/>
    <w:rsid w:val="00034984"/>
    <w:rsid w:val="00034B94"/>
    <w:rsid w:val="00036281"/>
    <w:rsid w:val="00037366"/>
    <w:rsid w:val="000406D8"/>
    <w:rsid w:val="0004163B"/>
    <w:rsid w:val="00042951"/>
    <w:rsid w:val="0004343B"/>
    <w:rsid w:val="000451C3"/>
    <w:rsid w:val="0004628A"/>
    <w:rsid w:val="0004771A"/>
    <w:rsid w:val="00047C4F"/>
    <w:rsid w:val="00050B7A"/>
    <w:rsid w:val="00051F85"/>
    <w:rsid w:val="000548BE"/>
    <w:rsid w:val="00054E5F"/>
    <w:rsid w:val="0005594F"/>
    <w:rsid w:val="00057F5E"/>
    <w:rsid w:val="00061E43"/>
    <w:rsid w:val="000646CB"/>
    <w:rsid w:val="000646CF"/>
    <w:rsid w:val="00067799"/>
    <w:rsid w:val="0007006A"/>
    <w:rsid w:val="00071C82"/>
    <w:rsid w:val="00074C16"/>
    <w:rsid w:val="00074D0F"/>
    <w:rsid w:val="00075919"/>
    <w:rsid w:val="000836C4"/>
    <w:rsid w:val="0008377E"/>
    <w:rsid w:val="00084391"/>
    <w:rsid w:val="00084682"/>
    <w:rsid w:val="00084740"/>
    <w:rsid w:val="00084B50"/>
    <w:rsid w:val="00084DA1"/>
    <w:rsid w:val="00086F5F"/>
    <w:rsid w:val="000875D3"/>
    <w:rsid w:val="00090FBB"/>
    <w:rsid w:val="0009143A"/>
    <w:rsid w:val="00097CE9"/>
    <w:rsid w:val="000A0528"/>
    <w:rsid w:val="000A1C57"/>
    <w:rsid w:val="000A1E31"/>
    <w:rsid w:val="000A36D9"/>
    <w:rsid w:val="000B08B4"/>
    <w:rsid w:val="000B0A5E"/>
    <w:rsid w:val="000B13A7"/>
    <w:rsid w:val="000B1D4C"/>
    <w:rsid w:val="000B7775"/>
    <w:rsid w:val="000C1578"/>
    <w:rsid w:val="000C1B68"/>
    <w:rsid w:val="000C2337"/>
    <w:rsid w:val="000C377B"/>
    <w:rsid w:val="000C647F"/>
    <w:rsid w:val="000C67B1"/>
    <w:rsid w:val="000C7216"/>
    <w:rsid w:val="000D09CC"/>
    <w:rsid w:val="000D1F27"/>
    <w:rsid w:val="000E0ACF"/>
    <w:rsid w:val="000E523B"/>
    <w:rsid w:val="000E5723"/>
    <w:rsid w:val="000E5BFC"/>
    <w:rsid w:val="000E5FAE"/>
    <w:rsid w:val="000F5BD5"/>
    <w:rsid w:val="000F67E9"/>
    <w:rsid w:val="000F6A72"/>
    <w:rsid w:val="000F73C7"/>
    <w:rsid w:val="000F7531"/>
    <w:rsid w:val="001036AD"/>
    <w:rsid w:val="00107610"/>
    <w:rsid w:val="0010764D"/>
    <w:rsid w:val="00110820"/>
    <w:rsid w:val="00112420"/>
    <w:rsid w:val="001139B3"/>
    <w:rsid w:val="001169B8"/>
    <w:rsid w:val="00116C51"/>
    <w:rsid w:val="00120293"/>
    <w:rsid w:val="0012123D"/>
    <w:rsid w:val="0012247F"/>
    <w:rsid w:val="00123056"/>
    <w:rsid w:val="00125656"/>
    <w:rsid w:val="00127A68"/>
    <w:rsid w:val="00130056"/>
    <w:rsid w:val="00133325"/>
    <w:rsid w:val="001341CB"/>
    <w:rsid w:val="0013691B"/>
    <w:rsid w:val="00137E99"/>
    <w:rsid w:val="00140479"/>
    <w:rsid w:val="001433CF"/>
    <w:rsid w:val="001453A0"/>
    <w:rsid w:val="00146C73"/>
    <w:rsid w:val="00147B3D"/>
    <w:rsid w:val="00150DC6"/>
    <w:rsid w:val="0015163B"/>
    <w:rsid w:val="00151A03"/>
    <w:rsid w:val="00153CB0"/>
    <w:rsid w:val="001540E2"/>
    <w:rsid w:val="0015735D"/>
    <w:rsid w:val="00161D5F"/>
    <w:rsid w:val="0016617F"/>
    <w:rsid w:val="001671CA"/>
    <w:rsid w:val="00167B99"/>
    <w:rsid w:val="00171C99"/>
    <w:rsid w:val="00172EDE"/>
    <w:rsid w:val="00172FE9"/>
    <w:rsid w:val="00173817"/>
    <w:rsid w:val="00183C77"/>
    <w:rsid w:val="0018412C"/>
    <w:rsid w:val="00185B42"/>
    <w:rsid w:val="001934BF"/>
    <w:rsid w:val="00197244"/>
    <w:rsid w:val="00197AE7"/>
    <w:rsid w:val="001B23C0"/>
    <w:rsid w:val="001B3039"/>
    <w:rsid w:val="001B60CA"/>
    <w:rsid w:val="001B7717"/>
    <w:rsid w:val="001C0EA4"/>
    <w:rsid w:val="001C18F0"/>
    <w:rsid w:val="001C2071"/>
    <w:rsid w:val="001C2843"/>
    <w:rsid w:val="001C3DD1"/>
    <w:rsid w:val="001D32A9"/>
    <w:rsid w:val="001D3332"/>
    <w:rsid w:val="001D3A6E"/>
    <w:rsid w:val="001D4608"/>
    <w:rsid w:val="001D57CE"/>
    <w:rsid w:val="001D59A3"/>
    <w:rsid w:val="001D5CEF"/>
    <w:rsid w:val="001E1ADF"/>
    <w:rsid w:val="001E3073"/>
    <w:rsid w:val="001E4991"/>
    <w:rsid w:val="001E4A1C"/>
    <w:rsid w:val="001E6199"/>
    <w:rsid w:val="001E7E83"/>
    <w:rsid w:val="001F0028"/>
    <w:rsid w:val="001F37FE"/>
    <w:rsid w:val="001F5209"/>
    <w:rsid w:val="001F7F10"/>
    <w:rsid w:val="0020615A"/>
    <w:rsid w:val="0020776D"/>
    <w:rsid w:val="00216759"/>
    <w:rsid w:val="00216B27"/>
    <w:rsid w:val="00216E9D"/>
    <w:rsid w:val="002213C8"/>
    <w:rsid w:val="00222640"/>
    <w:rsid w:val="00223071"/>
    <w:rsid w:val="00223AF0"/>
    <w:rsid w:val="00227187"/>
    <w:rsid w:val="002304AF"/>
    <w:rsid w:val="00231E8E"/>
    <w:rsid w:val="00231EFE"/>
    <w:rsid w:val="00234A06"/>
    <w:rsid w:val="0023526D"/>
    <w:rsid w:val="00235CA2"/>
    <w:rsid w:val="002367FB"/>
    <w:rsid w:val="00236822"/>
    <w:rsid w:val="0024020E"/>
    <w:rsid w:val="00244EDC"/>
    <w:rsid w:val="00246A77"/>
    <w:rsid w:val="00246FF8"/>
    <w:rsid w:val="002505ED"/>
    <w:rsid w:val="00251CA7"/>
    <w:rsid w:val="00252084"/>
    <w:rsid w:val="0025351E"/>
    <w:rsid w:val="00253763"/>
    <w:rsid w:val="00254D2F"/>
    <w:rsid w:val="00260CDF"/>
    <w:rsid w:val="002624AD"/>
    <w:rsid w:val="00262C41"/>
    <w:rsid w:val="00263E19"/>
    <w:rsid w:val="002641A4"/>
    <w:rsid w:val="00266AEC"/>
    <w:rsid w:val="0027020E"/>
    <w:rsid w:val="0027072D"/>
    <w:rsid w:val="0027163F"/>
    <w:rsid w:val="00272EF2"/>
    <w:rsid w:val="00276608"/>
    <w:rsid w:val="00282E1F"/>
    <w:rsid w:val="00284808"/>
    <w:rsid w:val="00287825"/>
    <w:rsid w:val="00291BF7"/>
    <w:rsid w:val="00292058"/>
    <w:rsid w:val="00292879"/>
    <w:rsid w:val="002938CB"/>
    <w:rsid w:val="00294A62"/>
    <w:rsid w:val="0029796C"/>
    <w:rsid w:val="002A4684"/>
    <w:rsid w:val="002A4889"/>
    <w:rsid w:val="002A534F"/>
    <w:rsid w:val="002A57E1"/>
    <w:rsid w:val="002A5B89"/>
    <w:rsid w:val="002A72DB"/>
    <w:rsid w:val="002A7635"/>
    <w:rsid w:val="002B07E9"/>
    <w:rsid w:val="002B0F35"/>
    <w:rsid w:val="002B6A8E"/>
    <w:rsid w:val="002B6CAD"/>
    <w:rsid w:val="002C037F"/>
    <w:rsid w:val="002C35FE"/>
    <w:rsid w:val="002C3CEB"/>
    <w:rsid w:val="002C6C4B"/>
    <w:rsid w:val="002D1349"/>
    <w:rsid w:val="002D1981"/>
    <w:rsid w:val="002D2118"/>
    <w:rsid w:val="002D5537"/>
    <w:rsid w:val="002D5A90"/>
    <w:rsid w:val="002E0025"/>
    <w:rsid w:val="002E1987"/>
    <w:rsid w:val="002E2B51"/>
    <w:rsid w:val="002E449B"/>
    <w:rsid w:val="002E4929"/>
    <w:rsid w:val="002E5629"/>
    <w:rsid w:val="002E6104"/>
    <w:rsid w:val="002F23B7"/>
    <w:rsid w:val="002F2F7C"/>
    <w:rsid w:val="002F5A38"/>
    <w:rsid w:val="003022B3"/>
    <w:rsid w:val="00303F18"/>
    <w:rsid w:val="00304EE8"/>
    <w:rsid w:val="00310BBB"/>
    <w:rsid w:val="003119C0"/>
    <w:rsid w:val="00311FEB"/>
    <w:rsid w:val="00312DA5"/>
    <w:rsid w:val="00314800"/>
    <w:rsid w:val="00315BCF"/>
    <w:rsid w:val="0031628B"/>
    <w:rsid w:val="00320498"/>
    <w:rsid w:val="00320FCB"/>
    <w:rsid w:val="00323DC8"/>
    <w:rsid w:val="0032424D"/>
    <w:rsid w:val="00325D20"/>
    <w:rsid w:val="00326A25"/>
    <w:rsid w:val="00326B65"/>
    <w:rsid w:val="003357C9"/>
    <w:rsid w:val="003357F9"/>
    <w:rsid w:val="00335EBE"/>
    <w:rsid w:val="00336BAE"/>
    <w:rsid w:val="003412E4"/>
    <w:rsid w:val="00342807"/>
    <w:rsid w:val="003436A3"/>
    <w:rsid w:val="00344AF1"/>
    <w:rsid w:val="00344D82"/>
    <w:rsid w:val="00347335"/>
    <w:rsid w:val="00347731"/>
    <w:rsid w:val="00350BF7"/>
    <w:rsid w:val="00361089"/>
    <w:rsid w:val="00364326"/>
    <w:rsid w:val="00365AB4"/>
    <w:rsid w:val="003669CF"/>
    <w:rsid w:val="00370741"/>
    <w:rsid w:val="00370743"/>
    <w:rsid w:val="0037258B"/>
    <w:rsid w:val="003728A7"/>
    <w:rsid w:val="00375F31"/>
    <w:rsid w:val="00376598"/>
    <w:rsid w:val="003766D8"/>
    <w:rsid w:val="00377AA9"/>
    <w:rsid w:val="003844E1"/>
    <w:rsid w:val="0038486D"/>
    <w:rsid w:val="003860E7"/>
    <w:rsid w:val="00390E9F"/>
    <w:rsid w:val="00395135"/>
    <w:rsid w:val="003959B5"/>
    <w:rsid w:val="00397B91"/>
    <w:rsid w:val="003A0F8A"/>
    <w:rsid w:val="003A11FB"/>
    <w:rsid w:val="003A13B6"/>
    <w:rsid w:val="003A1F32"/>
    <w:rsid w:val="003A4216"/>
    <w:rsid w:val="003A4972"/>
    <w:rsid w:val="003A5EB1"/>
    <w:rsid w:val="003A73EE"/>
    <w:rsid w:val="003A7A93"/>
    <w:rsid w:val="003B07C5"/>
    <w:rsid w:val="003B09C8"/>
    <w:rsid w:val="003B0FC7"/>
    <w:rsid w:val="003C4B9E"/>
    <w:rsid w:val="003C7B23"/>
    <w:rsid w:val="003C7F2F"/>
    <w:rsid w:val="003D046C"/>
    <w:rsid w:val="003D286E"/>
    <w:rsid w:val="003D4795"/>
    <w:rsid w:val="003D59BD"/>
    <w:rsid w:val="003D5D6D"/>
    <w:rsid w:val="003D70F4"/>
    <w:rsid w:val="003E03ED"/>
    <w:rsid w:val="003E430A"/>
    <w:rsid w:val="003F167F"/>
    <w:rsid w:val="003F2658"/>
    <w:rsid w:val="003F4F26"/>
    <w:rsid w:val="003F5814"/>
    <w:rsid w:val="00402870"/>
    <w:rsid w:val="00404876"/>
    <w:rsid w:val="00411A6F"/>
    <w:rsid w:val="00411CF4"/>
    <w:rsid w:val="00413649"/>
    <w:rsid w:val="00414164"/>
    <w:rsid w:val="0041443E"/>
    <w:rsid w:val="00414929"/>
    <w:rsid w:val="00416B90"/>
    <w:rsid w:val="0042079A"/>
    <w:rsid w:val="00421004"/>
    <w:rsid w:val="00421F21"/>
    <w:rsid w:val="00424341"/>
    <w:rsid w:val="00424998"/>
    <w:rsid w:val="00424BFA"/>
    <w:rsid w:val="00424E99"/>
    <w:rsid w:val="00425E08"/>
    <w:rsid w:val="00427041"/>
    <w:rsid w:val="00427207"/>
    <w:rsid w:val="004345DC"/>
    <w:rsid w:val="00434657"/>
    <w:rsid w:val="0043694A"/>
    <w:rsid w:val="00437DC3"/>
    <w:rsid w:val="004407F0"/>
    <w:rsid w:val="004431F4"/>
    <w:rsid w:val="00443C2F"/>
    <w:rsid w:val="004456B9"/>
    <w:rsid w:val="004473B4"/>
    <w:rsid w:val="00451CBE"/>
    <w:rsid w:val="00452AEB"/>
    <w:rsid w:val="00454E8A"/>
    <w:rsid w:val="004551D2"/>
    <w:rsid w:val="004557FC"/>
    <w:rsid w:val="00457496"/>
    <w:rsid w:val="004619FD"/>
    <w:rsid w:val="00463442"/>
    <w:rsid w:val="00464F55"/>
    <w:rsid w:val="0046524A"/>
    <w:rsid w:val="00465E44"/>
    <w:rsid w:val="00467E2A"/>
    <w:rsid w:val="0047497A"/>
    <w:rsid w:val="00475BE9"/>
    <w:rsid w:val="00477290"/>
    <w:rsid w:val="004807FB"/>
    <w:rsid w:val="0048356F"/>
    <w:rsid w:val="00483849"/>
    <w:rsid w:val="00485066"/>
    <w:rsid w:val="004872E2"/>
    <w:rsid w:val="00490205"/>
    <w:rsid w:val="00490EE8"/>
    <w:rsid w:val="004920C9"/>
    <w:rsid w:val="004930C3"/>
    <w:rsid w:val="0049321C"/>
    <w:rsid w:val="00493A7E"/>
    <w:rsid w:val="004A4818"/>
    <w:rsid w:val="004A4D49"/>
    <w:rsid w:val="004A6F68"/>
    <w:rsid w:val="004A6F93"/>
    <w:rsid w:val="004A776B"/>
    <w:rsid w:val="004B2F72"/>
    <w:rsid w:val="004B3CB6"/>
    <w:rsid w:val="004B3FDC"/>
    <w:rsid w:val="004B4E06"/>
    <w:rsid w:val="004B508C"/>
    <w:rsid w:val="004B50E0"/>
    <w:rsid w:val="004B567E"/>
    <w:rsid w:val="004C102C"/>
    <w:rsid w:val="004C12DA"/>
    <w:rsid w:val="004C41DA"/>
    <w:rsid w:val="004C432C"/>
    <w:rsid w:val="004C6416"/>
    <w:rsid w:val="004D4827"/>
    <w:rsid w:val="004D6615"/>
    <w:rsid w:val="004E0779"/>
    <w:rsid w:val="004F034A"/>
    <w:rsid w:val="004F3DBF"/>
    <w:rsid w:val="004F6EC0"/>
    <w:rsid w:val="004F750D"/>
    <w:rsid w:val="005028D9"/>
    <w:rsid w:val="00502DC9"/>
    <w:rsid w:val="005108F8"/>
    <w:rsid w:val="00512463"/>
    <w:rsid w:val="00516717"/>
    <w:rsid w:val="005232AC"/>
    <w:rsid w:val="0052762D"/>
    <w:rsid w:val="005279BC"/>
    <w:rsid w:val="00527ED3"/>
    <w:rsid w:val="005327C3"/>
    <w:rsid w:val="00534629"/>
    <w:rsid w:val="0053784E"/>
    <w:rsid w:val="005422B6"/>
    <w:rsid w:val="0054635E"/>
    <w:rsid w:val="00553C95"/>
    <w:rsid w:val="0055523F"/>
    <w:rsid w:val="005578E8"/>
    <w:rsid w:val="00560074"/>
    <w:rsid w:val="00560096"/>
    <w:rsid w:val="00560302"/>
    <w:rsid w:val="0056127B"/>
    <w:rsid w:val="00561767"/>
    <w:rsid w:val="00562B3D"/>
    <w:rsid w:val="00562FAF"/>
    <w:rsid w:val="005652CB"/>
    <w:rsid w:val="005659E0"/>
    <w:rsid w:val="0057138C"/>
    <w:rsid w:val="005718C6"/>
    <w:rsid w:val="00572198"/>
    <w:rsid w:val="005735F0"/>
    <w:rsid w:val="00573A39"/>
    <w:rsid w:val="005761C7"/>
    <w:rsid w:val="00576254"/>
    <w:rsid w:val="00576E18"/>
    <w:rsid w:val="00582570"/>
    <w:rsid w:val="00582BFD"/>
    <w:rsid w:val="00583F61"/>
    <w:rsid w:val="0058415B"/>
    <w:rsid w:val="00587CE2"/>
    <w:rsid w:val="005937E4"/>
    <w:rsid w:val="0059448C"/>
    <w:rsid w:val="0059661D"/>
    <w:rsid w:val="005A0F9E"/>
    <w:rsid w:val="005A1602"/>
    <w:rsid w:val="005A1EDA"/>
    <w:rsid w:val="005A524E"/>
    <w:rsid w:val="005A5DED"/>
    <w:rsid w:val="005A7DE2"/>
    <w:rsid w:val="005A7F49"/>
    <w:rsid w:val="005B03D1"/>
    <w:rsid w:val="005B21F7"/>
    <w:rsid w:val="005C0D0B"/>
    <w:rsid w:val="005C4EB8"/>
    <w:rsid w:val="005C6854"/>
    <w:rsid w:val="005D02D2"/>
    <w:rsid w:val="005D0D27"/>
    <w:rsid w:val="005D4524"/>
    <w:rsid w:val="005D63AE"/>
    <w:rsid w:val="005E00FF"/>
    <w:rsid w:val="005E0753"/>
    <w:rsid w:val="005E0AB3"/>
    <w:rsid w:val="005E0C64"/>
    <w:rsid w:val="005E180F"/>
    <w:rsid w:val="005E286B"/>
    <w:rsid w:val="005E2D19"/>
    <w:rsid w:val="005E5287"/>
    <w:rsid w:val="005E5FAA"/>
    <w:rsid w:val="005E6229"/>
    <w:rsid w:val="005E78AE"/>
    <w:rsid w:val="005F0694"/>
    <w:rsid w:val="005F3498"/>
    <w:rsid w:val="005F59C4"/>
    <w:rsid w:val="005F6938"/>
    <w:rsid w:val="005F6AEC"/>
    <w:rsid w:val="005F6D34"/>
    <w:rsid w:val="00600BA8"/>
    <w:rsid w:val="00602F2B"/>
    <w:rsid w:val="00604CBD"/>
    <w:rsid w:val="00606C49"/>
    <w:rsid w:val="00611DCB"/>
    <w:rsid w:val="00611DD1"/>
    <w:rsid w:val="00613892"/>
    <w:rsid w:val="00615FF6"/>
    <w:rsid w:val="00616566"/>
    <w:rsid w:val="0062460F"/>
    <w:rsid w:val="006253D6"/>
    <w:rsid w:val="00631023"/>
    <w:rsid w:val="006326F8"/>
    <w:rsid w:val="00633BBC"/>
    <w:rsid w:val="00633D5C"/>
    <w:rsid w:val="0063467F"/>
    <w:rsid w:val="006348D2"/>
    <w:rsid w:val="00634918"/>
    <w:rsid w:val="006364FF"/>
    <w:rsid w:val="00637448"/>
    <w:rsid w:val="00643CD3"/>
    <w:rsid w:val="00644ADF"/>
    <w:rsid w:val="00644CB7"/>
    <w:rsid w:val="0064521E"/>
    <w:rsid w:val="0064597B"/>
    <w:rsid w:val="00646029"/>
    <w:rsid w:val="00651751"/>
    <w:rsid w:val="006533BD"/>
    <w:rsid w:val="00653F4B"/>
    <w:rsid w:val="0066207C"/>
    <w:rsid w:val="00662FE7"/>
    <w:rsid w:val="00663D90"/>
    <w:rsid w:val="00664D00"/>
    <w:rsid w:val="00665428"/>
    <w:rsid w:val="00667DF0"/>
    <w:rsid w:val="006716DB"/>
    <w:rsid w:val="00671956"/>
    <w:rsid w:val="00673318"/>
    <w:rsid w:val="00673397"/>
    <w:rsid w:val="00673D5D"/>
    <w:rsid w:val="0067503A"/>
    <w:rsid w:val="00675C66"/>
    <w:rsid w:val="00676D05"/>
    <w:rsid w:val="006807B4"/>
    <w:rsid w:val="006810B2"/>
    <w:rsid w:val="00681ABF"/>
    <w:rsid w:val="00681D31"/>
    <w:rsid w:val="00682891"/>
    <w:rsid w:val="006874CA"/>
    <w:rsid w:val="00687B1C"/>
    <w:rsid w:val="006909BE"/>
    <w:rsid w:val="00690D28"/>
    <w:rsid w:val="0069127F"/>
    <w:rsid w:val="006915AE"/>
    <w:rsid w:val="00691D78"/>
    <w:rsid w:val="006928DF"/>
    <w:rsid w:val="006931FE"/>
    <w:rsid w:val="00693ED1"/>
    <w:rsid w:val="006965D1"/>
    <w:rsid w:val="00697814"/>
    <w:rsid w:val="006A22EC"/>
    <w:rsid w:val="006A560E"/>
    <w:rsid w:val="006B086D"/>
    <w:rsid w:val="006B2063"/>
    <w:rsid w:val="006B2D46"/>
    <w:rsid w:val="006B5836"/>
    <w:rsid w:val="006B7844"/>
    <w:rsid w:val="006B7D63"/>
    <w:rsid w:val="006C0196"/>
    <w:rsid w:val="006C10E7"/>
    <w:rsid w:val="006C1655"/>
    <w:rsid w:val="006C44BF"/>
    <w:rsid w:val="006C7912"/>
    <w:rsid w:val="006D1A08"/>
    <w:rsid w:val="006D361E"/>
    <w:rsid w:val="006D65C9"/>
    <w:rsid w:val="006D7841"/>
    <w:rsid w:val="006D7C30"/>
    <w:rsid w:val="006D7EAB"/>
    <w:rsid w:val="006E0942"/>
    <w:rsid w:val="006E3D54"/>
    <w:rsid w:val="006E6875"/>
    <w:rsid w:val="006F2316"/>
    <w:rsid w:val="006F4286"/>
    <w:rsid w:val="006F6F93"/>
    <w:rsid w:val="00700E91"/>
    <w:rsid w:val="00701406"/>
    <w:rsid w:val="0070200C"/>
    <w:rsid w:val="007043C7"/>
    <w:rsid w:val="007047B3"/>
    <w:rsid w:val="0070650E"/>
    <w:rsid w:val="00710A12"/>
    <w:rsid w:val="00711EC6"/>
    <w:rsid w:val="00712158"/>
    <w:rsid w:val="0071223E"/>
    <w:rsid w:val="0071454E"/>
    <w:rsid w:val="00716FBE"/>
    <w:rsid w:val="00720B79"/>
    <w:rsid w:val="00723D34"/>
    <w:rsid w:val="00726D3C"/>
    <w:rsid w:val="00731A0B"/>
    <w:rsid w:val="007321CC"/>
    <w:rsid w:val="007364E8"/>
    <w:rsid w:val="007410E8"/>
    <w:rsid w:val="0074146F"/>
    <w:rsid w:val="007418FD"/>
    <w:rsid w:val="00741B1B"/>
    <w:rsid w:val="00745658"/>
    <w:rsid w:val="00745811"/>
    <w:rsid w:val="00754C4E"/>
    <w:rsid w:val="00756002"/>
    <w:rsid w:val="00756BA1"/>
    <w:rsid w:val="00756D32"/>
    <w:rsid w:val="0075707F"/>
    <w:rsid w:val="007575FE"/>
    <w:rsid w:val="00757FA6"/>
    <w:rsid w:val="00760AF4"/>
    <w:rsid w:val="00761E57"/>
    <w:rsid w:val="00761F4E"/>
    <w:rsid w:val="007629F9"/>
    <w:rsid w:val="00766593"/>
    <w:rsid w:val="0077192C"/>
    <w:rsid w:val="00773CAE"/>
    <w:rsid w:val="007744DC"/>
    <w:rsid w:val="00777F70"/>
    <w:rsid w:val="00781E75"/>
    <w:rsid w:val="007845DC"/>
    <w:rsid w:val="00784BC6"/>
    <w:rsid w:val="00786ABD"/>
    <w:rsid w:val="0078718D"/>
    <w:rsid w:val="00792674"/>
    <w:rsid w:val="00793FE2"/>
    <w:rsid w:val="00794501"/>
    <w:rsid w:val="00794CE6"/>
    <w:rsid w:val="00795EB5"/>
    <w:rsid w:val="0079713F"/>
    <w:rsid w:val="007A2B25"/>
    <w:rsid w:val="007A59CE"/>
    <w:rsid w:val="007A5D57"/>
    <w:rsid w:val="007B0D15"/>
    <w:rsid w:val="007B0E3B"/>
    <w:rsid w:val="007B19B4"/>
    <w:rsid w:val="007B392E"/>
    <w:rsid w:val="007B5DF7"/>
    <w:rsid w:val="007B655C"/>
    <w:rsid w:val="007B7739"/>
    <w:rsid w:val="007C0508"/>
    <w:rsid w:val="007C1690"/>
    <w:rsid w:val="007C1F34"/>
    <w:rsid w:val="007C3447"/>
    <w:rsid w:val="007C4BF4"/>
    <w:rsid w:val="007C72C8"/>
    <w:rsid w:val="007C7857"/>
    <w:rsid w:val="007E2786"/>
    <w:rsid w:val="007E6AF6"/>
    <w:rsid w:val="007F1274"/>
    <w:rsid w:val="007F25F3"/>
    <w:rsid w:val="007F4490"/>
    <w:rsid w:val="007F6CC2"/>
    <w:rsid w:val="007F71C3"/>
    <w:rsid w:val="00800CB5"/>
    <w:rsid w:val="00803993"/>
    <w:rsid w:val="00804414"/>
    <w:rsid w:val="0080478C"/>
    <w:rsid w:val="00805279"/>
    <w:rsid w:val="00806715"/>
    <w:rsid w:val="00810253"/>
    <w:rsid w:val="00810CCB"/>
    <w:rsid w:val="008129C4"/>
    <w:rsid w:val="00814031"/>
    <w:rsid w:val="008140B4"/>
    <w:rsid w:val="008164C3"/>
    <w:rsid w:val="00822540"/>
    <w:rsid w:val="00822D0E"/>
    <w:rsid w:val="00823A34"/>
    <w:rsid w:val="00823D91"/>
    <w:rsid w:val="00824D66"/>
    <w:rsid w:val="0084008F"/>
    <w:rsid w:val="00844368"/>
    <w:rsid w:val="00850A36"/>
    <w:rsid w:val="00850EEC"/>
    <w:rsid w:val="00850EF3"/>
    <w:rsid w:val="008514B0"/>
    <w:rsid w:val="00851B7F"/>
    <w:rsid w:val="00851B9B"/>
    <w:rsid w:val="00854A89"/>
    <w:rsid w:val="0085577A"/>
    <w:rsid w:val="00861A97"/>
    <w:rsid w:val="00862145"/>
    <w:rsid w:val="0086619D"/>
    <w:rsid w:val="008664A6"/>
    <w:rsid w:val="00866542"/>
    <w:rsid w:val="00870131"/>
    <w:rsid w:val="0087373E"/>
    <w:rsid w:val="0087616F"/>
    <w:rsid w:val="00882DC3"/>
    <w:rsid w:val="00883367"/>
    <w:rsid w:val="00890D60"/>
    <w:rsid w:val="0089117B"/>
    <w:rsid w:val="008A09CF"/>
    <w:rsid w:val="008A1B85"/>
    <w:rsid w:val="008A2F57"/>
    <w:rsid w:val="008A3F1D"/>
    <w:rsid w:val="008A6551"/>
    <w:rsid w:val="008A6AEA"/>
    <w:rsid w:val="008A7F7E"/>
    <w:rsid w:val="008B2146"/>
    <w:rsid w:val="008B3BF5"/>
    <w:rsid w:val="008B4877"/>
    <w:rsid w:val="008B4CC6"/>
    <w:rsid w:val="008B73A7"/>
    <w:rsid w:val="008B741B"/>
    <w:rsid w:val="008C0962"/>
    <w:rsid w:val="008C21CF"/>
    <w:rsid w:val="008C36D5"/>
    <w:rsid w:val="008C47E6"/>
    <w:rsid w:val="008C6FDA"/>
    <w:rsid w:val="008D0B88"/>
    <w:rsid w:val="008D3585"/>
    <w:rsid w:val="008D5732"/>
    <w:rsid w:val="008E15AF"/>
    <w:rsid w:val="008E1B1A"/>
    <w:rsid w:val="008E3EC3"/>
    <w:rsid w:val="008F6709"/>
    <w:rsid w:val="008F6B82"/>
    <w:rsid w:val="0090077F"/>
    <w:rsid w:val="009026A1"/>
    <w:rsid w:val="00903EEC"/>
    <w:rsid w:val="00904DE4"/>
    <w:rsid w:val="0090611F"/>
    <w:rsid w:val="00906417"/>
    <w:rsid w:val="00906555"/>
    <w:rsid w:val="00906A0C"/>
    <w:rsid w:val="00907DE9"/>
    <w:rsid w:val="00910134"/>
    <w:rsid w:val="009102CC"/>
    <w:rsid w:val="00910C10"/>
    <w:rsid w:val="009111BE"/>
    <w:rsid w:val="00914387"/>
    <w:rsid w:val="009203E3"/>
    <w:rsid w:val="00923161"/>
    <w:rsid w:val="009241BE"/>
    <w:rsid w:val="00924D24"/>
    <w:rsid w:val="00930929"/>
    <w:rsid w:val="00931AFF"/>
    <w:rsid w:val="00934262"/>
    <w:rsid w:val="0093555B"/>
    <w:rsid w:val="00935B0E"/>
    <w:rsid w:val="00935E35"/>
    <w:rsid w:val="00940386"/>
    <w:rsid w:val="00940594"/>
    <w:rsid w:val="0094167C"/>
    <w:rsid w:val="0094486C"/>
    <w:rsid w:val="00945196"/>
    <w:rsid w:val="00946163"/>
    <w:rsid w:val="00947669"/>
    <w:rsid w:val="00950025"/>
    <w:rsid w:val="0095076C"/>
    <w:rsid w:val="00953F18"/>
    <w:rsid w:val="00957A4D"/>
    <w:rsid w:val="0096146C"/>
    <w:rsid w:val="0096410B"/>
    <w:rsid w:val="00971DBD"/>
    <w:rsid w:val="00974A35"/>
    <w:rsid w:val="00975618"/>
    <w:rsid w:val="00975D66"/>
    <w:rsid w:val="0097669A"/>
    <w:rsid w:val="00977B6E"/>
    <w:rsid w:val="00977CFF"/>
    <w:rsid w:val="009811D3"/>
    <w:rsid w:val="0098143C"/>
    <w:rsid w:val="00981CC8"/>
    <w:rsid w:val="009835CB"/>
    <w:rsid w:val="00983897"/>
    <w:rsid w:val="00985446"/>
    <w:rsid w:val="00985BF5"/>
    <w:rsid w:val="0098682A"/>
    <w:rsid w:val="009877E7"/>
    <w:rsid w:val="009906BE"/>
    <w:rsid w:val="00992B2A"/>
    <w:rsid w:val="009A1DC8"/>
    <w:rsid w:val="009A28E5"/>
    <w:rsid w:val="009A2B0A"/>
    <w:rsid w:val="009A3C69"/>
    <w:rsid w:val="009A63DB"/>
    <w:rsid w:val="009A6DE4"/>
    <w:rsid w:val="009B15D2"/>
    <w:rsid w:val="009B192C"/>
    <w:rsid w:val="009B1BDA"/>
    <w:rsid w:val="009B342D"/>
    <w:rsid w:val="009B4D07"/>
    <w:rsid w:val="009C1A68"/>
    <w:rsid w:val="009C515A"/>
    <w:rsid w:val="009C5BD1"/>
    <w:rsid w:val="009C63A7"/>
    <w:rsid w:val="009D32FF"/>
    <w:rsid w:val="009E6283"/>
    <w:rsid w:val="009F0C9D"/>
    <w:rsid w:val="009F1A4B"/>
    <w:rsid w:val="009F1F7D"/>
    <w:rsid w:val="009F3110"/>
    <w:rsid w:val="009F52F1"/>
    <w:rsid w:val="009F791F"/>
    <w:rsid w:val="00A0143F"/>
    <w:rsid w:val="00A03034"/>
    <w:rsid w:val="00A05C82"/>
    <w:rsid w:val="00A06BA5"/>
    <w:rsid w:val="00A10DAE"/>
    <w:rsid w:val="00A13A2F"/>
    <w:rsid w:val="00A13C52"/>
    <w:rsid w:val="00A14C13"/>
    <w:rsid w:val="00A16256"/>
    <w:rsid w:val="00A1688D"/>
    <w:rsid w:val="00A200CE"/>
    <w:rsid w:val="00A205F8"/>
    <w:rsid w:val="00A2473E"/>
    <w:rsid w:val="00A24EE3"/>
    <w:rsid w:val="00A271B7"/>
    <w:rsid w:val="00A31D44"/>
    <w:rsid w:val="00A33760"/>
    <w:rsid w:val="00A3464D"/>
    <w:rsid w:val="00A34937"/>
    <w:rsid w:val="00A372CB"/>
    <w:rsid w:val="00A375A9"/>
    <w:rsid w:val="00A40C93"/>
    <w:rsid w:val="00A425D8"/>
    <w:rsid w:val="00A42939"/>
    <w:rsid w:val="00A440AD"/>
    <w:rsid w:val="00A4492A"/>
    <w:rsid w:val="00A44B9A"/>
    <w:rsid w:val="00A45EC2"/>
    <w:rsid w:val="00A520EB"/>
    <w:rsid w:val="00A522BA"/>
    <w:rsid w:val="00A55015"/>
    <w:rsid w:val="00A55D45"/>
    <w:rsid w:val="00A57DC5"/>
    <w:rsid w:val="00A603C6"/>
    <w:rsid w:val="00A6327A"/>
    <w:rsid w:val="00A63B1A"/>
    <w:rsid w:val="00A6407D"/>
    <w:rsid w:val="00A64EE6"/>
    <w:rsid w:val="00A653F7"/>
    <w:rsid w:val="00A701A3"/>
    <w:rsid w:val="00A70C41"/>
    <w:rsid w:val="00A74F4C"/>
    <w:rsid w:val="00A757CB"/>
    <w:rsid w:val="00A76BD8"/>
    <w:rsid w:val="00A77418"/>
    <w:rsid w:val="00A77789"/>
    <w:rsid w:val="00A77CCB"/>
    <w:rsid w:val="00A80BD5"/>
    <w:rsid w:val="00A8175A"/>
    <w:rsid w:val="00A87B4A"/>
    <w:rsid w:val="00A905E1"/>
    <w:rsid w:val="00A9213B"/>
    <w:rsid w:val="00A932AB"/>
    <w:rsid w:val="00A95164"/>
    <w:rsid w:val="00AA1140"/>
    <w:rsid w:val="00AA1E00"/>
    <w:rsid w:val="00AA305F"/>
    <w:rsid w:val="00AA45C3"/>
    <w:rsid w:val="00AA6133"/>
    <w:rsid w:val="00AA64EC"/>
    <w:rsid w:val="00AA6D3B"/>
    <w:rsid w:val="00AB0657"/>
    <w:rsid w:val="00AB14A1"/>
    <w:rsid w:val="00AB6271"/>
    <w:rsid w:val="00AB6B00"/>
    <w:rsid w:val="00AC2B5D"/>
    <w:rsid w:val="00AC5EC3"/>
    <w:rsid w:val="00AC7E53"/>
    <w:rsid w:val="00AD08BB"/>
    <w:rsid w:val="00AD11AC"/>
    <w:rsid w:val="00AD161C"/>
    <w:rsid w:val="00AD189E"/>
    <w:rsid w:val="00AD2EFA"/>
    <w:rsid w:val="00AD32ED"/>
    <w:rsid w:val="00AD462A"/>
    <w:rsid w:val="00AD7466"/>
    <w:rsid w:val="00AD7D8D"/>
    <w:rsid w:val="00AE5048"/>
    <w:rsid w:val="00AE7A47"/>
    <w:rsid w:val="00AF0843"/>
    <w:rsid w:val="00AF191E"/>
    <w:rsid w:val="00AF19B0"/>
    <w:rsid w:val="00AF2473"/>
    <w:rsid w:val="00AF43A2"/>
    <w:rsid w:val="00AF708F"/>
    <w:rsid w:val="00B00258"/>
    <w:rsid w:val="00B045F2"/>
    <w:rsid w:val="00B05117"/>
    <w:rsid w:val="00B05C47"/>
    <w:rsid w:val="00B05D67"/>
    <w:rsid w:val="00B072B0"/>
    <w:rsid w:val="00B12D84"/>
    <w:rsid w:val="00B1659B"/>
    <w:rsid w:val="00B175AC"/>
    <w:rsid w:val="00B20664"/>
    <w:rsid w:val="00B2078C"/>
    <w:rsid w:val="00B20D45"/>
    <w:rsid w:val="00B22260"/>
    <w:rsid w:val="00B25E0F"/>
    <w:rsid w:val="00B266D3"/>
    <w:rsid w:val="00B27189"/>
    <w:rsid w:val="00B271DB"/>
    <w:rsid w:val="00B2724B"/>
    <w:rsid w:val="00B305C8"/>
    <w:rsid w:val="00B33A61"/>
    <w:rsid w:val="00B4096F"/>
    <w:rsid w:val="00B449E5"/>
    <w:rsid w:val="00B45357"/>
    <w:rsid w:val="00B501E9"/>
    <w:rsid w:val="00B51D27"/>
    <w:rsid w:val="00B52F3C"/>
    <w:rsid w:val="00B57683"/>
    <w:rsid w:val="00B60A27"/>
    <w:rsid w:val="00B60E99"/>
    <w:rsid w:val="00B63C35"/>
    <w:rsid w:val="00B6467A"/>
    <w:rsid w:val="00B64FBE"/>
    <w:rsid w:val="00B654E1"/>
    <w:rsid w:val="00B65B8B"/>
    <w:rsid w:val="00B677ED"/>
    <w:rsid w:val="00B71019"/>
    <w:rsid w:val="00B72728"/>
    <w:rsid w:val="00B72A56"/>
    <w:rsid w:val="00B7419A"/>
    <w:rsid w:val="00B74DAA"/>
    <w:rsid w:val="00B846B4"/>
    <w:rsid w:val="00B8511E"/>
    <w:rsid w:val="00B87E2A"/>
    <w:rsid w:val="00B94342"/>
    <w:rsid w:val="00B957DD"/>
    <w:rsid w:val="00B958CE"/>
    <w:rsid w:val="00B96C13"/>
    <w:rsid w:val="00B96D7B"/>
    <w:rsid w:val="00BA0F29"/>
    <w:rsid w:val="00BA263C"/>
    <w:rsid w:val="00BA2C95"/>
    <w:rsid w:val="00BA4B58"/>
    <w:rsid w:val="00BA5AD1"/>
    <w:rsid w:val="00BB476D"/>
    <w:rsid w:val="00BB6500"/>
    <w:rsid w:val="00BB7474"/>
    <w:rsid w:val="00BB77C6"/>
    <w:rsid w:val="00BB782B"/>
    <w:rsid w:val="00BC19AC"/>
    <w:rsid w:val="00BC55CC"/>
    <w:rsid w:val="00BC6637"/>
    <w:rsid w:val="00BC7B0F"/>
    <w:rsid w:val="00BD1700"/>
    <w:rsid w:val="00BD19BF"/>
    <w:rsid w:val="00BD3F9C"/>
    <w:rsid w:val="00BD50B8"/>
    <w:rsid w:val="00BD6B50"/>
    <w:rsid w:val="00BE0F0C"/>
    <w:rsid w:val="00BE1F11"/>
    <w:rsid w:val="00BE6DED"/>
    <w:rsid w:val="00BE7B4B"/>
    <w:rsid w:val="00BF1A33"/>
    <w:rsid w:val="00BF2372"/>
    <w:rsid w:val="00BF4BEE"/>
    <w:rsid w:val="00C011D1"/>
    <w:rsid w:val="00C039C2"/>
    <w:rsid w:val="00C04201"/>
    <w:rsid w:val="00C07F83"/>
    <w:rsid w:val="00C11323"/>
    <w:rsid w:val="00C11349"/>
    <w:rsid w:val="00C150AA"/>
    <w:rsid w:val="00C164E6"/>
    <w:rsid w:val="00C16F89"/>
    <w:rsid w:val="00C17647"/>
    <w:rsid w:val="00C20370"/>
    <w:rsid w:val="00C20860"/>
    <w:rsid w:val="00C24753"/>
    <w:rsid w:val="00C24EAA"/>
    <w:rsid w:val="00C25475"/>
    <w:rsid w:val="00C2573B"/>
    <w:rsid w:val="00C26026"/>
    <w:rsid w:val="00C26862"/>
    <w:rsid w:val="00C27AD4"/>
    <w:rsid w:val="00C30BD7"/>
    <w:rsid w:val="00C325A5"/>
    <w:rsid w:val="00C40A24"/>
    <w:rsid w:val="00C41214"/>
    <w:rsid w:val="00C42102"/>
    <w:rsid w:val="00C47397"/>
    <w:rsid w:val="00C50877"/>
    <w:rsid w:val="00C53A40"/>
    <w:rsid w:val="00C551FC"/>
    <w:rsid w:val="00C6157F"/>
    <w:rsid w:val="00C64B1E"/>
    <w:rsid w:val="00C65E50"/>
    <w:rsid w:val="00C66310"/>
    <w:rsid w:val="00C66623"/>
    <w:rsid w:val="00C711A3"/>
    <w:rsid w:val="00C71F67"/>
    <w:rsid w:val="00C75ACA"/>
    <w:rsid w:val="00C77620"/>
    <w:rsid w:val="00C81F99"/>
    <w:rsid w:val="00C82882"/>
    <w:rsid w:val="00C86B6A"/>
    <w:rsid w:val="00C90AD1"/>
    <w:rsid w:val="00C921BC"/>
    <w:rsid w:val="00C96EAB"/>
    <w:rsid w:val="00C96ED5"/>
    <w:rsid w:val="00CA1283"/>
    <w:rsid w:val="00CA1714"/>
    <w:rsid w:val="00CA4289"/>
    <w:rsid w:val="00CA47ED"/>
    <w:rsid w:val="00CA5409"/>
    <w:rsid w:val="00CA5885"/>
    <w:rsid w:val="00CA5FC1"/>
    <w:rsid w:val="00CA637C"/>
    <w:rsid w:val="00CA674F"/>
    <w:rsid w:val="00CA7D8E"/>
    <w:rsid w:val="00CB09AD"/>
    <w:rsid w:val="00CB1AC0"/>
    <w:rsid w:val="00CB23AA"/>
    <w:rsid w:val="00CB3645"/>
    <w:rsid w:val="00CB3BBB"/>
    <w:rsid w:val="00CB5977"/>
    <w:rsid w:val="00CB5F7B"/>
    <w:rsid w:val="00CB63FE"/>
    <w:rsid w:val="00CB6552"/>
    <w:rsid w:val="00CB6631"/>
    <w:rsid w:val="00CC11CD"/>
    <w:rsid w:val="00CC14C5"/>
    <w:rsid w:val="00CC2002"/>
    <w:rsid w:val="00CC3AB3"/>
    <w:rsid w:val="00CC5931"/>
    <w:rsid w:val="00CD0532"/>
    <w:rsid w:val="00CD0C20"/>
    <w:rsid w:val="00CD50F1"/>
    <w:rsid w:val="00CD5542"/>
    <w:rsid w:val="00CE65F1"/>
    <w:rsid w:val="00CE665B"/>
    <w:rsid w:val="00CF0506"/>
    <w:rsid w:val="00CF062C"/>
    <w:rsid w:val="00CF07E1"/>
    <w:rsid w:val="00CF0CF4"/>
    <w:rsid w:val="00CF198D"/>
    <w:rsid w:val="00CF3827"/>
    <w:rsid w:val="00D02C53"/>
    <w:rsid w:val="00D069DD"/>
    <w:rsid w:val="00D06ADA"/>
    <w:rsid w:val="00D07C5B"/>
    <w:rsid w:val="00D07D68"/>
    <w:rsid w:val="00D115BA"/>
    <w:rsid w:val="00D16FEC"/>
    <w:rsid w:val="00D17741"/>
    <w:rsid w:val="00D17D61"/>
    <w:rsid w:val="00D20451"/>
    <w:rsid w:val="00D2069F"/>
    <w:rsid w:val="00D21468"/>
    <w:rsid w:val="00D2174E"/>
    <w:rsid w:val="00D25CE0"/>
    <w:rsid w:val="00D26046"/>
    <w:rsid w:val="00D26FF7"/>
    <w:rsid w:val="00D276B4"/>
    <w:rsid w:val="00D30BFB"/>
    <w:rsid w:val="00D32057"/>
    <w:rsid w:val="00D33288"/>
    <w:rsid w:val="00D33D6D"/>
    <w:rsid w:val="00D36FDA"/>
    <w:rsid w:val="00D41C3E"/>
    <w:rsid w:val="00D42C6A"/>
    <w:rsid w:val="00D44D0D"/>
    <w:rsid w:val="00D45932"/>
    <w:rsid w:val="00D460C4"/>
    <w:rsid w:val="00D47C59"/>
    <w:rsid w:val="00D55974"/>
    <w:rsid w:val="00D63B62"/>
    <w:rsid w:val="00D63D93"/>
    <w:rsid w:val="00D642CC"/>
    <w:rsid w:val="00D64B3C"/>
    <w:rsid w:val="00D66BDA"/>
    <w:rsid w:val="00D74BD8"/>
    <w:rsid w:val="00D75120"/>
    <w:rsid w:val="00D77754"/>
    <w:rsid w:val="00D80307"/>
    <w:rsid w:val="00D833DB"/>
    <w:rsid w:val="00D840CF"/>
    <w:rsid w:val="00D8465B"/>
    <w:rsid w:val="00D87719"/>
    <w:rsid w:val="00D87F02"/>
    <w:rsid w:val="00D91ED7"/>
    <w:rsid w:val="00D9383C"/>
    <w:rsid w:val="00D94052"/>
    <w:rsid w:val="00D96E24"/>
    <w:rsid w:val="00DA0EEE"/>
    <w:rsid w:val="00DA28BD"/>
    <w:rsid w:val="00DA2DF7"/>
    <w:rsid w:val="00DA738C"/>
    <w:rsid w:val="00DA7F4C"/>
    <w:rsid w:val="00DB0A9B"/>
    <w:rsid w:val="00DB4BE6"/>
    <w:rsid w:val="00DB6F89"/>
    <w:rsid w:val="00DC16E3"/>
    <w:rsid w:val="00DC7BE1"/>
    <w:rsid w:val="00DD0920"/>
    <w:rsid w:val="00DD1D6F"/>
    <w:rsid w:val="00DD342D"/>
    <w:rsid w:val="00DD47EB"/>
    <w:rsid w:val="00DD7DAE"/>
    <w:rsid w:val="00DE02C6"/>
    <w:rsid w:val="00DE0B02"/>
    <w:rsid w:val="00DE552C"/>
    <w:rsid w:val="00DE5E60"/>
    <w:rsid w:val="00DE7A48"/>
    <w:rsid w:val="00DF075F"/>
    <w:rsid w:val="00DF07C1"/>
    <w:rsid w:val="00DF2C86"/>
    <w:rsid w:val="00DF3ABE"/>
    <w:rsid w:val="00DF447D"/>
    <w:rsid w:val="00E01403"/>
    <w:rsid w:val="00E0424F"/>
    <w:rsid w:val="00E05205"/>
    <w:rsid w:val="00E07DC9"/>
    <w:rsid w:val="00E10689"/>
    <w:rsid w:val="00E10ABB"/>
    <w:rsid w:val="00E10E17"/>
    <w:rsid w:val="00E145B6"/>
    <w:rsid w:val="00E15857"/>
    <w:rsid w:val="00E176A7"/>
    <w:rsid w:val="00E17D58"/>
    <w:rsid w:val="00E2072A"/>
    <w:rsid w:val="00E2077D"/>
    <w:rsid w:val="00E244B4"/>
    <w:rsid w:val="00E264A8"/>
    <w:rsid w:val="00E2715B"/>
    <w:rsid w:val="00E32F9C"/>
    <w:rsid w:val="00E35386"/>
    <w:rsid w:val="00E362B7"/>
    <w:rsid w:val="00E42F93"/>
    <w:rsid w:val="00E442A2"/>
    <w:rsid w:val="00E46296"/>
    <w:rsid w:val="00E46CA3"/>
    <w:rsid w:val="00E65784"/>
    <w:rsid w:val="00E74B67"/>
    <w:rsid w:val="00E772CA"/>
    <w:rsid w:val="00E773FA"/>
    <w:rsid w:val="00E809A7"/>
    <w:rsid w:val="00E80AE0"/>
    <w:rsid w:val="00E80D1B"/>
    <w:rsid w:val="00E83509"/>
    <w:rsid w:val="00E85706"/>
    <w:rsid w:val="00E860FD"/>
    <w:rsid w:val="00E92BDA"/>
    <w:rsid w:val="00E95AF6"/>
    <w:rsid w:val="00E9767B"/>
    <w:rsid w:val="00EA1162"/>
    <w:rsid w:val="00EA1625"/>
    <w:rsid w:val="00EA2920"/>
    <w:rsid w:val="00EA3BEB"/>
    <w:rsid w:val="00EA59D0"/>
    <w:rsid w:val="00EA65A4"/>
    <w:rsid w:val="00EA6921"/>
    <w:rsid w:val="00EA6E13"/>
    <w:rsid w:val="00EA75F4"/>
    <w:rsid w:val="00EB022F"/>
    <w:rsid w:val="00EB1E65"/>
    <w:rsid w:val="00EB2405"/>
    <w:rsid w:val="00EB284C"/>
    <w:rsid w:val="00EB2B68"/>
    <w:rsid w:val="00EB2BD5"/>
    <w:rsid w:val="00EB51A7"/>
    <w:rsid w:val="00EC0729"/>
    <w:rsid w:val="00EC2673"/>
    <w:rsid w:val="00EC4152"/>
    <w:rsid w:val="00ED09CA"/>
    <w:rsid w:val="00ED6136"/>
    <w:rsid w:val="00EE23FB"/>
    <w:rsid w:val="00EE2E56"/>
    <w:rsid w:val="00EE3670"/>
    <w:rsid w:val="00EF18B9"/>
    <w:rsid w:val="00EF18CE"/>
    <w:rsid w:val="00EF2B94"/>
    <w:rsid w:val="00EF3F7F"/>
    <w:rsid w:val="00EF5156"/>
    <w:rsid w:val="00EF524C"/>
    <w:rsid w:val="00EF69FD"/>
    <w:rsid w:val="00EF75D0"/>
    <w:rsid w:val="00F002F4"/>
    <w:rsid w:val="00F02373"/>
    <w:rsid w:val="00F02D8D"/>
    <w:rsid w:val="00F04AB2"/>
    <w:rsid w:val="00F05DD4"/>
    <w:rsid w:val="00F074E6"/>
    <w:rsid w:val="00F1127F"/>
    <w:rsid w:val="00F112AD"/>
    <w:rsid w:val="00F145ED"/>
    <w:rsid w:val="00F14779"/>
    <w:rsid w:val="00F14D52"/>
    <w:rsid w:val="00F21DC8"/>
    <w:rsid w:val="00F21FF6"/>
    <w:rsid w:val="00F2264F"/>
    <w:rsid w:val="00F22A1A"/>
    <w:rsid w:val="00F22DCB"/>
    <w:rsid w:val="00F25018"/>
    <w:rsid w:val="00F253A4"/>
    <w:rsid w:val="00F25713"/>
    <w:rsid w:val="00F268A0"/>
    <w:rsid w:val="00F279ED"/>
    <w:rsid w:val="00F34650"/>
    <w:rsid w:val="00F34F88"/>
    <w:rsid w:val="00F35300"/>
    <w:rsid w:val="00F35FFF"/>
    <w:rsid w:val="00F401B6"/>
    <w:rsid w:val="00F4260B"/>
    <w:rsid w:val="00F43401"/>
    <w:rsid w:val="00F46906"/>
    <w:rsid w:val="00F46B62"/>
    <w:rsid w:val="00F527CC"/>
    <w:rsid w:val="00F52D0D"/>
    <w:rsid w:val="00F5709E"/>
    <w:rsid w:val="00F5771E"/>
    <w:rsid w:val="00F602AE"/>
    <w:rsid w:val="00F60782"/>
    <w:rsid w:val="00F61CC0"/>
    <w:rsid w:val="00F62A97"/>
    <w:rsid w:val="00F63C52"/>
    <w:rsid w:val="00F6429D"/>
    <w:rsid w:val="00F6679D"/>
    <w:rsid w:val="00F710AC"/>
    <w:rsid w:val="00F737FD"/>
    <w:rsid w:val="00F73F07"/>
    <w:rsid w:val="00F76A50"/>
    <w:rsid w:val="00F835B9"/>
    <w:rsid w:val="00F84E3B"/>
    <w:rsid w:val="00F85686"/>
    <w:rsid w:val="00F86A2C"/>
    <w:rsid w:val="00F90F48"/>
    <w:rsid w:val="00F92959"/>
    <w:rsid w:val="00F94AE3"/>
    <w:rsid w:val="00F94B4C"/>
    <w:rsid w:val="00F9731E"/>
    <w:rsid w:val="00FA3C03"/>
    <w:rsid w:val="00FA3D5E"/>
    <w:rsid w:val="00FA4331"/>
    <w:rsid w:val="00FA6A3F"/>
    <w:rsid w:val="00FA73DE"/>
    <w:rsid w:val="00FB1373"/>
    <w:rsid w:val="00FB2A12"/>
    <w:rsid w:val="00FB3BE6"/>
    <w:rsid w:val="00FB43C4"/>
    <w:rsid w:val="00FB4D40"/>
    <w:rsid w:val="00FB5B1C"/>
    <w:rsid w:val="00FB7C99"/>
    <w:rsid w:val="00FC2250"/>
    <w:rsid w:val="00FC4648"/>
    <w:rsid w:val="00FD1D2C"/>
    <w:rsid w:val="00FD4536"/>
    <w:rsid w:val="00FE58D8"/>
    <w:rsid w:val="00FE5CDB"/>
    <w:rsid w:val="00FE60B8"/>
    <w:rsid w:val="00FE7521"/>
    <w:rsid w:val="00FE7E8D"/>
    <w:rsid w:val="00FF01F7"/>
    <w:rsid w:val="00FF0251"/>
    <w:rsid w:val="00FF02DB"/>
    <w:rsid w:val="00FF46A4"/>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9E2BB"/>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5"/>
    <w:qFormat/>
    <w:rsid w:val="00F527CC"/>
    <w:pPr>
      <w:spacing w:after="120" w:line="240" w:lineRule="atLeast"/>
    </w:pPr>
    <w:rPr>
      <w:lang w:val="en-US"/>
    </w:rPr>
  </w:style>
  <w:style w:type="paragraph" w:styleId="1">
    <w:name w:val="heading 1"/>
    <w:basedOn w:val="a2"/>
    <w:next w:val="a2"/>
    <w:link w:val="10"/>
    <w:uiPriority w:val="9"/>
    <w:qFormat/>
    <w:rsid w:val="00F527CC"/>
    <w:pPr>
      <w:keepNext/>
      <w:keepLines/>
      <w:numPr>
        <w:numId w:val="13"/>
      </w:numPr>
      <w:spacing w:before="260" w:after="1000" w:line="420" w:lineRule="atLeast"/>
      <w:outlineLvl w:val="0"/>
    </w:pPr>
    <w:rPr>
      <w:rFonts w:eastAsiaTheme="majorEastAsia" w:cs="Arial"/>
      <w:bCs/>
      <w:noProof/>
      <w:sz w:val="36"/>
      <w:szCs w:val="30"/>
    </w:rPr>
  </w:style>
  <w:style w:type="paragraph" w:styleId="21">
    <w:name w:val="heading 2"/>
    <w:basedOn w:val="a2"/>
    <w:next w:val="a2"/>
    <w:link w:val="22"/>
    <w:uiPriority w:val="9"/>
    <w:qFormat/>
    <w:rsid w:val="00F527CC"/>
    <w:pPr>
      <w:keepNext/>
      <w:keepLines/>
      <w:numPr>
        <w:ilvl w:val="1"/>
        <w:numId w:val="13"/>
      </w:numPr>
      <w:spacing w:before="260" w:after="220"/>
      <w:outlineLvl w:val="1"/>
    </w:pPr>
    <w:rPr>
      <w:rFonts w:eastAsiaTheme="majorEastAsia" w:cs="Arial"/>
      <w:b/>
      <w:bCs/>
      <w:noProof/>
    </w:rPr>
  </w:style>
  <w:style w:type="paragraph" w:styleId="31">
    <w:name w:val="heading 3"/>
    <w:basedOn w:val="a2"/>
    <w:next w:val="a2"/>
    <w:link w:val="32"/>
    <w:uiPriority w:val="9"/>
    <w:semiHidden/>
    <w:qFormat/>
    <w:rsid w:val="00F527CC"/>
    <w:pPr>
      <w:keepNext/>
      <w:keepLines/>
      <w:spacing w:before="260" w:after="220"/>
      <w:ind w:left="567" w:hanging="567"/>
      <w:outlineLvl w:val="2"/>
    </w:pPr>
    <w:rPr>
      <w:rFonts w:eastAsiaTheme="majorEastAsia" w:cs="Arial"/>
      <w:b/>
      <w:szCs w:val="24"/>
    </w:rPr>
  </w:style>
  <w:style w:type="paragraph" w:styleId="41">
    <w:name w:val="heading 4"/>
    <w:basedOn w:val="a2"/>
    <w:next w:val="a2"/>
    <w:link w:val="42"/>
    <w:uiPriority w:val="9"/>
    <w:semiHidden/>
    <w:unhideWhenUsed/>
    <w:qFormat/>
    <w:rsid w:val="00F527CC"/>
    <w:pPr>
      <w:keepNext/>
      <w:keepLines/>
      <w:spacing w:before="40" w:after="0"/>
      <w:outlineLvl w:val="3"/>
    </w:pPr>
    <w:rPr>
      <w:rFonts w:eastAsiaTheme="majorEastAsia" w:cs="Arial"/>
      <w:i/>
      <w:iCs/>
      <w:color w:val="939599" w:themeColor="accent1" w:themeShade="BF"/>
    </w:rPr>
  </w:style>
  <w:style w:type="paragraph" w:styleId="51">
    <w:name w:val="heading 5"/>
    <w:basedOn w:val="a2"/>
    <w:next w:val="a2"/>
    <w:link w:val="52"/>
    <w:uiPriority w:val="9"/>
    <w:semiHidden/>
    <w:unhideWhenUsed/>
    <w:qFormat/>
    <w:rsid w:val="00F527CC"/>
    <w:pPr>
      <w:keepNext/>
      <w:keepLines/>
      <w:spacing w:before="40" w:after="0"/>
      <w:outlineLvl w:val="4"/>
    </w:pPr>
    <w:rPr>
      <w:rFonts w:eastAsiaTheme="majorEastAsia" w:cs="Arial"/>
      <w:color w:val="939599" w:themeColor="accent1" w:themeShade="BF"/>
    </w:rPr>
  </w:style>
  <w:style w:type="paragraph" w:styleId="6">
    <w:name w:val="heading 6"/>
    <w:basedOn w:val="a2"/>
    <w:next w:val="a2"/>
    <w:link w:val="60"/>
    <w:uiPriority w:val="9"/>
    <w:semiHidden/>
    <w:unhideWhenUsed/>
    <w:qFormat/>
    <w:rsid w:val="00F527CC"/>
    <w:pPr>
      <w:keepNext/>
      <w:keepLines/>
      <w:spacing w:before="40" w:after="0"/>
      <w:outlineLvl w:val="5"/>
    </w:pPr>
    <w:rPr>
      <w:rFonts w:eastAsiaTheme="majorEastAsia" w:cs="Arial"/>
      <w:color w:val="616266" w:themeColor="accent1" w:themeShade="7F"/>
    </w:rPr>
  </w:style>
  <w:style w:type="paragraph" w:styleId="7">
    <w:name w:val="heading 7"/>
    <w:basedOn w:val="a2"/>
    <w:next w:val="a2"/>
    <w:link w:val="70"/>
    <w:uiPriority w:val="9"/>
    <w:semiHidden/>
    <w:unhideWhenUsed/>
    <w:qFormat/>
    <w:rsid w:val="00F527CC"/>
    <w:pPr>
      <w:keepNext/>
      <w:keepLines/>
      <w:spacing w:before="40" w:after="0"/>
      <w:outlineLvl w:val="6"/>
    </w:pPr>
    <w:rPr>
      <w:rFonts w:eastAsiaTheme="majorEastAsia" w:cs="Arial"/>
      <w:i/>
      <w:iCs/>
      <w:color w:val="616266" w:themeColor="accent1" w:themeShade="7F"/>
    </w:rPr>
  </w:style>
  <w:style w:type="paragraph" w:styleId="8">
    <w:name w:val="heading 8"/>
    <w:basedOn w:val="a2"/>
    <w:next w:val="a2"/>
    <w:link w:val="80"/>
    <w:uiPriority w:val="9"/>
    <w:semiHidden/>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9">
    <w:name w:val="heading 9"/>
    <w:basedOn w:val="a2"/>
    <w:next w:val="a2"/>
    <w:link w:val="90"/>
    <w:uiPriority w:val="9"/>
    <w:semiHidden/>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F527CC"/>
    <w:pPr>
      <w:tabs>
        <w:tab w:val="center" w:pos="4513"/>
        <w:tab w:val="right" w:pos="9026"/>
      </w:tabs>
      <w:spacing w:after="220" w:line="240" w:lineRule="auto"/>
    </w:pPr>
  </w:style>
  <w:style w:type="character" w:customStyle="1" w:styleId="a7">
    <w:name w:val="Верхний колонтитул Знак"/>
    <w:basedOn w:val="a3"/>
    <w:link w:val="a6"/>
    <w:uiPriority w:val="99"/>
    <w:rsid w:val="00F527CC"/>
    <w:rPr>
      <w:lang w:val="en-US"/>
    </w:rPr>
  </w:style>
  <w:style w:type="paragraph" w:styleId="a8">
    <w:name w:val="footer"/>
    <w:basedOn w:val="a2"/>
    <w:link w:val="a9"/>
    <w:uiPriority w:val="99"/>
    <w:rsid w:val="00F527CC"/>
    <w:pPr>
      <w:tabs>
        <w:tab w:val="right" w:pos="9638"/>
      </w:tabs>
      <w:spacing w:after="0" w:line="240" w:lineRule="auto"/>
    </w:pPr>
    <w:rPr>
      <w:sz w:val="16"/>
      <w:szCs w:val="16"/>
    </w:rPr>
  </w:style>
  <w:style w:type="character" w:customStyle="1" w:styleId="a9">
    <w:name w:val="Нижний колонтитул Знак"/>
    <w:basedOn w:val="a3"/>
    <w:link w:val="a8"/>
    <w:uiPriority w:val="99"/>
    <w:rsid w:val="00F527CC"/>
    <w:rPr>
      <w:sz w:val="16"/>
      <w:szCs w:val="16"/>
      <w:lang w:val="en-US"/>
    </w:rPr>
  </w:style>
  <w:style w:type="table" w:styleId="aa">
    <w:name w:val="Table Grid"/>
    <w:basedOn w:val="a4"/>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a2"/>
    <w:semiHidden/>
    <w:qFormat/>
    <w:rsid w:val="00F527CC"/>
    <w:pPr>
      <w:spacing w:after="0" w:line="180" w:lineRule="atLeast"/>
    </w:pPr>
    <w:rPr>
      <w:noProof/>
      <w:sz w:val="15"/>
    </w:rPr>
  </w:style>
  <w:style w:type="paragraph" w:customStyle="1" w:styleId="Ourref">
    <w:name w:val="Our ref"/>
    <w:basedOn w:val="a2"/>
    <w:uiPriority w:val="1"/>
    <w:semiHidden/>
    <w:rsid w:val="00F527CC"/>
    <w:pPr>
      <w:spacing w:after="520"/>
    </w:pPr>
  </w:style>
  <w:style w:type="paragraph" w:styleId="ab">
    <w:name w:val="Date"/>
    <w:basedOn w:val="a2"/>
    <w:next w:val="a2"/>
    <w:link w:val="ac"/>
    <w:uiPriority w:val="2"/>
    <w:semiHidden/>
    <w:rsid w:val="00F527CC"/>
    <w:pPr>
      <w:spacing w:before="520" w:after="520"/>
    </w:pPr>
  </w:style>
  <w:style w:type="character" w:customStyle="1" w:styleId="ac">
    <w:name w:val="Дата Знак"/>
    <w:basedOn w:val="a3"/>
    <w:link w:val="ab"/>
    <w:uiPriority w:val="2"/>
    <w:semiHidden/>
    <w:rsid w:val="00F527CC"/>
    <w:rPr>
      <w:lang w:val="en-US"/>
    </w:rPr>
  </w:style>
  <w:style w:type="paragraph" w:customStyle="1" w:styleId="RecipientAddress">
    <w:name w:val="Recipient Address"/>
    <w:basedOn w:val="a2"/>
    <w:semiHidden/>
    <w:qFormat/>
    <w:rsid w:val="00F527CC"/>
    <w:pPr>
      <w:spacing w:after="0"/>
    </w:pPr>
  </w:style>
  <w:style w:type="paragraph" w:customStyle="1" w:styleId="Yours">
    <w:name w:val="Yours"/>
    <w:basedOn w:val="a2"/>
    <w:next w:val="Author"/>
    <w:uiPriority w:val="6"/>
    <w:semiHidden/>
    <w:qFormat/>
    <w:rsid w:val="00F527CC"/>
    <w:pPr>
      <w:keepNext/>
      <w:keepLines/>
      <w:spacing w:before="520" w:after="1000" w:line="276" w:lineRule="auto"/>
    </w:pPr>
    <w:rPr>
      <w:szCs w:val="20"/>
    </w:rPr>
  </w:style>
  <w:style w:type="paragraph" w:customStyle="1" w:styleId="Author">
    <w:name w:val="Author"/>
    <w:basedOn w:val="a2"/>
    <w:next w:val="JobTitle"/>
    <w:uiPriority w:val="7"/>
    <w:semiHidden/>
    <w:qFormat/>
    <w:rsid w:val="00F527CC"/>
    <w:pPr>
      <w:keepNext/>
      <w:keepLines/>
      <w:spacing w:after="0" w:line="276" w:lineRule="auto"/>
    </w:pPr>
    <w:rPr>
      <w:szCs w:val="20"/>
    </w:rPr>
  </w:style>
  <w:style w:type="paragraph" w:customStyle="1" w:styleId="JobTitle">
    <w:name w:val="JobTitle"/>
    <w:basedOn w:val="a2"/>
    <w:uiPriority w:val="8"/>
    <w:semiHidden/>
    <w:qFormat/>
    <w:rsid w:val="00F527CC"/>
    <w:pPr>
      <w:keepNext/>
      <w:keepLines/>
      <w:spacing w:after="240" w:line="276" w:lineRule="auto"/>
      <w:contextualSpacing/>
    </w:pPr>
    <w:rPr>
      <w:szCs w:val="20"/>
    </w:rPr>
  </w:style>
  <w:style w:type="paragraph" w:customStyle="1" w:styleId="Dear">
    <w:name w:val="Dear"/>
    <w:basedOn w:val="a2"/>
    <w:next w:val="a2"/>
    <w:uiPriority w:val="4"/>
    <w:semiHidden/>
    <w:rsid w:val="00F527CC"/>
    <w:pPr>
      <w:spacing w:before="520" w:after="260"/>
    </w:pPr>
  </w:style>
  <w:style w:type="character" w:customStyle="1" w:styleId="Subject">
    <w:name w:val="Subject"/>
    <w:basedOn w:val="a3"/>
    <w:uiPriority w:val="1"/>
    <w:semiHidden/>
    <w:rsid w:val="00F527CC"/>
    <w:rPr>
      <w:b/>
      <w:caps/>
      <w:smallCaps w:val="0"/>
      <w:lang w:val="en-US"/>
    </w:rPr>
  </w:style>
  <w:style w:type="table" w:customStyle="1" w:styleId="GlobalFund">
    <w:name w:val="Global Fund"/>
    <w:basedOn w:val="a4"/>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10">
    <w:name w:val="Заголовок 1 Знак"/>
    <w:basedOn w:val="a3"/>
    <w:link w:val="1"/>
    <w:uiPriority w:val="9"/>
    <w:rsid w:val="00F527CC"/>
    <w:rPr>
      <w:rFonts w:eastAsiaTheme="majorEastAsia" w:cs="Arial"/>
      <w:bCs/>
      <w:noProof/>
      <w:sz w:val="36"/>
      <w:szCs w:val="30"/>
      <w:lang w:val="en-US"/>
    </w:rPr>
  </w:style>
  <w:style w:type="character" w:customStyle="1" w:styleId="22">
    <w:name w:val="Заголовок 2 Знак"/>
    <w:basedOn w:val="a3"/>
    <w:link w:val="21"/>
    <w:uiPriority w:val="9"/>
    <w:rsid w:val="00F527CC"/>
    <w:rPr>
      <w:rFonts w:eastAsiaTheme="majorEastAsia" w:cs="Arial"/>
      <w:b/>
      <w:bCs/>
      <w:noProof/>
      <w:lang w:val="en-US"/>
    </w:rPr>
  </w:style>
  <w:style w:type="paragraph" w:customStyle="1" w:styleId="NormalNoSpace">
    <w:name w:val="NormalNoSpace"/>
    <w:basedOn w:val="a2"/>
    <w:next w:val="a2"/>
    <w:uiPriority w:val="5"/>
    <w:qFormat/>
    <w:rsid w:val="00F527CC"/>
    <w:pPr>
      <w:spacing w:after="0"/>
    </w:pPr>
  </w:style>
  <w:style w:type="paragraph" w:customStyle="1" w:styleId="Note">
    <w:name w:val="Note"/>
    <w:basedOn w:val="a2"/>
    <w:next w:val="a2"/>
    <w:uiPriority w:val="29"/>
    <w:qFormat/>
    <w:rsid w:val="00F527CC"/>
    <w:pPr>
      <w:spacing w:line="220" w:lineRule="atLeast"/>
    </w:pPr>
    <w:rPr>
      <w:sz w:val="16"/>
      <w:szCs w:val="16"/>
    </w:rPr>
  </w:style>
  <w:style w:type="paragraph" w:styleId="ad">
    <w:name w:val="footnote text"/>
    <w:aliases w:val="fn,Footnote ak,footnote text,fn Char,footnote text Char,Footnotes Char,Footnote ak Char,ft,fn cafc,Footnotes Char Char,Footnote Text Char Char,fn Char Char,footnote text Char Char Char Ch,Footnote Text English"/>
    <w:basedOn w:val="a2"/>
    <w:link w:val="ae"/>
    <w:uiPriority w:val="99"/>
    <w:unhideWhenUsed/>
    <w:rsid w:val="00F527CC"/>
    <w:pPr>
      <w:spacing w:after="0" w:line="240" w:lineRule="auto"/>
    </w:pPr>
    <w:rPr>
      <w:sz w:val="16"/>
      <w:szCs w:val="20"/>
    </w:rPr>
  </w:style>
  <w:style w:type="character" w:customStyle="1" w:styleId="ae">
    <w:name w:val="Текст сноски Знак"/>
    <w:aliases w:val="fn Знак,Footnote ak Знак,footnote text Знак,fn Char Знак,footnote text Char Знак,Footnotes Char Знак,Footnote ak Char Знак,ft Знак,fn cafc Знак,Footnotes Char Char Знак,Footnote Text Char Char Знак,fn Char Char Знак"/>
    <w:basedOn w:val="a3"/>
    <w:link w:val="ad"/>
    <w:uiPriority w:val="99"/>
    <w:rsid w:val="00F527CC"/>
    <w:rPr>
      <w:sz w:val="16"/>
      <w:szCs w:val="20"/>
      <w:lang w:val="en-US"/>
    </w:rPr>
  </w:style>
  <w:style w:type="character" w:styleId="af">
    <w:name w:val="footnote reference"/>
    <w:aliases w:val="ftref"/>
    <w:basedOn w:val="a3"/>
    <w:uiPriority w:val="99"/>
    <w:unhideWhenUsed/>
    <w:rsid w:val="00F527CC"/>
    <w:rPr>
      <w:vertAlign w:val="superscript"/>
      <w:lang w:val="en-US"/>
    </w:rPr>
  </w:style>
  <w:style w:type="paragraph" w:styleId="af0">
    <w:name w:val="No Spacing"/>
    <w:uiPriority w:val="1"/>
    <w:qFormat/>
    <w:rsid w:val="00F527CC"/>
    <w:pPr>
      <w:spacing w:after="0" w:line="240" w:lineRule="auto"/>
    </w:pPr>
    <w:rPr>
      <w:lang w:val="en-US"/>
    </w:rPr>
  </w:style>
  <w:style w:type="paragraph" w:styleId="af1">
    <w:name w:val="endnote text"/>
    <w:basedOn w:val="a2"/>
    <w:link w:val="af2"/>
    <w:uiPriority w:val="99"/>
    <w:semiHidden/>
    <w:unhideWhenUsed/>
    <w:rsid w:val="00F527CC"/>
    <w:pPr>
      <w:spacing w:after="0" w:line="240" w:lineRule="auto"/>
    </w:pPr>
    <w:rPr>
      <w:sz w:val="16"/>
      <w:szCs w:val="16"/>
    </w:rPr>
  </w:style>
  <w:style w:type="character" w:customStyle="1" w:styleId="af2">
    <w:name w:val="Текст концевой сноски Знак"/>
    <w:basedOn w:val="a3"/>
    <w:link w:val="af1"/>
    <w:uiPriority w:val="99"/>
    <w:semiHidden/>
    <w:rsid w:val="00F527CC"/>
    <w:rPr>
      <w:sz w:val="16"/>
      <w:szCs w:val="16"/>
      <w:lang w:val="en-US"/>
    </w:rPr>
  </w:style>
  <w:style w:type="character" w:styleId="af3">
    <w:name w:val="endnote reference"/>
    <w:basedOn w:val="a3"/>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a2"/>
    <w:next w:val="a2"/>
    <w:uiPriority w:val="15"/>
    <w:semiHidden/>
    <w:rsid w:val="00F527CC"/>
    <w:pPr>
      <w:spacing w:after="0" w:line="240" w:lineRule="auto"/>
    </w:pPr>
    <w:rPr>
      <w:noProof/>
      <w:sz w:val="2"/>
    </w:rPr>
  </w:style>
  <w:style w:type="character" w:styleId="af4">
    <w:name w:val="Placeholder Text"/>
    <w:basedOn w:val="a3"/>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a2"/>
    <w:uiPriority w:val="15"/>
    <w:semiHidden/>
    <w:qFormat/>
    <w:rsid w:val="00F527CC"/>
    <w:pPr>
      <w:spacing w:after="0" w:line="240" w:lineRule="auto"/>
    </w:pPr>
    <w:rPr>
      <w:sz w:val="2"/>
    </w:rPr>
  </w:style>
  <w:style w:type="paragraph" w:styleId="af5">
    <w:name w:val="Title"/>
    <w:basedOn w:val="a2"/>
    <w:next w:val="af6"/>
    <w:link w:val="af7"/>
    <w:uiPriority w:val="10"/>
    <w:qFormat/>
    <w:rsid w:val="00F527CC"/>
    <w:pPr>
      <w:spacing w:after="567" w:line="240" w:lineRule="auto"/>
      <w:contextualSpacing/>
    </w:pPr>
    <w:rPr>
      <w:rFonts w:eastAsiaTheme="majorEastAsia" w:cstheme="majorBidi"/>
      <w:kern w:val="28"/>
      <w:sz w:val="48"/>
      <w:szCs w:val="48"/>
    </w:rPr>
  </w:style>
  <w:style w:type="character" w:customStyle="1" w:styleId="af7">
    <w:name w:val="Заголовок Знак"/>
    <w:basedOn w:val="a3"/>
    <w:link w:val="af5"/>
    <w:uiPriority w:val="10"/>
    <w:rsid w:val="00F527CC"/>
    <w:rPr>
      <w:rFonts w:eastAsiaTheme="majorEastAsia" w:cstheme="majorBidi"/>
      <w:kern w:val="28"/>
      <w:sz w:val="48"/>
      <w:szCs w:val="48"/>
      <w:lang w:val="en-US"/>
    </w:rPr>
  </w:style>
  <w:style w:type="paragraph" w:styleId="af6">
    <w:name w:val="Subtitle"/>
    <w:basedOn w:val="a2"/>
    <w:next w:val="a2"/>
    <w:link w:val="af8"/>
    <w:uiPriority w:val="11"/>
    <w:qFormat/>
    <w:rsid w:val="00F527CC"/>
    <w:pPr>
      <w:numPr>
        <w:ilvl w:val="1"/>
      </w:numPr>
      <w:spacing w:line="440" w:lineRule="atLeast"/>
    </w:pPr>
    <w:rPr>
      <w:rFonts w:eastAsiaTheme="minorEastAsia"/>
      <w:spacing w:val="15"/>
      <w:sz w:val="36"/>
      <w:szCs w:val="36"/>
    </w:rPr>
  </w:style>
  <w:style w:type="character" w:customStyle="1" w:styleId="af8">
    <w:name w:val="Подзаголовок Знак"/>
    <w:basedOn w:val="a3"/>
    <w:link w:val="af6"/>
    <w:uiPriority w:val="11"/>
    <w:rsid w:val="00F527CC"/>
    <w:rPr>
      <w:rFonts w:eastAsiaTheme="minorEastAsia"/>
      <w:spacing w:val="15"/>
      <w:sz w:val="36"/>
      <w:szCs w:val="36"/>
      <w:lang w:val="en-US"/>
    </w:rPr>
  </w:style>
  <w:style w:type="paragraph" w:customStyle="1" w:styleId="Bullet1">
    <w:name w:val="Bullet 1"/>
    <w:basedOn w:val="a2"/>
    <w:uiPriority w:val="32"/>
    <w:qFormat/>
    <w:rsid w:val="00F527CC"/>
    <w:pPr>
      <w:numPr>
        <w:numId w:val="11"/>
      </w:numPr>
      <w:spacing w:after="160" w:line="260" w:lineRule="atLeast"/>
    </w:pPr>
    <w:rPr>
      <w:szCs w:val="20"/>
    </w:rPr>
  </w:style>
  <w:style w:type="paragraph" w:customStyle="1" w:styleId="Bullet2">
    <w:name w:val="Bullet 2"/>
    <w:basedOn w:val="a2"/>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a2"/>
    <w:uiPriority w:val="31"/>
    <w:qFormat/>
    <w:rsid w:val="00F527CC"/>
    <w:pPr>
      <w:numPr>
        <w:numId w:val="14"/>
      </w:numPr>
      <w:spacing w:after="160" w:line="260" w:lineRule="atLeast"/>
    </w:pPr>
    <w:rPr>
      <w:szCs w:val="20"/>
    </w:rPr>
  </w:style>
  <w:style w:type="paragraph" w:customStyle="1" w:styleId="AlphaList2">
    <w:name w:val="AlphaList 2"/>
    <w:basedOn w:val="a2"/>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a2"/>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23">
    <w:name w:val="Quote"/>
    <w:basedOn w:val="a2"/>
    <w:next w:val="a2"/>
    <w:link w:val="24"/>
    <w:uiPriority w:val="39"/>
    <w:unhideWhenUsed/>
    <w:qFormat/>
    <w:rsid w:val="00F527CC"/>
    <w:pPr>
      <w:spacing w:before="200"/>
      <w:ind w:left="794" w:right="794"/>
    </w:pPr>
  </w:style>
  <w:style w:type="character" w:customStyle="1" w:styleId="24">
    <w:name w:val="Цитата 2 Знак"/>
    <w:basedOn w:val="a3"/>
    <w:link w:val="23"/>
    <w:uiPriority w:val="39"/>
    <w:rsid w:val="00F527CC"/>
    <w:rPr>
      <w:lang w:val="en-US"/>
    </w:rPr>
  </w:style>
  <w:style w:type="paragraph" w:styleId="11">
    <w:name w:val="toc 1"/>
    <w:basedOn w:val="a2"/>
    <w:next w:val="a2"/>
    <w:autoRedefine/>
    <w:uiPriority w:val="39"/>
    <w:rsid w:val="00F527CC"/>
    <w:pPr>
      <w:tabs>
        <w:tab w:val="left" w:pos="567"/>
        <w:tab w:val="right" w:pos="9628"/>
      </w:tabs>
      <w:spacing w:before="540" w:after="100" w:line="420" w:lineRule="atLeast"/>
      <w:ind w:left="567" w:right="567" w:hanging="567"/>
    </w:pPr>
    <w:rPr>
      <w:noProof/>
      <w:sz w:val="36"/>
      <w:szCs w:val="36"/>
    </w:rPr>
  </w:style>
  <w:style w:type="paragraph" w:styleId="25">
    <w:name w:val="toc 2"/>
    <w:basedOn w:val="a2"/>
    <w:next w:val="a2"/>
    <w:autoRedefine/>
    <w:uiPriority w:val="39"/>
    <w:rsid w:val="00F527CC"/>
    <w:pPr>
      <w:tabs>
        <w:tab w:val="left" w:pos="567"/>
      </w:tabs>
      <w:spacing w:after="100" w:line="300" w:lineRule="atLeast"/>
      <w:ind w:left="567" w:right="567" w:hanging="567"/>
    </w:pPr>
    <w:rPr>
      <w:szCs w:val="20"/>
    </w:rPr>
  </w:style>
  <w:style w:type="character" w:styleId="af9">
    <w:name w:val="Hyperlink"/>
    <w:basedOn w:val="a3"/>
    <w:uiPriority w:val="99"/>
    <w:rsid w:val="00F527CC"/>
    <w:rPr>
      <w:color w:val="0563C1" w:themeColor="hyperlink"/>
      <w:u w:val="single"/>
      <w:lang w:val="en-US"/>
    </w:rPr>
  </w:style>
  <w:style w:type="paragraph" w:styleId="33">
    <w:name w:val="toc 3"/>
    <w:basedOn w:val="a2"/>
    <w:next w:val="a2"/>
    <w:autoRedefine/>
    <w:uiPriority w:val="39"/>
    <w:semiHidden/>
    <w:unhideWhenUsed/>
    <w:rsid w:val="00F527CC"/>
    <w:pPr>
      <w:spacing w:after="100"/>
      <w:ind w:left="440"/>
    </w:pPr>
  </w:style>
  <w:style w:type="paragraph" w:styleId="43">
    <w:name w:val="toc 4"/>
    <w:basedOn w:val="a2"/>
    <w:next w:val="a2"/>
    <w:autoRedefine/>
    <w:uiPriority w:val="39"/>
    <w:semiHidden/>
    <w:unhideWhenUsed/>
    <w:rsid w:val="00F527CC"/>
    <w:pPr>
      <w:spacing w:after="100"/>
      <w:ind w:left="660"/>
    </w:pPr>
  </w:style>
  <w:style w:type="paragraph" w:customStyle="1" w:styleId="Heading1NonNumbNoTOC">
    <w:name w:val="Heading 1 Non Numb No TOC"/>
    <w:basedOn w:val="a2"/>
    <w:next w:val="a2"/>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a2"/>
    <w:uiPriority w:val="53"/>
    <w:qFormat/>
    <w:rsid w:val="00F527CC"/>
    <w:pPr>
      <w:spacing w:before="200" w:after="200"/>
      <w:contextualSpacing/>
      <w:jc w:val="center"/>
    </w:pPr>
    <w:rPr>
      <w:bCs/>
      <w:color w:val="1E1E1E" w:themeColor="background2"/>
      <w:kern w:val="40"/>
      <w:sz w:val="80"/>
      <w:szCs w:val="80"/>
    </w:rPr>
  </w:style>
  <w:style w:type="paragraph" w:customStyle="1" w:styleId="CoverPageDate">
    <w:name w:val="Cover Page Date"/>
    <w:basedOn w:val="a2"/>
    <w:uiPriority w:val="53"/>
    <w:qFormat/>
    <w:rsid w:val="00F527CC"/>
    <w:pPr>
      <w:jc w:val="center"/>
    </w:pPr>
    <w:rPr>
      <w:b/>
      <w:caps/>
    </w:rPr>
  </w:style>
  <w:style w:type="paragraph" w:styleId="afa">
    <w:name w:val="Balloon Text"/>
    <w:basedOn w:val="a2"/>
    <w:link w:val="afb"/>
    <w:uiPriority w:val="99"/>
    <w:semiHidden/>
    <w:unhideWhenUsed/>
    <w:rsid w:val="00F527CC"/>
    <w:pPr>
      <w:spacing w:after="0" w:line="240" w:lineRule="auto"/>
    </w:pPr>
    <w:rPr>
      <w:rFonts w:ascii="Segoe UI" w:hAnsi="Segoe UI" w:cs="Segoe UI"/>
      <w:sz w:val="18"/>
      <w:szCs w:val="18"/>
    </w:rPr>
  </w:style>
  <w:style w:type="character" w:customStyle="1" w:styleId="afb">
    <w:name w:val="Текст выноски Знак"/>
    <w:basedOn w:val="a3"/>
    <w:link w:val="afa"/>
    <w:uiPriority w:val="99"/>
    <w:semiHidden/>
    <w:rsid w:val="00F527CC"/>
    <w:rPr>
      <w:rFonts w:ascii="Segoe UI" w:hAnsi="Segoe UI" w:cs="Segoe UI"/>
      <w:sz w:val="18"/>
      <w:szCs w:val="18"/>
      <w:lang w:val="en-US"/>
    </w:rPr>
  </w:style>
  <w:style w:type="paragraph" w:styleId="afc">
    <w:name w:val="Body Text Indent"/>
    <w:basedOn w:val="a2"/>
    <w:link w:val="afd"/>
    <w:uiPriority w:val="34"/>
    <w:rsid w:val="00F527CC"/>
    <w:pPr>
      <w:ind w:left="397"/>
    </w:pPr>
    <w:rPr>
      <w:noProof/>
    </w:rPr>
  </w:style>
  <w:style w:type="character" w:customStyle="1" w:styleId="afd">
    <w:name w:val="Основной текст с отступом Знак"/>
    <w:basedOn w:val="a3"/>
    <w:link w:val="afc"/>
    <w:uiPriority w:val="34"/>
    <w:rsid w:val="00F527CC"/>
    <w:rPr>
      <w:noProof/>
      <w:lang w:val="en-US"/>
    </w:rPr>
  </w:style>
  <w:style w:type="paragraph" w:styleId="26">
    <w:name w:val="Body Text Indent 2"/>
    <w:basedOn w:val="afc"/>
    <w:link w:val="27"/>
    <w:uiPriority w:val="34"/>
    <w:rsid w:val="00F527CC"/>
    <w:pPr>
      <w:ind w:left="794"/>
    </w:pPr>
  </w:style>
  <w:style w:type="character" w:customStyle="1" w:styleId="27">
    <w:name w:val="Основной текст с отступом 2 Знак"/>
    <w:basedOn w:val="a3"/>
    <w:link w:val="26"/>
    <w:uiPriority w:val="34"/>
    <w:rsid w:val="00F527CC"/>
    <w:rPr>
      <w:noProof/>
      <w:lang w:val="en-US"/>
    </w:rPr>
  </w:style>
  <w:style w:type="paragraph" w:customStyle="1" w:styleId="HeaderHidden">
    <w:name w:val="HeaderHidden"/>
    <w:basedOn w:val="a6"/>
    <w:uiPriority w:val="5"/>
    <w:qFormat/>
    <w:rsid w:val="00F527CC"/>
    <w:rPr>
      <w:color w:val="FFFFFF" w:themeColor="text2"/>
    </w:rPr>
  </w:style>
  <w:style w:type="character" w:customStyle="1" w:styleId="32">
    <w:name w:val="Заголовок 3 Знак"/>
    <w:basedOn w:val="a3"/>
    <w:link w:val="31"/>
    <w:uiPriority w:val="9"/>
    <w:semiHidden/>
    <w:rsid w:val="00F527CC"/>
    <w:rPr>
      <w:rFonts w:eastAsiaTheme="majorEastAsia" w:cs="Arial"/>
      <w:b/>
      <w:szCs w:val="24"/>
      <w:lang w:val="en-US"/>
    </w:rPr>
  </w:style>
  <w:style w:type="character" w:customStyle="1" w:styleId="42">
    <w:name w:val="Заголовок 4 Знак"/>
    <w:basedOn w:val="a3"/>
    <w:link w:val="41"/>
    <w:uiPriority w:val="9"/>
    <w:semiHidden/>
    <w:rsid w:val="00F527CC"/>
    <w:rPr>
      <w:rFonts w:eastAsiaTheme="majorEastAsia" w:cs="Arial"/>
      <w:i/>
      <w:iCs/>
      <w:color w:val="939599" w:themeColor="accent1" w:themeShade="BF"/>
      <w:lang w:val="en-US"/>
    </w:rPr>
  </w:style>
  <w:style w:type="character" w:customStyle="1" w:styleId="52">
    <w:name w:val="Заголовок 5 Знак"/>
    <w:basedOn w:val="a3"/>
    <w:link w:val="51"/>
    <w:uiPriority w:val="9"/>
    <w:semiHidden/>
    <w:rsid w:val="00F527CC"/>
    <w:rPr>
      <w:rFonts w:eastAsiaTheme="majorEastAsia" w:cs="Arial"/>
      <w:color w:val="939599" w:themeColor="accent1" w:themeShade="BF"/>
      <w:lang w:val="en-US"/>
    </w:rPr>
  </w:style>
  <w:style w:type="character" w:customStyle="1" w:styleId="60">
    <w:name w:val="Заголовок 6 Знак"/>
    <w:basedOn w:val="a3"/>
    <w:link w:val="6"/>
    <w:uiPriority w:val="9"/>
    <w:semiHidden/>
    <w:rsid w:val="00F527CC"/>
    <w:rPr>
      <w:rFonts w:eastAsiaTheme="majorEastAsia" w:cs="Arial"/>
      <w:color w:val="616266" w:themeColor="accent1" w:themeShade="7F"/>
      <w:lang w:val="en-US"/>
    </w:rPr>
  </w:style>
  <w:style w:type="character" w:customStyle="1" w:styleId="70">
    <w:name w:val="Заголовок 7 Знак"/>
    <w:basedOn w:val="a3"/>
    <w:link w:val="7"/>
    <w:uiPriority w:val="9"/>
    <w:semiHidden/>
    <w:rsid w:val="00F527CC"/>
    <w:rPr>
      <w:rFonts w:eastAsiaTheme="majorEastAsia" w:cs="Arial"/>
      <w:i/>
      <w:iCs/>
      <w:color w:val="616266" w:themeColor="accent1" w:themeShade="7F"/>
      <w:lang w:val="en-US"/>
    </w:rPr>
  </w:style>
  <w:style w:type="character" w:customStyle="1" w:styleId="80">
    <w:name w:val="Заголовок 8 Знак"/>
    <w:basedOn w:val="a3"/>
    <w:link w:val="8"/>
    <w:uiPriority w:val="9"/>
    <w:semiHidden/>
    <w:rsid w:val="00F527CC"/>
    <w:rPr>
      <w:rFonts w:eastAsiaTheme="majorEastAsia" w:cs="Arial"/>
      <w:color w:val="5D5D5D" w:themeColor="text1" w:themeTint="D8"/>
      <w:sz w:val="21"/>
      <w:szCs w:val="21"/>
      <w:lang w:val="en-US"/>
    </w:rPr>
  </w:style>
  <w:style w:type="character" w:customStyle="1" w:styleId="90">
    <w:name w:val="Заголовок 9 Знак"/>
    <w:basedOn w:val="a3"/>
    <w:link w:val="9"/>
    <w:uiPriority w:val="9"/>
    <w:semiHidden/>
    <w:rsid w:val="00F527CC"/>
    <w:rPr>
      <w:rFonts w:eastAsiaTheme="majorEastAsia" w:cs="Arial"/>
      <w:i/>
      <w:iCs/>
      <w:color w:val="5D5D5D" w:themeColor="text1" w:themeTint="D8"/>
      <w:sz w:val="21"/>
      <w:szCs w:val="21"/>
      <w:lang w:val="en-US"/>
    </w:rPr>
  </w:style>
  <w:style w:type="numbering" w:styleId="111111">
    <w:name w:val="Outline List 2"/>
    <w:basedOn w:val="a5"/>
    <w:uiPriority w:val="99"/>
    <w:semiHidden/>
    <w:unhideWhenUsed/>
    <w:rsid w:val="00F527CC"/>
    <w:pPr>
      <w:numPr>
        <w:numId w:val="15"/>
      </w:numPr>
    </w:pPr>
  </w:style>
  <w:style w:type="numbering" w:styleId="1ai">
    <w:name w:val="Outline List 1"/>
    <w:basedOn w:val="a5"/>
    <w:uiPriority w:val="99"/>
    <w:semiHidden/>
    <w:unhideWhenUsed/>
    <w:rsid w:val="00F527CC"/>
    <w:pPr>
      <w:numPr>
        <w:numId w:val="16"/>
      </w:numPr>
    </w:pPr>
  </w:style>
  <w:style w:type="numbering" w:styleId="a1">
    <w:name w:val="Outline List 3"/>
    <w:basedOn w:val="a5"/>
    <w:uiPriority w:val="99"/>
    <w:semiHidden/>
    <w:unhideWhenUsed/>
    <w:rsid w:val="00F527CC"/>
    <w:pPr>
      <w:numPr>
        <w:numId w:val="17"/>
      </w:numPr>
    </w:pPr>
  </w:style>
  <w:style w:type="paragraph" w:styleId="afe">
    <w:name w:val="Bibliography"/>
    <w:basedOn w:val="a2"/>
    <w:next w:val="a2"/>
    <w:uiPriority w:val="37"/>
    <w:semiHidden/>
    <w:unhideWhenUsed/>
    <w:rsid w:val="00F527CC"/>
  </w:style>
  <w:style w:type="paragraph" w:styleId="aff">
    <w:name w:val="Block Text"/>
    <w:basedOn w:val="a2"/>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aff0">
    <w:name w:val="Body Text"/>
    <w:basedOn w:val="a2"/>
    <w:link w:val="aff1"/>
    <w:uiPriority w:val="99"/>
    <w:semiHidden/>
    <w:unhideWhenUsed/>
    <w:rsid w:val="00F527CC"/>
  </w:style>
  <w:style w:type="character" w:customStyle="1" w:styleId="aff1">
    <w:name w:val="Основной текст Знак"/>
    <w:basedOn w:val="a3"/>
    <w:link w:val="aff0"/>
    <w:uiPriority w:val="99"/>
    <w:semiHidden/>
    <w:rsid w:val="00F527CC"/>
    <w:rPr>
      <w:lang w:val="en-US"/>
    </w:rPr>
  </w:style>
  <w:style w:type="paragraph" w:styleId="28">
    <w:name w:val="Body Text 2"/>
    <w:basedOn w:val="a2"/>
    <w:link w:val="29"/>
    <w:uiPriority w:val="99"/>
    <w:semiHidden/>
    <w:unhideWhenUsed/>
    <w:rsid w:val="00F527CC"/>
    <w:pPr>
      <w:spacing w:line="480" w:lineRule="auto"/>
    </w:pPr>
  </w:style>
  <w:style w:type="character" w:customStyle="1" w:styleId="29">
    <w:name w:val="Основной текст 2 Знак"/>
    <w:basedOn w:val="a3"/>
    <w:link w:val="28"/>
    <w:uiPriority w:val="99"/>
    <w:semiHidden/>
    <w:rsid w:val="00F527CC"/>
    <w:rPr>
      <w:lang w:val="en-US"/>
    </w:rPr>
  </w:style>
  <w:style w:type="paragraph" w:styleId="34">
    <w:name w:val="Body Text 3"/>
    <w:basedOn w:val="a2"/>
    <w:link w:val="35"/>
    <w:uiPriority w:val="99"/>
    <w:semiHidden/>
    <w:unhideWhenUsed/>
    <w:rsid w:val="00F527CC"/>
    <w:rPr>
      <w:sz w:val="16"/>
      <w:szCs w:val="16"/>
    </w:rPr>
  </w:style>
  <w:style w:type="character" w:customStyle="1" w:styleId="35">
    <w:name w:val="Основной текст 3 Знак"/>
    <w:basedOn w:val="a3"/>
    <w:link w:val="34"/>
    <w:uiPriority w:val="99"/>
    <w:semiHidden/>
    <w:rsid w:val="00F527CC"/>
    <w:rPr>
      <w:sz w:val="16"/>
      <w:szCs w:val="16"/>
      <w:lang w:val="en-US"/>
    </w:rPr>
  </w:style>
  <w:style w:type="paragraph" w:styleId="aff2">
    <w:name w:val="Body Text First Indent"/>
    <w:basedOn w:val="aff0"/>
    <w:link w:val="aff3"/>
    <w:uiPriority w:val="99"/>
    <w:semiHidden/>
    <w:unhideWhenUsed/>
    <w:rsid w:val="00F527CC"/>
    <w:pPr>
      <w:ind w:firstLine="360"/>
    </w:pPr>
  </w:style>
  <w:style w:type="character" w:customStyle="1" w:styleId="aff3">
    <w:name w:val="Красная строка Знак"/>
    <w:basedOn w:val="aff1"/>
    <w:link w:val="aff2"/>
    <w:uiPriority w:val="99"/>
    <w:semiHidden/>
    <w:rsid w:val="00F527CC"/>
    <w:rPr>
      <w:lang w:val="en-US"/>
    </w:rPr>
  </w:style>
  <w:style w:type="paragraph" w:styleId="2a">
    <w:name w:val="Body Text First Indent 2"/>
    <w:basedOn w:val="afc"/>
    <w:link w:val="2b"/>
    <w:uiPriority w:val="99"/>
    <w:semiHidden/>
    <w:unhideWhenUsed/>
    <w:rsid w:val="00F527CC"/>
    <w:pPr>
      <w:ind w:left="360" w:firstLine="360"/>
    </w:pPr>
  </w:style>
  <w:style w:type="character" w:customStyle="1" w:styleId="2b">
    <w:name w:val="Красная строка 2 Знак"/>
    <w:basedOn w:val="afd"/>
    <w:link w:val="2a"/>
    <w:uiPriority w:val="99"/>
    <w:semiHidden/>
    <w:rsid w:val="00F527CC"/>
    <w:rPr>
      <w:noProof/>
      <w:lang w:val="en-US"/>
    </w:rPr>
  </w:style>
  <w:style w:type="paragraph" w:styleId="36">
    <w:name w:val="Body Text Indent 3"/>
    <w:basedOn w:val="a2"/>
    <w:link w:val="37"/>
    <w:uiPriority w:val="99"/>
    <w:semiHidden/>
    <w:unhideWhenUsed/>
    <w:rsid w:val="00F527CC"/>
    <w:pPr>
      <w:ind w:left="283"/>
    </w:pPr>
    <w:rPr>
      <w:sz w:val="16"/>
      <w:szCs w:val="16"/>
    </w:rPr>
  </w:style>
  <w:style w:type="character" w:customStyle="1" w:styleId="37">
    <w:name w:val="Основной текст с отступом 3 Знак"/>
    <w:basedOn w:val="a3"/>
    <w:link w:val="36"/>
    <w:uiPriority w:val="99"/>
    <w:semiHidden/>
    <w:rsid w:val="00F527CC"/>
    <w:rPr>
      <w:sz w:val="16"/>
      <w:szCs w:val="16"/>
      <w:lang w:val="en-US"/>
    </w:rPr>
  </w:style>
  <w:style w:type="character" w:styleId="aff4">
    <w:name w:val="Book Title"/>
    <w:basedOn w:val="a3"/>
    <w:uiPriority w:val="33"/>
    <w:qFormat/>
    <w:rsid w:val="00F527CC"/>
    <w:rPr>
      <w:b/>
      <w:bCs/>
      <w:i/>
      <w:iCs/>
      <w:spacing w:val="5"/>
      <w:lang w:val="en-US"/>
    </w:rPr>
  </w:style>
  <w:style w:type="paragraph" w:styleId="aff5">
    <w:name w:val="caption"/>
    <w:basedOn w:val="a2"/>
    <w:next w:val="a2"/>
    <w:uiPriority w:val="35"/>
    <w:semiHidden/>
    <w:unhideWhenUsed/>
    <w:qFormat/>
    <w:rsid w:val="00F527CC"/>
    <w:pPr>
      <w:spacing w:after="200" w:line="240" w:lineRule="auto"/>
    </w:pPr>
    <w:rPr>
      <w:i/>
      <w:iCs/>
      <w:color w:val="FFFFFF" w:themeColor="text2"/>
      <w:sz w:val="18"/>
      <w:szCs w:val="18"/>
    </w:rPr>
  </w:style>
  <w:style w:type="paragraph" w:styleId="aff6">
    <w:name w:val="Closing"/>
    <w:basedOn w:val="a2"/>
    <w:link w:val="aff7"/>
    <w:uiPriority w:val="99"/>
    <w:semiHidden/>
    <w:unhideWhenUsed/>
    <w:rsid w:val="00F527CC"/>
    <w:pPr>
      <w:spacing w:after="0" w:line="240" w:lineRule="auto"/>
      <w:ind w:left="4252"/>
    </w:pPr>
  </w:style>
  <w:style w:type="character" w:customStyle="1" w:styleId="aff7">
    <w:name w:val="Прощание Знак"/>
    <w:basedOn w:val="a3"/>
    <w:link w:val="aff6"/>
    <w:uiPriority w:val="99"/>
    <w:semiHidden/>
    <w:rsid w:val="00F527CC"/>
    <w:rPr>
      <w:lang w:val="en-US"/>
    </w:rPr>
  </w:style>
  <w:style w:type="table" w:styleId="aff8">
    <w:name w:val="Colorful Grid"/>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1">
    <w:name w:val="Colorful Grid Accent 1"/>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2">
    <w:name w:val="Colorful Grid Accent 2"/>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3">
    <w:name w:val="Colorful Grid Accent 3"/>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4">
    <w:name w:val="Colorful Grid Accent 4"/>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5">
    <w:name w:val="Colorful Grid Accent 5"/>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6">
    <w:name w:val="Colorful Grid Accent 6"/>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aff9">
    <w:name w:val="Colorful List"/>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10">
    <w:name w:val="Colorful List Accent 1"/>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20">
    <w:name w:val="Colorful List Accent 2"/>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30">
    <w:name w:val="Colorful List Accent 3"/>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40">
    <w:name w:val="Colorful List Accent 4"/>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50">
    <w:name w:val="Colorful List Accent 5"/>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60">
    <w:name w:val="Colorful List Accent 6"/>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affa">
    <w:name w:val="Colorful Shading"/>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11">
    <w:name w:val="Colorful Shading Accent 1"/>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21">
    <w:name w:val="Colorful Shading Accent 2"/>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31">
    <w:name w:val="Colorful Shading Accent 3"/>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41">
    <w:name w:val="Colorful Shading Accent 4"/>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51">
    <w:name w:val="Colorful Shading Accent 5"/>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61">
    <w:name w:val="Colorful Shading Accent 6"/>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affb">
    <w:name w:val="annotation reference"/>
    <w:basedOn w:val="a3"/>
    <w:uiPriority w:val="99"/>
    <w:unhideWhenUsed/>
    <w:rsid w:val="00F527CC"/>
    <w:rPr>
      <w:sz w:val="16"/>
      <w:szCs w:val="16"/>
      <w:lang w:val="en-US"/>
    </w:rPr>
  </w:style>
  <w:style w:type="paragraph" w:styleId="affc">
    <w:name w:val="annotation text"/>
    <w:basedOn w:val="a2"/>
    <w:link w:val="affd"/>
    <w:uiPriority w:val="99"/>
    <w:unhideWhenUsed/>
    <w:rsid w:val="00F527CC"/>
    <w:pPr>
      <w:spacing w:line="240" w:lineRule="auto"/>
    </w:pPr>
    <w:rPr>
      <w:sz w:val="20"/>
      <w:szCs w:val="20"/>
    </w:rPr>
  </w:style>
  <w:style w:type="character" w:customStyle="1" w:styleId="affd">
    <w:name w:val="Текст примечания Знак"/>
    <w:basedOn w:val="a3"/>
    <w:link w:val="affc"/>
    <w:uiPriority w:val="99"/>
    <w:rsid w:val="00F527CC"/>
    <w:rPr>
      <w:sz w:val="20"/>
      <w:szCs w:val="20"/>
      <w:lang w:val="en-US"/>
    </w:rPr>
  </w:style>
  <w:style w:type="paragraph" w:styleId="affe">
    <w:name w:val="annotation subject"/>
    <w:basedOn w:val="affc"/>
    <w:next w:val="affc"/>
    <w:link w:val="afff"/>
    <w:uiPriority w:val="99"/>
    <w:semiHidden/>
    <w:unhideWhenUsed/>
    <w:rsid w:val="00F527CC"/>
    <w:rPr>
      <w:b/>
      <w:bCs/>
    </w:rPr>
  </w:style>
  <w:style w:type="character" w:customStyle="1" w:styleId="afff">
    <w:name w:val="Тема примечания Знак"/>
    <w:basedOn w:val="affd"/>
    <w:link w:val="affe"/>
    <w:uiPriority w:val="99"/>
    <w:semiHidden/>
    <w:rsid w:val="00F527CC"/>
    <w:rPr>
      <w:b/>
      <w:bCs/>
      <w:sz w:val="20"/>
      <w:szCs w:val="20"/>
      <w:lang w:val="en-US"/>
    </w:rPr>
  </w:style>
  <w:style w:type="table" w:styleId="afff0">
    <w:name w:val="Dark List"/>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12">
    <w:name w:val="Dark List Accent 1"/>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22">
    <w:name w:val="Dark List Accent 2"/>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32">
    <w:name w:val="Dark List Accent 3"/>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42">
    <w:name w:val="Dark List Accent 4"/>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52">
    <w:name w:val="Dark List Accent 5"/>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62">
    <w:name w:val="Dark List Accent 6"/>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afff1">
    <w:name w:val="Document Map"/>
    <w:basedOn w:val="a2"/>
    <w:link w:val="afff2"/>
    <w:uiPriority w:val="99"/>
    <w:semiHidden/>
    <w:unhideWhenUsed/>
    <w:rsid w:val="00F527CC"/>
    <w:pPr>
      <w:spacing w:after="0" w:line="240" w:lineRule="auto"/>
    </w:pPr>
    <w:rPr>
      <w:rFonts w:ascii="Segoe UI" w:hAnsi="Segoe UI" w:cs="Segoe UI"/>
      <w:sz w:val="16"/>
      <w:szCs w:val="16"/>
    </w:rPr>
  </w:style>
  <w:style w:type="character" w:customStyle="1" w:styleId="afff2">
    <w:name w:val="Схема документа Знак"/>
    <w:basedOn w:val="a3"/>
    <w:link w:val="afff1"/>
    <w:uiPriority w:val="99"/>
    <w:semiHidden/>
    <w:rsid w:val="00F527CC"/>
    <w:rPr>
      <w:rFonts w:ascii="Segoe UI" w:hAnsi="Segoe UI" w:cs="Segoe UI"/>
      <w:sz w:val="16"/>
      <w:szCs w:val="16"/>
      <w:lang w:val="en-US"/>
    </w:rPr>
  </w:style>
  <w:style w:type="paragraph" w:styleId="afff3">
    <w:name w:val="E-mail Signature"/>
    <w:basedOn w:val="a2"/>
    <w:link w:val="afff4"/>
    <w:uiPriority w:val="99"/>
    <w:semiHidden/>
    <w:unhideWhenUsed/>
    <w:rsid w:val="00F527CC"/>
    <w:pPr>
      <w:spacing w:after="0" w:line="240" w:lineRule="auto"/>
    </w:pPr>
  </w:style>
  <w:style w:type="character" w:customStyle="1" w:styleId="afff4">
    <w:name w:val="Электронная подпись Знак"/>
    <w:basedOn w:val="a3"/>
    <w:link w:val="afff3"/>
    <w:uiPriority w:val="99"/>
    <w:semiHidden/>
    <w:rsid w:val="00F527CC"/>
    <w:rPr>
      <w:lang w:val="en-US"/>
    </w:rPr>
  </w:style>
  <w:style w:type="character" w:styleId="afff5">
    <w:name w:val="Emphasis"/>
    <w:basedOn w:val="a3"/>
    <w:uiPriority w:val="20"/>
    <w:qFormat/>
    <w:rsid w:val="00F527CC"/>
    <w:rPr>
      <w:i/>
      <w:iCs/>
      <w:lang w:val="en-US"/>
    </w:rPr>
  </w:style>
  <w:style w:type="paragraph" w:styleId="afff6">
    <w:name w:val="envelope address"/>
    <w:basedOn w:val="a2"/>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2c">
    <w:name w:val="envelope return"/>
    <w:basedOn w:val="a2"/>
    <w:uiPriority w:val="99"/>
    <w:semiHidden/>
    <w:unhideWhenUsed/>
    <w:rsid w:val="00F527CC"/>
    <w:pPr>
      <w:spacing w:after="0" w:line="240" w:lineRule="auto"/>
    </w:pPr>
    <w:rPr>
      <w:rFonts w:eastAsiaTheme="majorEastAsia" w:cs="Arial"/>
      <w:sz w:val="20"/>
      <w:szCs w:val="20"/>
    </w:rPr>
  </w:style>
  <w:style w:type="character" w:styleId="afff7">
    <w:name w:val="FollowedHyperlink"/>
    <w:basedOn w:val="a3"/>
    <w:uiPriority w:val="99"/>
    <w:semiHidden/>
    <w:unhideWhenUsed/>
    <w:rsid w:val="00F527CC"/>
    <w:rPr>
      <w:color w:val="954F72" w:themeColor="followedHyperlink"/>
      <w:u w:val="single"/>
      <w:lang w:val="en-US"/>
    </w:rPr>
  </w:style>
  <w:style w:type="table" w:styleId="-13">
    <w:name w:val="Grid Table 1 Light"/>
    <w:basedOn w:val="a4"/>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23">
    <w:name w:val="Grid Table 2"/>
    <w:basedOn w:val="a4"/>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210">
    <w:name w:val="Grid Table 2 Accent 1"/>
    <w:basedOn w:val="a4"/>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220">
    <w:name w:val="Grid Table 2 Accent 2"/>
    <w:basedOn w:val="a4"/>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230">
    <w:name w:val="Grid Table 2 Accent 3"/>
    <w:basedOn w:val="a4"/>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24">
    <w:name w:val="Grid Table 2 Accent 4"/>
    <w:basedOn w:val="a4"/>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25">
    <w:name w:val="Grid Table 2 Accent 5"/>
    <w:basedOn w:val="a4"/>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26">
    <w:name w:val="Grid Table 2 Accent 6"/>
    <w:basedOn w:val="a4"/>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33">
    <w:name w:val="Grid Table 3"/>
    <w:basedOn w:val="a4"/>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310">
    <w:name w:val="Grid Table 3 Accent 1"/>
    <w:basedOn w:val="a4"/>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320">
    <w:name w:val="Grid Table 3 Accent 2"/>
    <w:basedOn w:val="a4"/>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330">
    <w:name w:val="Grid Table 3 Accent 3"/>
    <w:basedOn w:val="a4"/>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34">
    <w:name w:val="Grid Table 3 Accent 4"/>
    <w:basedOn w:val="a4"/>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35">
    <w:name w:val="Grid Table 3 Accent 5"/>
    <w:basedOn w:val="a4"/>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36">
    <w:name w:val="Grid Table 3 Accent 6"/>
    <w:basedOn w:val="a4"/>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43">
    <w:name w:val="Grid Table 4"/>
    <w:basedOn w:val="a4"/>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410">
    <w:name w:val="Grid Table 4 Accent 1"/>
    <w:basedOn w:val="a4"/>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420">
    <w:name w:val="Grid Table 4 Accent 2"/>
    <w:basedOn w:val="a4"/>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430">
    <w:name w:val="Grid Table 4 Accent 3"/>
    <w:basedOn w:val="a4"/>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44">
    <w:name w:val="Grid Table 4 Accent 4"/>
    <w:basedOn w:val="a4"/>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45">
    <w:name w:val="Grid Table 4 Accent 5"/>
    <w:basedOn w:val="a4"/>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46">
    <w:name w:val="Grid Table 4 Accent 6"/>
    <w:basedOn w:val="a4"/>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53">
    <w:name w:val="Grid Table 5 Dark"/>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510">
    <w:name w:val="Grid Table 5 Dark Accent 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520">
    <w:name w:val="Grid Table 5 Dark Accent 2"/>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530">
    <w:name w:val="Grid Table 5 Dark Accent 3"/>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54">
    <w:name w:val="Grid Table 5 Dark Accent 4"/>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55">
    <w:name w:val="Grid Table 5 Dark Accent 5"/>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56">
    <w:name w:val="Grid Table 5 Dark Accent 6"/>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63">
    <w:name w:val="Grid Table 6 Colorful"/>
    <w:basedOn w:val="a4"/>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610">
    <w:name w:val="Grid Table 6 Colorful Accent 1"/>
    <w:basedOn w:val="a4"/>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620">
    <w:name w:val="Grid Table 6 Colorful Accent 2"/>
    <w:basedOn w:val="a4"/>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630">
    <w:name w:val="Grid Table 6 Colorful Accent 3"/>
    <w:basedOn w:val="a4"/>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64">
    <w:name w:val="Grid Table 6 Colorful Accent 4"/>
    <w:basedOn w:val="a4"/>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65">
    <w:name w:val="Grid Table 6 Colorful Accent 5"/>
    <w:basedOn w:val="a4"/>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66">
    <w:name w:val="Grid Table 6 Colorful Accent 6"/>
    <w:basedOn w:val="a4"/>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7">
    <w:name w:val="Grid Table 7 Colorful"/>
    <w:basedOn w:val="a4"/>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71">
    <w:name w:val="Grid Table 7 Colorful Accent 1"/>
    <w:basedOn w:val="a4"/>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72">
    <w:name w:val="Grid Table 7 Colorful Accent 2"/>
    <w:basedOn w:val="a4"/>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73">
    <w:name w:val="Grid Table 7 Colorful Accent 3"/>
    <w:basedOn w:val="a4"/>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74">
    <w:name w:val="Grid Table 7 Colorful Accent 4"/>
    <w:basedOn w:val="a4"/>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75">
    <w:name w:val="Grid Table 7 Colorful Accent 5"/>
    <w:basedOn w:val="a4"/>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76">
    <w:name w:val="Grid Table 7 Colorful Accent 6"/>
    <w:basedOn w:val="a4"/>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
    <w:name w:val="HTML Acronym"/>
    <w:basedOn w:val="a3"/>
    <w:uiPriority w:val="99"/>
    <w:semiHidden/>
    <w:unhideWhenUsed/>
    <w:rsid w:val="00F527CC"/>
    <w:rPr>
      <w:lang w:val="en-US"/>
    </w:rPr>
  </w:style>
  <w:style w:type="paragraph" w:styleId="HTML0">
    <w:name w:val="HTML Address"/>
    <w:basedOn w:val="a2"/>
    <w:link w:val="HTML1"/>
    <w:uiPriority w:val="99"/>
    <w:semiHidden/>
    <w:unhideWhenUsed/>
    <w:rsid w:val="00F527CC"/>
    <w:pPr>
      <w:spacing w:after="0" w:line="240" w:lineRule="auto"/>
    </w:pPr>
    <w:rPr>
      <w:i/>
      <w:iCs/>
    </w:rPr>
  </w:style>
  <w:style w:type="character" w:customStyle="1" w:styleId="HTML1">
    <w:name w:val="Адрес HTML Знак"/>
    <w:basedOn w:val="a3"/>
    <w:link w:val="HTML0"/>
    <w:uiPriority w:val="99"/>
    <w:semiHidden/>
    <w:rsid w:val="00F527CC"/>
    <w:rPr>
      <w:i/>
      <w:iCs/>
      <w:lang w:val="en-US"/>
    </w:rPr>
  </w:style>
  <w:style w:type="character" w:styleId="HTML2">
    <w:name w:val="HTML Cite"/>
    <w:basedOn w:val="a3"/>
    <w:uiPriority w:val="99"/>
    <w:semiHidden/>
    <w:unhideWhenUsed/>
    <w:rsid w:val="00F527CC"/>
    <w:rPr>
      <w:i/>
      <w:iCs/>
      <w:lang w:val="en-US"/>
    </w:rPr>
  </w:style>
  <w:style w:type="character" w:styleId="HTML3">
    <w:name w:val="HTML Code"/>
    <w:basedOn w:val="a3"/>
    <w:uiPriority w:val="99"/>
    <w:semiHidden/>
    <w:unhideWhenUsed/>
    <w:rsid w:val="00F527CC"/>
    <w:rPr>
      <w:rFonts w:ascii="Consolas" w:hAnsi="Consolas"/>
      <w:sz w:val="20"/>
      <w:szCs w:val="20"/>
      <w:lang w:val="en-US"/>
    </w:rPr>
  </w:style>
  <w:style w:type="character" w:styleId="HTML4">
    <w:name w:val="HTML Definition"/>
    <w:basedOn w:val="a3"/>
    <w:uiPriority w:val="99"/>
    <w:semiHidden/>
    <w:unhideWhenUsed/>
    <w:rsid w:val="00F527CC"/>
    <w:rPr>
      <w:i/>
      <w:iCs/>
      <w:lang w:val="en-US"/>
    </w:rPr>
  </w:style>
  <w:style w:type="character" w:styleId="HTML5">
    <w:name w:val="HTML Keyboard"/>
    <w:basedOn w:val="a3"/>
    <w:uiPriority w:val="99"/>
    <w:semiHidden/>
    <w:unhideWhenUsed/>
    <w:rsid w:val="00F527CC"/>
    <w:rPr>
      <w:rFonts w:ascii="Consolas" w:hAnsi="Consolas"/>
      <w:sz w:val="20"/>
      <w:szCs w:val="20"/>
      <w:lang w:val="en-US"/>
    </w:rPr>
  </w:style>
  <w:style w:type="paragraph" w:styleId="HTML6">
    <w:name w:val="HTML Preformatted"/>
    <w:basedOn w:val="a2"/>
    <w:link w:val="HTML7"/>
    <w:uiPriority w:val="99"/>
    <w:semiHidden/>
    <w:unhideWhenUsed/>
    <w:rsid w:val="00F527CC"/>
    <w:pPr>
      <w:spacing w:after="0" w:line="240" w:lineRule="auto"/>
    </w:pPr>
    <w:rPr>
      <w:rFonts w:ascii="Consolas" w:hAnsi="Consolas"/>
      <w:sz w:val="20"/>
      <w:szCs w:val="20"/>
    </w:rPr>
  </w:style>
  <w:style w:type="character" w:customStyle="1" w:styleId="HTML7">
    <w:name w:val="Стандартный HTML Знак"/>
    <w:basedOn w:val="a3"/>
    <w:link w:val="HTML6"/>
    <w:uiPriority w:val="99"/>
    <w:semiHidden/>
    <w:rsid w:val="00F527CC"/>
    <w:rPr>
      <w:rFonts w:ascii="Consolas" w:hAnsi="Consolas"/>
      <w:sz w:val="20"/>
      <w:szCs w:val="20"/>
      <w:lang w:val="en-US"/>
    </w:rPr>
  </w:style>
  <w:style w:type="character" w:styleId="HTML8">
    <w:name w:val="HTML Sample"/>
    <w:basedOn w:val="a3"/>
    <w:uiPriority w:val="99"/>
    <w:semiHidden/>
    <w:unhideWhenUsed/>
    <w:rsid w:val="00F527CC"/>
    <w:rPr>
      <w:rFonts w:ascii="Consolas" w:hAnsi="Consolas"/>
      <w:sz w:val="24"/>
      <w:szCs w:val="24"/>
      <w:lang w:val="en-US"/>
    </w:rPr>
  </w:style>
  <w:style w:type="character" w:styleId="HTML9">
    <w:name w:val="HTML Typewriter"/>
    <w:basedOn w:val="a3"/>
    <w:uiPriority w:val="99"/>
    <w:semiHidden/>
    <w:unhideWhenUsed/>
    <w:rsid w:val="00F527CC"/>
    <w:rPr>
      <w:rFonts w:ascii="Consolas" w:hAnsi="Consolas"/>
      <w:sz w:val="20"/>
      <w:szCs w:val="20"/>
      <w:lang w:val="en-US"/>
    </w:rPr>
  </w:style>
  <w:style w:type="character" w:styleId="HTMLa">
    <w:name w:val="HTML Variable"/>
    <w:basedOn w:val="a3"/>
    <w:uiPriority w:val="99"/>
    <w:semiHidden/>
    <w:unhideWhenUsed/>
    <w:rsid w:val="00F527CC"/>
    <w:rPr>
      <w:i/>
      <w:iCs/>
      <w:lang w:val="en-US"/>
    </w:rPr>
  </w:style>
  <w:style w:type="paragraph" w:styleId="12">
    <w:name w:val="index 1"/>
    <w:basedOn w:val="a2"/>
    <w:next w:val="a2"/>
    <w:autoRedefine/>
    <w:uiPriority w:val="99"/>
    <w:semiHidden/>
    <w:unhideWhenUsed/>
    <w:rsid w:val="00F527CC"/>
    <w:pPr>
      <w:spacing w:after="0" w:line="240" w:lineRule="auto"/>
      <w:ind w:left="220" w:hanging="220"/>
    </w:pPr>
  </w:style>
  <w:style w:type="paragraph" w:styleId="2d">
    <w:name w:val="index 2"/>
    <w:basedOn w:val="a2"/>
    <w:next w:val="a2"/>
    <w:autoRedefine/>
    <w:uiPriority w:val="99"/>
    <w:semiHidden/>
    <w:unhideWhenUsed/>
    <w:rsid w:val="00F527CC"/>
    <w:pPr>
      <w:spacing w:after="0" w:line="240" w:lineRule="auto"/>
      <w:ind w:left="440" w:hanging="220"/>
    </w:pPr>
  </w:style>
  <w:style w:type="paragraph" w:styleId="38">
    <w:name w:val="index 3"/>
    <w:basedOn w:val="a2"/>
    <w:next w:val="a2"/>
    <w:autoRedefine/>
    <w:uiPriority w:val="99"/>
    <w:semiHidden/>
    <w:unhideWhenUsed/>
    <w:rsid w:val="00F527CC"/>
    <w:pPr>
      <w:spacing w:after="0" w:line="240" w:lineRule="auto"/>
      <w:ind w:left="660" w:hanging="220"/>
    </w:pPr>
  </w:style>
  <w:style w:type="paragraph" w:styleId="44">
    <w:name w:val="index 4"/>
    <w:basedOn w:val="a2"/>
    <w:next w:val="a2"/>
    <w:autoRedefine/>
    <w:uiPriority w:val="99"/>
    <w:semiHidden/>
    <w:unhideWhenUsed/>
    <w:rsid w:val="00F527CC"/>
    <w:pPr>
      <w:spacing w:after="0" w:line="240" w:lineRule="auto"/>
      <w:ind w:left="880" w:hanging="220"/>
    </w:pPr>
  </w:style>
  <w:style w:type="paragraph" w:styleId="53">
    <w:name w:val="index 5"/>
    <w:basedOn w:val="a2"/>
    <w:next w:val="a2"/>
    <w:autoRedefine/>
    <w:uiPriority w:val="99"/>
    <w:semiHidden/>
    <w:unhideWhenUsed/>
    <w:rsid w:val="00F527CC"/>
    <w:pPr>
      <w:spacing w:after="0" w:line="240" w:lineRule="auto"/>
      <w:ind w:left="1100" w:hanging="220"/>
    </w:pPr>
  </w:style>
  <w:style w:type="paragraph" w:styleId="61">
    <w:name w:val="index 6"/>
    <w:basedOn w:val="a2"/>
    <w:next w:val="a2"/>
    <w:autoRedefine/>
    <w:uiPriority w:val="99"/>
    <w:semiHidden/>
    <w:unhideWhenUsed/>
    <w:rsid w:val="00F527CC"/>
    <w:pPr>
      <w:spacing w:after="0" w:line="240" w:lineRule="auto"/>
      <w:ind w:left="1320" w:hanging="220"/>
    </w:pPr>
  </w:style>
  <w:style w:type="paragraph" w:styleId="71">
    <w:name w:val="index 7"/>
    <w:basedOn w:val="a2"/>
    <w:next w:val="a2"/>
    <w:autoRedefine/>
    <w:uiPriority w:val="99"/>
    <w:semiHidden/>
    <w:unhideWhenUsed/>
    <w:rsid w:val="00F527CC"/>
    <w:pPr>
      <w:spacing w:after="0" w:line="240" w:lineRule="auto"/>
      <w:ind w:left="1540" w:hanging="220"/>
    </w:pPr>
  </w:style>
  <w:style w:type="paragraph" w:styleId="81">
    <w:name w:val="index 8"/>
    <w:basedOn w:val="a2"/>
    <w:next w:val="a2"/>
    <w:autoRedefine/>
    <w:uiPriority w:val="99"/>
    <w:semiHidden/>
    <w:unhideWhenUsed/>
    <w:rsid w:val="00F527CC"/>
    <w:pPr>
      <w:spacing w:after="0" w:line="240" w:lineRule="auto"/>
      <w:ind w:left="1760" w:hanging="220"/>
    </w:pPr>
  </w:style>
  <w:style w:type="paragraph" w:styleId="91">
    <w:name w:val="index 9"/>
    <w:basedOn w:val="a2"/>
    <w:next w:val="a2"/>
    <w:autoRedefine/>
    <w:uiPriority w:val="99"/>
    <w:semiHidden/>
    <w:unhideWhenUsed/>
    <w:rsid w:val="00F527CC"/>
    <w:pPr>
      <w:spacing w:after="0" w:line="240" w:lineRule="auto"/>
      <w:ind w:left="1980" w:hanging="220"/>
    </w:pPr>
  </w:style>
  <w:style w:type="paragraph" w:styleId="afff8">
    <w:name w:val="index heading"/>
    <w:basedOn w:val="a2"/>
    <w:next w:val="12"/>
    <w:uiPriority w:val="99"/>
    <w:semiHidden/>
    <w:unhideWhenUsed/>
    <w:rsid w:val="00F527CC"/>
    <w:rPr>
      <w:rFonts w:eastAsiaTheme="majorEastAsia" w:cs="Arial"/>
      <w:b/>
      <w:bCs/>
    </w:rPr>
  </w:style>
  <w:style w:type="character" w:styleId="afff9">
    <w:name w:val="Intense Emphasis"/>
    <w:basedOn w:val="a3"/>
    <w:uiPriority w:val="21"/>
    <w:qFormat/>
    <w:rsid w:val="00F527CC"/>
    <w:rPr>
      <w:i/>
      <w:iCs/>
      <w:color w:val="C7C8CA" w:themeColor="accent1"/>
      <w:lang w:val="en-US"/>
    </w:rPr>
  </w:style>
  <w:style w:type="paragraph" w:styleId="afffa">
    <w:name w:val="Intense Quote"/>
    <w:basedOn w:val="a2"/>
    <w:next w:val="a2"/>
    <w:link w:val="afffb"/>
    <w:uiPriority w:val="30"/>
    <w:qFormat/>
    <w:rsid w:val="00F527CC"/>
    <w:pPr>
      <w:pBdr>
        <w:top w:val="single" w:sz="4" w:space="10" w:color="C7C8CA" w:themeColor="accent1"/>
        <w:bottom w:val="single" w:sz="4" w:space="10" w:color="C7C8CA" w:themeColor="accent1"/>
      </w:pBdr>
      <w:spacing w:before="360" w:after="360"/>
      <w:ind w:left="864" w:right="864"/>
      <w:jc w:val="center"/>
    </w:pPr>
    <w:rPr>
      <w:i/>
      <w:iCs/>
      <w:color w:val="C7C8CA" w:themeColor="accent1"/>
    </w:rPr>
  </w:style>
  <w:style w:type="character" w:customStyle="1" w:styleId="afffb">
    <w:name w:val="Выделенная цитата Знак"/>
    <w:basedOn w:val="a3"/>
    <w:link w:val="afffa"/>
    <w:uiPriority w:val="30"/>
    <w:rsid w:val="00F527CC"/>
    <w:rPr>
      <w:i/>
      <w:iCs/>
      <w:color w:val="C7C8CA" w:themeColor="accent1"/>
      <w:lang w:val="en-US"/>
    </w:rPr>
  </w:style>
  <w:style w:type="character" w:styleId="afffc">
    <w:name w:val="Intense Reference"/>
    <w:basedOn w:val="a3"/>
    <w:uiPriority w:val="32"/>
    <w:qFormat/>
    <w:rsid w:val="00F527CC"/>
    <w:rPr>
      <w:b/>
      <w:bCs/>
      <w:smallCaps/>
      <w:color w:val="C7C8CA" w:themeColor="accent1"/>
      <w:spacing w:val="5"/>
      <w:lang w:val="en-US"/>
    </w:rPr>
  </w:style>
  <w:style w:type="table" w:styleId="afffd">
    <w:name w:val="Light Grid"/>
    <w:basedOn w:val="a4"/>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17">
    <w:name w:val="Light Grid Accent 1"/>
    <w:basedOn w:val="a4"/>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27">
    <w:name w:val="Light Grid Accent 2"/>
    <w:basedOn w:val="a4"/>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37">
    <w:name w:val="Light Grid Accent 3"/>
    <w:basedOn w:val="a4"/>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47">
    <w:name w:val="Light Grid Accent 4"/>
    <w:basedOn w:val="a4"/>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57">
    <w:name w:val="Light Grid Accent 5"/>
    <w:basedOn w:val="a4"/>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67">
    <w:name w:val="Light Grid Accent 6"/>
    <w:basedOn w:val="a4"/>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afffe">
    <w:name w:val="Light List"/>
    <w:basedOn w:val="a4"/>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18">
    <w:name w:val="Light List Accent 1"/>
    <w:basedOn w:val="a4"/>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28">
    <w:name w:val="Light List Accent 2"/>
    <w:basedOn w:val="a4"/>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38">
    <w:name w:val="Light List Accent 3"/>
    <w:basedOn w:val="a4"/>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48">
    <w:name w:val="Light List Accent 4"/>
    <w:basedOn w:val="a4"/>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58">
    <w:name w:val="Light List Accent 5"/>
    <w:basedOn w:val="a4"/>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68">
    <w:name w:val="Light List Accent 6"/>
    <w:basedOn w:val="a4"/>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affff">
    <w:name w:val="Light Shading"/>
    <w:basedOn w:val="a4"/>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9">
    <w:name w:val="Light Shading Accent 1"/>
    <w:basedOn w:val="a4"/>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29">
    <w:name w:val="Light Shading Accent 2"/>
    <w:basedOn w:val="a4"/>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39">
    <w:name w:val="Light Shading Accent 3"/>
    <w:basedOn w:val="a4"/>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49">
    <w:name w:val="Light Shading Accent 4"/>
    <w:basedOn w:val="a4"/>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59">
    <w:name w:val="Light Shading Accent 5"/>
    <w:basedOn w:val="a4"/>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69">
    <w:name w:val="Light Shading Accent 6"/>
    <w:basedOn w:val="a4"/>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affff0">
    <w:name w:val="line number"/>
    <w:basedOn w:val="a3"/>
    <w:uiPriority w:val="99"/>
    <w:semiHidden/>
    <w:unhideWhenUsed/>
    <w:rsid w:val="00F527CC"/>
    <w:rPr>
      <w:lang w:val="en-US"/>
    </w:rPr>
  </w:style>
  <w:style w:type="paragraph" w:styleId="affff1">
    <w:name w:val="List"/>
    <w:basedOn w:val="a2"/>
    <w:uiPriority w:val="99"/>
    <w:semiHidden/>
    <w:unhideWhenUsed/>
    <w:rsid w:val="00F527CC"/>
    <w:pPr>
      <w:ind w:left="283" w:hanging="283"/>
      <w:contextualSpacing/>
    </w:pPr>
  </w:style>
  <w:style w:type="paragraph" w:styleId="2e">
    <w:name w:val="List 2"/>
    <w:basedOn w:val="a2"/>
    <w:uiPriority w:val="99"/>
    <w:semiHidden/>
    <w:unhideWhenUsed/>
    <w:rsid w:val="00F527CC"/>
    <w:pPr>
      <w:ind w:left="566" w:hanging="283"/>
      <w:contextualSpacing/>
    </w:pPr>
  </w:style>
  <w:style w:type="paragraph" w:styleId="39">
    <w:name w:val="List 3"/>
    <w:basedOn w:val="a2"/>
    <w:uiPriority w:val="99"/>
    <w:semiHidden/>
    <w:unhideWhenUsed/>
    <w:rsid w:val="00F527CC"/>
    <w:pPr>
      <w:ind w:left="849" w:hanging="283"/>
      <w:contextualSpacing/>
    </w:pPr>
  </w:style>
  <w:style w:type="paragraph" w:styleId="45">
    <w:name w:val="List 4"/>
    <w:basedOn w:val="a2"/>
    <w:uiPriority w:val="99"/>
    <w:semiHidden/>
    <w:unhideWhenUsed/>
    <w:rsid w:val="00F527CC"/>
    <w:pPr>
      <w:ind w:left="1132" w:hanging="283"/>
      <w:contextualSpacing/>
    </w:pPr>
  </w:style>
  <w:style w:type="paragraph" w:styleId="54">
    <w:name w:val="List 5"/>
    <w:basedOn w:val="a2"/>
    <w:uiPriority w:val="99"/>
    <w:semiHidden/>
    <w:unhideWhenUsed/>
    <w:rsid w:val="00F527CC"/>
    <w:pPr>
      <w:ind w:left="1415" w:hanging="283"/>
      <w:contextualSpacing/>
    </w:pPr>
  </w:style>
  <w:style w:type="paragraph" w:styleId="a0">
    <w:name w:val="List Bullet"/>
    <w:basedOn w:val="a2"/>
    <w:uiPriority w:val="99"/>
    <w:semiHidden/>
    <w:unhideWhenUsed/>
    <w:rsid w:val="00F527CC"/>
    <w:pPr>
      <w:numPr>
        <w:numId w:val="1"/>
      </w:numPr>
      <w:contextualSpacing/>
    </w:pPr>
  </w:style>
  <w:style w:type="paragraph" w:styleId="20">
    <w:name w:val="List Bullet 2"/>
    <w:basedOn w:val="a2"/>
    <w:uiPriority w:val="99"/>
    <w:semiHidden/>
    <w:unhideWhenUsed/>
    <w:rsid w:val="00F527CC"/>
    <w:pPr>
      <w:numPr>
        <w:numId w:val="2"/>
      </w:numPr>
      <w:contextualSpacing/>
    </w:pPr>
  </w:style>
  <w:style w:type="paragraph" w:styleId="30">
    <w:name w:val="List Bullet 3"/>
    <w:basedOn w:val="a2"/>
    <w:uiPriority w:val="99"/>
    <w:semiHidden/>
    <w:unhideWhenUsed/>
    <w:rsid w:val="00F527CC"/>
    <w:pPr>
      <w:numPr>
        <w:numId w:val="3"/>
      </w:numPr>
      <w:contextualSpacing/>
    </w:pPr>
  </w:style>
  <w:style w:type="paragraph" w:styleId="40">
    <w:name w:val="List Bullet 4"/>
    <w:basedOn w:val="a2"/>
    <w:uiPriority w:val="99"/>
    <w:semiHidden/>
    <w:unhideWhenUsed/>
    <w:rsid w:val="00F527CC"/>
    <w:pPr>
      <w:numPr>
        <w:numId w:val="4"/>
      </w:numPr>
      <w:contextualSpacing/>
    </w:pPr>
  </w:style>
  <w:style w:type="paragraph" w:styleId="50">
    <w:name w:val="List Bullet 5"/>
    <w:basedOn w:val="a2"/>
    <w:uiPriority w:val="99"/>
    <w:semiHidden/>
    <w:unhideWhenUsed/>
    <w:rsid w:val="00F527CC"/>
    <w:pPr>
      <w:numPr>
        <w:numId w:val="5"/>
      </w:numPr>
      <w:contextualSpacing/>
    </w:pPr>
  </w:style>
  <w:style w:type="paragraph" w:styleId="affff2">
    <w:name w:val="List Continue"/>
    <w:basedOn w:val="a2"/>
    <w:uiPriority w:val="99"/>
    <w:semiHidden/>
    <w:unhideWhenUsed/>
    <w:rsid w:val="00F527CC"/>
    <w:pPr>
      <w:ind w:left="283"/>
      <w:contextualSpacing/>
    </w:pPr>
  </w:style>
  <w:style w:type="paragraph" w:styleId="2f">
    <w:name w:val="List Continue 2"/>
    <w:basedOn w:val="a2"/>
    <w:uiPriority w:val="99"/>
    <w:semiHidden/>
    <w:unhideWhenUsed/>
    <w:rsid w:val="00F527CC"/>
    <w:pPr>
      <w:ind w:left="566"/>
      <w:contextualSpacing/>
    </w:pPr>
  </w:style>
  <w:style w:type="paragraph" w:styleId="3a">
    <w:name w:val="List Continue 3"/>
    <w:basedOn w:val="a2"/>
    <w:uiPriority w:val="99"/>
    <w:semiHidden/>
    <w:unhideWhenUsed/>
    <w:rsid w:val="00F527CC"/>
    <w:pPr>
      <w:ind w:left="849"/>
      <w:contextualSpacing/>
    </w:pPr>
  </w:style>
  <w:style w:type="paragraph" w:styleId="46">
    <w:name w:val="List Continue 4"/>
    <w:basedOn w:val="a2"/>
    <w:uiPriority w:val="99"/>
    <w:semiHidden/>
    <w:unhideWhenUsed/>
    <w:rsid w:val="00F527CC"/>
    <w:pPr>
      <w:ind w:left="1132"/>
      <w:contextualSpacing/>
    </w:pPr>
  </w:style>
  <w:style w:type="paragraph" w:styleId="55">
    <w:name w:val="List Continue 5"/>
    <w:basedOn w:val="a2"/>
    <w:uiPriority w:val="99"/>
    <w:semiHidden/>
    <w:unhideWhenUsed/>
    <w:rsid w:val="00F527CC"/>
    <w:pPr>
      <w:ind w:left="1415"/>
      <w:contextualSpacing/>
    </w:pPr>
  </w:style>
  <w:style w:type="paragraph" w:styleId="a">
    <w:name w:val="List Number"/>
    <w:basedOn w:val="a2"/>
    <w:uiPriority w:val="99"/>
    <w:semiHidden/>
    <w:unhideWhenUsed/>
    <w:rsid w:val="00F527CC"/>
    <w:pPr>
      <w:numPr>
        <w:numId w:val="6"/>
      </w:numPr>
      <w:contextualSpacing/>
    </w:pPr>
  </w:style>
  <w:style w:type="paragraph" w:styleId="2">
    <w:name w:val="List Number 2"/>
    <w:basedOn w:val="a2"/>
    <w:uiPriority w:val="99"/>
    <w:semiHidden/>
    <w:unhideWhenUsed/>
    <w:rsid w:val="00F527CC"/>
    <w:pPr>
      <w:numPr>
        <w:numId w:val="7"/>
      </w:numPr>
      <w:contextualSpacing/>
    </w:pPr>
  </w:style>
  <w:style w:type="paragraph" w:styleId="3">
    <w:name w:val="List Number 3"/>
    <w:basedOn w:val="a2"/>
    <w:uiPriority w:val="99"/>
    <w:semiHidden/>
    <w:unhideWhenUsed/>
    <w:rsid w:val="00F527CC"/>
    <w:pPr>
      <w:numPr>
        <w:numId w:val="8"/>
      </w:numPr>
      <w:contextualSpacing/>
    </w:pPr>
  </w:style>
  <w:style w:type="paragraph" w:styleId="4">
    <w:name w:val="List Number 4"/>
    <w:basedOn w:val="a2"/>
    <w:uiPriority w:val="99"/>
    <w:semiHidden/>
    <w:unhideWhenUsed/>
    <w:rsid w:val="00F527CC"/>
    <w:pPr>
      <w:numPr>
        <w:numId w:val="9"/>
      </w:numPr>
      <w:contextualSpacing/>
    </w:pPr>
  </w:style>
  <w:style w:type="paragraph" w:styleId="5">
    <w:name w:val="List Number 5"/>
    <w:basedOn w:val="a2"/>
    <w:uiPriority w:val="99"/>
    <w:semiHidden/>
    <w:unhideWhenUsed/>
    <w:rsid w:val="00F527CC"/>
    <w:pPr>
      <w:numPr>
        <w:numId w:val="10"/>
      </w:numPr>
      <w:contextualSpacing/>
    </w:pPr>
  </w:style>
  <w:style w:type="paragraph" w:styleId="affff3">
    <w:name w:val="List Paragraph"/>
    <w:aliases w:val="Paragraph,Header 2,Head1.1,References,Paragraphe de liste1,List Paragraph1,Liste couleur - Accent 11,Liste couleur - Accent 111,Paragraphe de liste3,List Paragraph2,Bullets,List Paragraph nowy,Numbered List Paragraph,titre_kely,Liste 1"/>
    <w:basedOn w:val="a2"/>
    <w:link w:val="affff4"/>
    <w:uiPriority w:val="34"/>
    <w:qFormat/>
    <w:rsid w:val="00F527CC"/>
    <w:pPr>
      <w:ind w:left="720"/>
      <w:contextualSpacing/>
    </w:pPr>
  </w:style>
  <w:style w:type="table" w:styleId="-1a">
    <w:name w:val="List Table 1 Light"/>
    <w:basedOn w:val="a4"/>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111">
    <w:name w:val="List Table 1 Light Accent 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121">
    <w:name w:val="List Table 1 Light Accent 2"/>
    <w:basedOn w:val="a4"/>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131">
    <w:name w:val="List Table 1 Light Accent 3"/>
    <w:basedOn w:val="a4"/>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140">
    <w:name w:val="List Table 1 Light Accent 4"/>
    <w:basedOn w:val="a4"/>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150">
    <w:name w:val="List Table 1 Light Accent 5"/>
    <w:basedOn w:val="a4"/>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160">
    <w:name w:val="List Table 1 Light Accent 6"/>
    <w:basedOn w:val="a4"/>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2a">
    <w:name w:val="List Table 2"/>
    <w:basedOn w:val="a4"/>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211">
    <w:name w:val="List Table 2 Accent 1"/>
    <w:basedOn w:val="a4"/>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221">
    <w:name w:val="List Table 2 Accent 2"/>
    <w:basedOn w:val="a4"/>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231">
    <w:name w:val="List Table 2 Accent 3"/>
    <w:basedOn w:val="a4"/>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240">
    <w:name w:val="List Table 2 Accent 4"/>
    <w:basedOn w:val="a4"/>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250">
    <w:name w:val="List Table 2 Accent 5"/>
    <w:basedOn w:val="a4"/>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260">
    <w:name w:val="List Table 2 Accent 6"/>
    <w:basedOn w:val="a4"/>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3a">
    <w:name w:val="List Table 3"/>
    <w:basedOn w:val="a4"/>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311">
    <w:name w:val="List Table 3 Accent 1"/>
    <w:basedOn w:val="a4"/>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321">
    <w:name w:val="List Table 3 Accent 2"/>
    <w:basedOn w:val="a4"/>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331">
    <w:name w:val="List Table 3 Accent 3"/>
    <w:basedOn w:val="a4"/>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340">
    <w:name w:val="List Table 3 Accent 4"/>
    <w:basedOn w:val="a4"/>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350">
    <w:name w:val="List Table 3 Accent 5"/>
    <w:basedOn w:val="a4"/>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360">
    <w:name w:val="List Table 3 Accent 6"/>
    <w:basedOn w:val="a4"/>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4a">
    <w:name w:val="List Table 4"/>
    <w:basedOn w:val="a4"/>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411">
    <w:name w:val="List Table 4 Accent 1"/>
    <w:basedOn w:val="a4"/>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421">
    <w:name w:val="List Table 4 Accent 2"/>
    <w:basedOn w:val="a4"/>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431">
    <w:name w:val="List Table 4 Accent 3"/>
    <w:basedOn w:val="a4"/>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440">
    <w:name w:val="List Table 4 Accent 4"/>
    <w:basedOn w:val="a4"/>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450">
    <w:name w:val="List Table 4 Accent 5"/>
    <w:basedOn w:val="a4"/>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460">
    <w:name w:val="List Table 4 Accent 6"/>
    <w:basedOn w:val="a4"/>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5a">
    <w:name w:val="List Table 5 Dark"/>
    <w:basedOn w:val="a4"/>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1">
    <w:name w:val="List Table 5 Dark Accent 1"/>
    <w:basedOn w:val="a4"/>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1">
    <w:name w:val="List Table 5 Dark Accent 2"/>
    <w:basedOn w:val="a4"/>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1">
    <w:name w:val="List Table 5 Dark Accent 3"/>
    <w:basedOn w:val="a4"/>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611">
    <w:name w:val="List Table 6 Colorful Accent 1"/>
    <w:basedOn w:val="a4"/>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621">
    <w:name w:val="List Table 6 Colorful Accent 2"/>
    <w:basedOn w:val="a4"/>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631">
    <w:name w:val="List Table 6 Colorful Accent 3"/>
    <w:basedOn w:val="a4"/>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640">
    <w:name w:val="List Table 6 Colorful Accent 4"/>
    <w:basedOn w:val="a4"/>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650">
    <w:name w:val="List Table 6 Colorful Accent 5"/>
    <w:basedOn w:val="a4"/>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660">
    <w:name w:val="List Table 6 Colorful Accent 6"/>
    <w:basedOn w:val="a4"/>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70">
    <w:name w:val="List Table 7 Colorful"/>
    <w:basedOn w:val="a4"/>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macro"/>
    <w:link w:val="affff6"/>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affff6">
    <w:name w:val="Текст макроса Знак"/>
    <w:basedOn w:val="a3"/>
    <w:link w:val="affff5"/>
    <w:uiPriority w:val="99"/>
    <w:semiHidden/>
    <w:rsid w:val="00F527CC"/>
    <w:rPr>
      <w:rFonts w:ascii="Consolas" w:hAnsi="Consolas"/>
      <w:sz w:val="20"/>
      <w:szCs w:val="20"/>
      <w:lang w:val="en-US"/>
    </w:rPr>
  </w:style>
  <w:style w:type="table" w:styleId="13">
    <w:name w:val="Medium Grid 1"/>
    <w:basedOn w:val="a4"/>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1-1">
    <w:name w:val="Medium Grid 1 Accent 1"/>
    <w:basedOn w:val="a4"/>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1-2">
    <w:name w:val="Medium Grid 1 Accent 2"/>
    <w:basedOn w:val="a4"/>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1-3">
    <w:name w:val="Medium Grid 1 Accent 3"/>
    <w:basedOn w:val="a4"/>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1-4">
    <w:name w:val="Medium Grid 1 Accent 4"/>
    <w:basedOn w:val="a4"/>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1-5">
    <w:name w:val="Medium Grid 1 Accent 5"/>
    <w:basedOn w:val="a4"/>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1-6">
    <w:name w:val="Medium Grid 1 Accent 6"/>
    <w:basedOn w:val="a4"/>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2f0">
    <w:name w:val="Medium Grid 2"/>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3b">
    <w:name w:val="Medium Grid 3"/>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3-1">
    <w:name w:val="Medium Grid 3 Accent 1"/>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3-2">
    <w:name w:val="Medium Grid 3 Accent 2"/>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3-3">
    <w:name w:val="Medium Grid 3 Accent 3"/>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3-4">
    <w:name w:val="Medium Grid 3 Accent 4"/>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3-5">
    <w:name w:val="Medium Grid 3 Accent 5"/>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3-6">
    <w:name w:val="Medium Grid 3 Accent 6"/>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14">
    <w:name w:val="Medium List 1"/>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1-10">
    <w:name w:val="Medium List 1 Accent 1"/>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1-20">
    <w:name w:val="Medium List 1 Accent 2"/>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1-30">
    <w:name w:val="Medium List 1 Accent 3"/>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1-40">
    <w:name w:val="Medium List 1 Accent 4"/>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1-50">
    <w:name w:val="Medium List 1 Accent 5"/>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1-60">
    <w:name w:val="Medium List 1 Accent 6"/>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2f1">
    <w:name w:val="Medium List 2"/>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4"/>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1-11">
    <w:name w:val="Medium Shading 1 Accent 1"/>
    <w:basedOn w:val="a4"/>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2f2">
    <w:name w:val="Medium Shading 2"/>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7">
    <w:name w:val="Message Header"/>
    <w:basedOn w:val="a2"/>
    <w:link w:val="affff8"/>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affff8">
    <w:name w:val="Шапка Знак"/>
    <w:basedOn w:val="a3"/>
    <w:link w:val="affff7"/>
    <w:uiPriority w:val="99"/>
    <w:semiHidden/>
    <w:rsid w:val="00F527CC"/>
    <w:rPr>
      <w:rFonts w:eastAsiaTheme="majorEastAsia" w:cs="Arial"/>
      <w:sz w:val="24"/>
      <w:szCs w:val="24"/>
      <w:shd w:val="pct20" w:color="auto" w:fill="auto"/>
      <w:lang w:val="en-US"/>
    </w:rPr>
  </w:style>
  <w:style w:type="paragraph" w:styleId="affff9">
    <w:name w:val="Normal (Web)"/>
    <w:basedOn w:val="a2"/>
    <w:uiPriority w:val="99"/>
    <w:unhideWhenUsed/>
    <w:rsid w:val="00F527CC"/>
    <w:rPr>
      <w:rFonts w:ascii="Times New Roman" w:hAnsi="Times New Roman" w:cs="Times New Roman"/>
      <w:sz w:val="24"/>
      <w:szCs w:val="24"/>
    </w:rPr>
  </w:style>
  <w:style w:type="paragraph" w:styleId="affffa">
    <w:name w:val="Normal Indent"/>
    <w:basedOn w:val="a2"/>
    <w:uiPriority w:val="99"/>
    <w:semiHidden/>
    <w:unhideWhenUsed/>
    <w:rsid w:val="00F527CC"/>
    <w:pPr>
      <w:ind w:left="720"/>
    </w:pPr>
  </w:style>
  <w:style w:type="paragraph" w:styleId="affffb">
    <w:name w:val="Note Heading"/>
    <w:basedOn w:val="a2"/>
    <w:next w:val="a2"/>
    <w:link w:val="affffc"/>
    <w:uiPriority w:val="99"/>
    <w:semiHidden/>
    <w:unhideWhenUsed/>
    <w:rsid w:val="00F527CC"/>
    <w:pPr>
      <w:spacing w:after="0" w:line="240" w:lineRule="auto"/>
    </w:pPr>
  </w:style>
  <w:style w:type="character" w:customStyle="1" w:styleId="affffc">
    <w:name w:val="Заголовок записки Знак"/>
    <w:basedOn w:val="a3"/>
    <w:link w:val="affffb"/>
    <w:uiPriority w:val="99"/>
    <w:semiHidden/>
    <w:rsid w:val="00F527CC"/>
    <w:rPr>
      <w:lang w:val="en-US"/>
    </w:rPr>
  </w:style>
  <w:style w:type="character" w:styleId="affffd">
    <w:name w:val="page number"/>
    <w:basedOn w:val="a3"/>
    <w:uiPriority w:val="99"/>
    <w:semiHidden/>
    <w:unhideWhenUsed/>
    <w:rsid w:val="00F527CC"/>
    <w:rPr>
      <w:lang w:val="en-US"/>
    </w:rPr>
  </w:style>
  <w:style w:type="table" w:styleId="16">
    <w:name w:val="Plain Table 1"/>
    <w:basedOn w:val="a4"/>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3">
    <w:name w:val="Plain Table 2"/>
    <w:basedOn w:val="a4"/>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3c">
    <w:name w:val="Plain Table 3"/>
    <w:basedOn w:val="a4"/>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2"/>
    <w:link w:val="afffff"/>
    <w:uiPriority w:val="99"/>
    <w:semiHidden/>
    <w:unhideWhenUsed/>
    <w:rsid w:val="00F527CC"/>
    <w:pPr>
      <w:spacing w:after="0" w:line="240" w:lineRule="auto"/>
    </w:pPr>
    <w:rPr>
      <w:rFonts w:ascii="Consolas" w:hAnsi="Consolas"/>
      <w:sz w:val="21"/>
      <w:szCs w:val="21"/>
    </w:rPr>
  </w:style>
  <w:style w:type="character" w:customStyle="1" w:styleId="afffff">
    <w:name w:val="Текст Знак"/>
    <w:basedOn w:val="a3"/>
    <w:link w:val="affffe"/>
    <w:uiPriority w:val="99"/>
    <w:semiHidden/>
    <w:rsid w:val="00F527CC"/>
    <w:rPr>
      <w:rFonts w:ascii="Consolas" w:hAnsi="Consolas"/>
      <w:sz w:val="21"/>
      <w:szCs w:val="21"/>
      <w:lang w:val="en-US"/>
    </w:rPr>
  </w:style>
  <w:style w:type="paragraph" w:styleId="afffff0">
    <w:name w:val="Salutation"/>
    <w:basedOn w:val="a2"/>
    <w:next w:val="a2"/>
    <w:link w:val="afffff1"/>
    <w:uiPriority w:val="99"/>
    <w:semiHidden/>
    <w:unhideWhenUsed/>
    <w:rsid w:val="00F527CC"/>
  </w:style>
  <w:style w:type="character" w:customStyle="1" w:styleId="afffff1">
    <w:name w:val="Приветствие Знак"/>
    <w:basedOn w:val="a3"/>
    <w:link w:val="afffff0"/>
    <w:uiPriority w:val="99"/>
    <w:semiHidden/>
    <w:rsid w:val="00F527CC"/>
    <w:rPr>
      <w:lang w:val="en-US"/>
    </w:rPr>
  </w:style>
  <w:style w:type="paragraph" w:styleId="afffff2">
    <w:name w:val="Signature"/>
    <w:basedOn w:val="a2"/>
    <w:link w:val="afffff3"/>
    <w:uiPriority w:val="99"/>
    <w:semiHidden/>
    <w:unhideWhenUsed/>
    <w:rsid w:val="00F527CC"/>
    <w:pPr>
      <w:spacing w:after="0" w:line="240" w:lineRule="auto"/>
      <w:ind w:left="4252"/>
    </w:pPr>
  </w:style>
  <w:style w:type="character" w:customStyle="1" w:styleId="afffff3">
    <w:name w:val="Подпись Знак"/>
    <w:basedOn w:val="a3"/>
    <w:link w:val="afffff2"/>
    <w:uiPriority w:val="99"/>
    <w:semiHidden/>
    <w:rsid w:val="00F527CC"/>
    <w:rPr>
      <w:lang w:val="en-US"/>
    </w:rPr>
  </w:style>
  <w:style w:type="character" w:styleId="afffff4">
    <w:name w:val="Strong"/>
    <w:basedOn w:val="a3"/>
    <w:uiPriority w:val="22"/>
    <w:qFormat/>
    <w:rsid w:val="00F527CC"/>
    <w:rPr>
      <w:b/>
      <w:bCs/>
      <w:lang w:val="en-US"/>
    </w:rPr>
  </w:style>
  <w:style w:type="character" w:styleId="afffff5">
    <w:name w:val="Subtle Emphasis"/>
    <w:basedOn w:val="a3"/>
    <w:uiPriority w:val="19"/>
    <w:qFormat/>
    <w:rsid w:val="00F527CC"/>
    <w:rPr>
      <w:i/>
      <w:iCs/>
      <w:color w:val="6F6F6F" w:themeColor="text1" w:themeTint="BF"/>
      <w:lang w:val="en-US"/>
    </w:rPr>
  </w:style>
  <w:style w:type="character" w:styleId="afffff6">
    <w:name w:val="Subtle Reference"/>
    <w:basedOn w:val="a3"/>
    <w:uiPriority w:val="31"/>
    <w:qFormat/>
    <w:rsid w:val="00F527CC"/>
    <w:rPr>
      <w:smallCaps/>
      <w:color w:val="838383" w:themeColor="text1" w:themeTint="A5"/>
      <w:lang w:val="en-US"/>
    </w:rPr>
  </w:style>
  <w:style w:type="table" w:styleId="17">
    <w:name w:val="Table 3D effects 1"/>
    <w:basedOn w:val="a4"/>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4"/>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4"/>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4"/>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4"/>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4"/>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4"/>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4"/>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4"/>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Grid 1"/>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4"/>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4"/>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4"/>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4"/>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4"/>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4"/>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b">
    <w:name w:val="Table List 6"/>
    <w:basedOn w:val="a4"/>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4"/>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a">
    <w:name w:val="table of authorities"/>
    <w:basedOn w:val="a2"/>
    <w:next w:val="a2"/>
    <w:uiPriority w:val="99"/>
    <w:semiHidden/>
    <w:unhideWhenUsed/>
    <w:rsid w:val="00F527CC"/>
    <w:pPr>
      <w:spacing w:after="0"/>
      <w:ind w:left="220" w:hanging="220"/>
    </w:pPr>
  </w:style>
  <w:style w:type="paragraph" w:styleId="afffffb">
    <w:name w:val="table of figures"/>
    <w:basedOn w:val="a2"/>
    <w:next w:val="a2"/>
    <w:uiPriority w:val="99"/>
    <w:semiHidden/>
    <w:unhideWhenUsed/>
    <w:rsid w:val="00F527CC"/>
    <w:pPr>
      <w:spacing w:after="0"/>
    </w:pPr>
  </w:style>
  <w:style w:type="table" w:styleId="afffffc">
    <w:name w:val="Table Professional"/>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4"/>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4"/>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4"/>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Web 1"/>
    <w:basedOn w:val="a4"/>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4"/>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4"/>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e">
    <w:name w:val="toa heading"/>
    <w:basedOn w:val="a2"/>
    <w:next w:val="a2"/>
    <w:uiPriority w:val="99"/>
    <w:semiHidden/>
    <w:unhideWhenUsed/>
    <w:rsid w:val="00F527CC"/>
    <w:pPr>
      <w:spacing w:before="120"/>
    </w:pPr>
    <w:rPr>
      <w:rFonts w:eastAsiaTheme="majorEastAsia" w:cs="Arial"/>
      <w:b/>
      <w:bCs/>
      <w:sz w:val="24"/>
      <w:szCs w:val="24"/>
    </w:rPr>
  </w:style>
  <w:style w:type="paragraph" w:styleId="59">
    <w:name w:val="toc 5"/>
    <w:basedOn w:val="a2"/>
    <w:next w:val="a2"/>
    <w:autoRedefine/>
    <w:uiPriority w:val="39"/>
    <w:semiHidden/>
    <w:unhideWhenUsed/>
    <w:rsid w:val="00F527CC"/>
    <w:pPr>
      <w:spacing w:after="100"/>
      <w:ind w:left="880"/>
    </w:pPr>
  </w:style>
  <w:style w:type="paragraph" w:styleId="63">
    <w:name w:val="toc 6"/>
    <w:basedOn w:val="a2"/>
    <w:next w:val="a2"/>
    <w:autoRedefine/>
    <w:uiPriority w:val="39"/>
    <w:semiHidden/>
    <w:unhideWhenUsed/>
    <w:rsid w:val="00F527CC"/>
    <w:pPr>
      <w:spacing w:after="100"/>
      <w:ind w:left="1100"/>
    </w:pPr>
  </w:style>
  <w:style w:type="paragraph" w:styleId="73">
    <w:name w:val="toc 7"/>
    <w:basedOn w:val="a2"/>
    <w:next w:val="a2"/>
    <w:autoRedefine/>
    <w:uiPriority w:val="39"/>
    <w:semiHidden/>
    <w:unhideWhenUsed/>
    <w:rsid w:val="00F527CC"/>
    <w:pPr>
      <w:spacing w:after="100"/>
      <w:ind w:left="1320"/>
    </w:pPr>
  </w:style>
  <w:style w:type="paragraph" w:styleId="83">
    <w:name w:val="toc 8"/>
    <w:basedOn w:val="a2"/>
    <w:next w:val="a2"/>
    <w:autoRedefine/>
    <w:uiPriority w:val="39"/>
    <w:semiHidden/>
    <w:unhideWhenUsed/>
    <w:rsid w:val="00F527CC"/>
    <w:pPr>
      <w:spacing w:after="100"/>
      <w:ind w:left="1540"/>
    </w:pPr>
  </w:style>
  <w:style w:type="paragraph" w:styleId="92">
    <w:name w:val="toc 9"/>
    <w:basedOn w:val="a2"/>
    <w:next w:val="a2"/>
    <w:autoRedefine/>
    <w:uiPriority w:val="39"/>
    <w:semiHidden/>
    <w:unhideWhenUsed/>
    <w:rsid w:val="00F527CC"/>
    <w:pPr>
      <w:spacing w:after="100"/>
      <w:ind w:left="1760"/>
    </w:pPr>
  </w:style>
  <w:style w:type="paragraph" w:styleId="affffff">
    <w:name w:val="TOC Heading"/>
    <w:basedOn w:val="1"/>
    <w:next w:val="a2"/>
    <w:uiPriority w:val="39"/>
    <w:semiHidden/>
    <w:unhideWhenUsed/>
    <w:qFormat/>
    <w:rsid w:val="00F527CC"/>
    <w:pPr>
      <w:numPr>
        <w:numId w:val="0"/>
      </w:numPr>
      <w:spacing w:before="240" w:after="0" w:line="240" w:lineRule="atLeast"/>
      <w:outlineLvl w:val="9"/>
    </w:pPr>
    <w:rPr>
      <w:bCs w:val="0"/>
      <w:noProof w:val="0"/>
      <w:color w:val="939599" w:themeColor="accent1" w:themeShade="BF"/>
      <w:sz w:val="32"/>
      <w:szCs w:val="32"/>
    </w:rPr>
  </w:style>
  <w:style w:type="character" w:styleId="affffff0">
    <w:name w:val="Hashtag"/>
    <w:basedOn w:val="a3"/>
    <w:uiPriority w:val="99"/>
    <w:semiHidden/>
    <w:unhideWhenUsed/>
    <w:rsid w:val="009F52F1"/>
    <w:rPr>
      <w:color w:val="2B579A"/>
      <w:shd w:val="clear" w:color="auto" w:fill="E6E6E6"/>
    </w:rPr>
  </w:style>
  <w:style w:type="character" w:styleId="affffff1">
    <w:name w:val="Mention"/>
    <w:basedOn w:val="a3"/>
    <w:uiPriority w:val="99"/>
    <w:semiHidden/>
    <w:unhideWhenUsed/>
    <w:rsid w:val="009F52F1"/>
    <w:rPr>
      <w:color w:val="2B579A"/>
      <w:shd w:val="clear" w:color="auto" w:fill="E6E6E6"/>
    </w:rPr>
  </w:style>
  <w:style w:type="character" w:styleId="-">
    <w:name w:val="Smart Hyperlink"/>
    <w:basedOn w:val="a3"/>
    <w:uiPriority w:val="99"/>
    <w:semiHidden/>
    <w:unhideWhenUsed/>
    <w:rsid w:val="009F52F1"/>
    <w:rPr>
      <w:u w:val="dotted"/>
    </w:rPr>
  </w:style>
  <w:style w:type="character" w:styleId="affffff2">
    <w:name w:val="Unresolved Mention"/>
    <w:basedOn w:val="a3"/>
    <w:uiPriority w:val="99"/>
    <w:semiHidden/>
    <w:unhideWhenUsed/>
    <w:rsid w:val="009F52F1"/>
    <w:rPr>
      <w:color w:val="808080"/>
      <w:shd w:val="clear" w:color="auto" w:fill="E6E6E6"/>
    </w:rPr>
  </w:style>
  <w:style w:type="table" w:customStyle="1" w:styleId="TableGrid2">
    <w:name w:val="Table Grid2"/>
    <w:basedOn w:val="a4"/>
    <w:next w:val="aa"/>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Абзац списка Знак"/>
    <w:aliases w:val="Paragraph Знак,Header 2 Знак,Head1.1 Знак,References Знак,Paragraphe de liste1 Знак,List Paragraph1 Знак,Liste couleur - Accent 11 Знак,Liste couleur - Accent 111 Знак,Paragraphe de liste3 Знак,List Paragraph2 Знак,Bullets Знак"/>
    <w:basedOn w:val="a3"/>
    <w:link w:val="affff3"/>
    <w:uiPriority w:val="34"/>
    <w:locked/>
    <w:rsid w:val="009A6DE4"/>
    <w:rPr>
      <w:lang w:val="en-US"/>
    </w:rPr>
  </w:style>
  <w:style w:type="table" w:customStyle="1" w:styleId="TableGrid3">
    <w:name w:val="Table Grid3"/>
    <w:basedOn w:val="a4"/>
    <w:next w:val="aa"/>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a"/>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a3"/>
    <w:uiPriority w:val="99"/>
    <w:semiHidden/>
    <w:locked/>
    <w:rsid w:val="004807FB"/>
    <w:rPr>
      <w:rFonts w:ascii="Arial" w:eastAsia="SimSun" w:hAnsi="Arial" w:cs="Times New Roman"/>
      <w:sz w:val="20"/>
      <w:szCs w:val="20"/>
      <w:lang w:val="en-US" w:eastAsia="zh-CN"/>
    </w:rPr>
  </w:style>
  <w:style w:type="paragraph" w:styleId="affffff3">
    <w:name w:val="Revision"/>
    <w:hidden/>
    <w:uiPriority w:val="99"/>
    <w:semiHidden/>
    <w:rsid w:val="00F85686"/>
    <w:pPr>
      <w:spacing w:after="0" w:line="240" w:lineRule="auto"/>
    </w:pPr>
    <w:rPr>
      <w:lang w:val="en-US"/>
    </w:rPr>
  </w:style>
  <w:style w:type="paragraph" w:customStyle="1" w:styleId="paragraph">
    <w:name w:val="paragraph"/>
    <w:basedOn w:val="a2"/>
    <w:rsid w:val="00854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3"/>
    <w:rsid w:val="00854A89"/>
  </w:style>
  <w:style w:type="character" w:customStyle="1" w:styleId="eop">
    <w:name w:val="eop"/>
    <w:basedOn w:val="a3"/>
    <w:rsid w:val="00854A89"/>
  </w:style>
  <w:style w:type="paragraph" w:customStyle="1" w:styleId="Default">
    <w:name w:val="Default"/>
    <w:rsid w:val="00172EDE"/>
    <w:pPr>
      <w:autoSpaceDE w:val="0"/>
      <w:autoSpaceDN w:val="0"/>
      <w:adjustRightInd w:val="0"/>
      <w:spacing w:after="0" w:line="240" w:lineRule="auto"/>
    </w:pPr>
    <w:rPr>
      <w:rFonts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7522">
      <w:bodyDiv w:val="1"/>
      <w:marLeft w:val="0"/>
      <w:marRight w:val="0"/>
      <w:marTop w:val="0"/>
      <w:marBottom w:val="0"/>
      <w:divBdr>
        <w:top w:val="none" w:sz="0" w:space="0" w:color="auto"/>
        <w:left w:val="none" w:sz="0" w:space="0" w:color="auto"/>
        <w:bottom w:val="none" w:sz="0" w:space="0" w:color="auto"/>
        <w:right w:val="none" w:sz="0" w:space="0" w:color="auto"/>
      </w:divBdr>
    </w:div>
    <w:div w:id="252974537">
      <w:bodyDiv w:val="1"/>
      <w:marLeft w:val="0"/>
      <w:marRight w:val="0"/>
      <w:marTop w:val="0"/>
      <w:marBottom w:val="0"/>
      <w:divBdr>
        <w:top w:val="none" w:sz="0" w:space="0" w:color="auto"/>
        <w:left w:val="none" w:sz="0" w:space="0" w:color="auto"/>
        <w:bottom w:val="none" w:sz="0" w:space="0" w:color="auto"/>
        <w:right w:val="none" w:sz="0" w:space="0" w:color="auto"/>
      </w:divBdr>
      <w:divsChild>
        <w:div w:id="818809363">
          <w:marLeft w:val="0"/>
          <w:marRight w:val="0"/>
          <w:marTop w:val="0"/>
          <w:marBottom w:val="0"/>
          <w:divBdr>
            <w:top w:val="none" w:sz="0" w:space="0" w:color="auto"/>
            <w:left w:val="none" w:sz="0" w:space="0" w:color="auto"/>
            <w:bottom w:val="none" w:sz="0" w:space="0" w:color="auto"/>
            <w:right w:val="none" w:sz="0" w:space="0" w:color="auto"/>
          </w:divBdr>
          <w:divsChild>
            <w:div w:id="1324091701">
              <w:marLeft w:val="0"/>
              <w:marRight w:val="0"/>
              <w:marTop w:val="0"/>
              <w:marBottom w:val="0"/>
              <w:divBdr>
                <w:top w:val="none" w:sz="0" w:space="0" w:color="auto"/>
                <w:left w:val="none" w:sz="0" w:space="0" w:color="auto"/>
                <w:bottom w:val="none" w:sz="0" w:space="0" w:color="auto"/>
                <w:right w:val="none" w:sz="0" w:space="0" w:color="auto"/>
              </w:divBdr>
              <w:divsChild>
                <w:div w:id="8383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73847">
      <w:bodyDiv w:val="1"/>
      <w:marLeft w:val="0"/>
      <w:marRight w:val="0"/>
      <w:marTop w:val="0"/>
      <w:marBottom w:val="0"/>
      <w:divBdr>
        <w:top w:val="none" w:sz="0" w:space="0" w:color="auto"/>
        <w:left w:val="none" w:sz="0" w:space="0" w:color="auto"/>
        <w:bottom w:val="none" w:sz="0" w:space="0" w:color="auto"/>
        <w:right w:val="none" w:sz="0" w:space="0" w:color="auto"/>
      </w:divBdr>
      <w:divsChild>
        <w:div w:id="1629705529">
          <w:marLeft w:val="0"/>
          <w:marRight w:val="0"/>
          <w:marTop w:val="0"/>
          <w:marBottom w:val="0"/>
          <w:divBdr>
            <w:top w:val="none" w:sz="0" w:space="0" w:color="auto"/>
            <w:left w:val="none" w:sz="0" w:space="0" w:color="auto"/>
            <w:bottom w:val="none" w:sz="0" w:space="0" w:color="auto"/>
            <w:right w:val="none" w:sz="0" w:space="0" w:color="auto"/>
          </w:divBdr>
          <w:divsChild>
            <w:div w:id="85150351">
              <w:marLeft w:val="0"/>
              <w:marRight w:val="0"/>
              <w:marTop w:val="0"/>
              <w:marBottom w:val="0"/>
              <w:divBdr>
                <w:top w:val="none" w:sz="0" w:space="0" w:color="auto"/>
                <w:left w:val="none" w:sz="0" w:space="0" w:color="auto"/>
                <w:bottom w:val="none" w:sz="0" w:space="0" w:color="auto"/>
                <w:right w:val="none" w:sz="0" w:space="0" w:color="auto"/>
              </w:divBdr>
              <w:divsChild>
                <w:div w:id="1221214556">
                  <w:marLeft w:val="0"/>
                  <w:marRight w:val="0"/>
                  <w:marTop w:val="0"/>
                  <w:marBottom w:val="0"/>
                  <w:divBdr>
                    <w:top w:val="none" w:sz="0" w:space="0" w:color="auto"/>
                    <w:left w:val="none" w:sz="0" w:space="0" w:color="auto"/>
                    <w:bottom w:val="none" w:sz="0" w:space="0" w:color="auto"/>
                    <w:right w:val="none" w:sz="0" w:space="0" w:color="auto"/>
                  </w:divBdr>
                  <w:divsChild>
                    <w:div w:id="11079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87703">
      <w:bodyDiv w:val="1"/>
      <w:marLeft w:val="0"/>
      <w:marRight w:val="0"/>
      <w:marTop w:val="0"/>
      <w:marBottom w:val="0"/>
      <w:divBdr>
        <w:top w:val="none" w:sz="0" w:space="0" w:color="auto"/>
        <w:left w:val="none" w:sz="0" w:space="0" w:color="auto"/>
        <w:bottom w:val="none" w:sz="0" w:space="0" w:color="auto"/>
        <w:right w:val="none" w:sz="0" w:space="0" w:color="auto"/>
      </w:divBdr>
    </w:div>
    <w:div w:id="770050259">
      <w:bodyDiv w:val="1"/>
      <w:marLeft w:val="0"/>
      <w:marRight w:val="0"/>
      <w:marTop w:val="0"/>
      <w:marBottom w:val="0"/>
      <w:divBdr>
        <w:top w:val="none" w:sz="0" w:space="0" w:color="auto"/>
        <w:left w:val="none" w:sz="0" w:space="0" w:color="auto"/>
        <w:bottom w:val="none" w:sz="0" w:space="0" w:color="auto"/>
        <w:right w:val="none" w:sz="0" w:space="0" w:color="auto"/>
      </w:divBdr>
      <w:divsChild>
        <w:div w:id="615406717">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 w:id="1336882401">
          <w:marLeft w:val="0"/>
          <w:marRight w:val="0"/>
          <w:marTop w:val="0"/>
          <w:marBottom w:val="0"/>
          <w:divBdr>
            <w:top w:val="none" w:sz="0" w:space="0" w:color="auto"/>
            <w:left w:val="none" w:sz="0" w:space="0" w:color="auto"/>
            <w:bottom w:val="none" w:sz="0" w:space="0" w:color="auto"/>
            <w:right w:val="none" w:sz="0" w:space="0" w:color="auto"/>
          </w:divBdr>
        </w:div>
        <w:div w:id="327294719">
          <w:marLeft w:val="0"/>
          <w:marRight w:val="0"/>
          <w:marTop w:val="0"/>
          <w:marBottom w:val="0"/>
          <w:divBdr>
            <w:top w:val="none" w:sz="0" w:space="0" w:color="auto"/>
            <w:left w:val="none" w:sz="0" w:space="0" w:color="auto"/>
            <w:bottom w:val="none" w:sz="0" w:space="0" w:color="auto"/>
            <w:right w:val="none" w:sz="0" w:space="0" w:color="auto"/>
          </w:divBdr>
        </w:div>
      </w:divsChild>
    </w:div>
    <w:div w:id="1160806021">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217936770">
      <w:bodyDiv w:val="1"/>
      <w:marLeft w:val="0"/>
      <w:marRight w:val="0"/>
      <w:marTop w:val="0"/>
      <w:marBottom w:val="0"/>
      <w:divBdr>
        <w:top w:val="none" w:sz="0" w:space="0" w:color="auto"/>
        <w:left w:val="none" w:sz="0" w:space="0" w:color="auto"/>
        <w:bottom w:val="none" w:sz="0" w:space="0" w:color="auto"/>
        <w:right w:val="none" w:sz="0" w:space="0" w:color="auto"/>
      </w:divBdr>
      <w:divsChild>
        <w:div w:id="1366833074">
          <w:marLeft w:val="0"/>
          <w:marRight w:val="0"/>
          <w:marTop w:val="0"/>
          <w:marBottom w:val="0"/>
          <w:divBdr>
            <w:top w:val="none" w:sz="0" w:space="0" w:color="auto"/>
            <w:left w:val="none" w:sz="0" w:space="0" w:color="auto"/>
            <w:bottom w:val="none" w:sz="0" w:space="0" w:color="auto"/>
            <w:right w:val="none" w:sz="0" w:space="0" w:color="auto"/>
          </w:divBdr>
          <w:divsChild>
            <w:div w:id="1186947711">
              <w:marLeft w:val="0"/>
              <w:marRight w:val="0"/>
              <w:marTop w:val="0"/>
              <w:marBottom w:val="0"/>
              <w:divBdr>
                <w:top w:val="none" w:sz="0" w:space="0" w:color="auto"/>
                <w:left w:val="none" w:sz="0" w:space="0" w:color="auto"/>
                <w:bottom w:val="none" w:sz="0" w:space="0" w:color="auto"/>
                <w:right w:val="none" w:sz="0" w:space="0" w:color="auto"/>
              </w:divBdr>
              <w:divsChild>
                <w:div w:id="5665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30019">
      <w:bodyDiv w:val="1"/>
      <w:marLeft w:val="0"/>
      <w:marRight w:val="0"/>
      <w:marTop w:val="0"/>
      <w:marBottom w:val="0"/>
      <w:divBdr>
        <w:top w:val="none" w:sz="0" w:space="0" w:color="auto"/>
        <w:left w:val="none" w:sz="0" w:space="0" w:color="auto"/>
        <w:bottom w:val="none" w:sz="0" w:space="0" w:color="auto"/>
        <w:right w:val="none" w:sz="0" w:space="0" w:color="auto"/>
      </w:divBdr>
      <w:divsChild>
        <w:div w:id="2116246435">
          <w:marLeft w:val="0"/>
          <w:marRight w:val="0"/>
          <w:marTop w:val="0"/>
          <w:marBottom w:val="0"/>
          <w:divBdr>
            <w:top w:val="none" w:sz="0" w:space="0" w:color="auto"/>
            <w:left w:val="none" w:sz="0" w:space="0" w:color="auto"/>
            <w:bottom w:val="none" w:sz="0" w:space="0" w:color="auto"/>
            <w:right w:val="none" w:sz="0" w:space="0" w:color="auto"/>
          </w:divBdr>
          <w:divsChild>
            <w:div w:id="1538197326">
              <w:marLeft w:val="0"/>
              <w:marRight w:val="0"/>
              <w:marTop w:val="0"/>
              <w:marBottom w:val="0"/>
              <w:divBdr>
                <w:top w:val="none" w:sz="0" w:space="0" w:color="auto"/>
                <w:left w:val="none" w:sz="0" w:space="0" w:color="auto"/>
                <w:bottom w:val="none" w:sz="0" w:space="0" w:color="auto"/>
                <w:right w:val="none" w:sz="0" w:space="0" w:color="auto"/>
              </w:divBdr>
              <w:divsChild>
                <w:div w:id="1640917445">
                  <w:marLeft w:val="0"/>
                  <w:marRight w:val="0"/>
                  <w:marTop w:val="0"/>
                  <w:marBottom w:val="0"/>
                  <w:divBdr>
                    <w:top w:val="none" w:sz="0" w:space="0" w:color="auto"/>
                    <w:left w:val="none" w:sz="0" w:space="0" w:color="auto"/>
                    <w:bottom w:val="none" w:sz="0" w:space="0" w:color="auto"/>
                    <w:right w:val="none" w:sz="0" w:space="0" w:color="auto"/>
                  </w:divBdr>
                </w:div>
              </w:divsChild>
            </w:div>
            <w:div w:id="408163723">
              <w:marLeft w:val="0"/>
              <w:marRight w:val="0"/>
              <w:marTop w:val="0"/>
              <w:marBottom w:val="0"/>
              <w:divBdr>
                <w:top w:val="none" w:sz="0" w:space="0" w:color="auto"/>
                <w:left w:val="none" w:sz="0" w:space="0" w:color="auto"/>
                <w:bottom w:val="none" w:sz="0" w:space="0" w:color="auto"/>
                <w:right w:val="none" w:sz="0" w:space="0" w:color="auto"/>
              </w:divBdr>
              <w:divsChild>
                <w:div w:id="8766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972">
          <w:marLeft w:val="0"/>
          <w:marRight w:val="0"/>
          <w:marTop w:val="0"/>
          <w:marBottom w:val="0"/>
          <w:divBdr>
            <w:top w:val="none" w:sz="0" w:space="0" w:color="auto"/>
            <w:left w:val="none" w:sz="0" w:space="0" w:color="auto"/>
            <w:bottom w:val="none" w:sz="0" w:space="0" w:color="auto"/>
            <w:right w:val="none" w:sz="0" w:space="0" w:color="auto"/>
          </w:divBdr>
          <w:divsChild>
            <w:div w:id="600838111">
              <w:marLeft w:val="0"/>
              <w:marRight w:val="0"/>
              <w:marTop w:val="0"/>
              <w:marBottom w:val="0"/>
              <w:divBdr>
                <w:top w:val="none" w:sz="0" w:space="0" w:color="auto"/>
                <w:left w:val="none" w:sz="0" w:space="0" w:color="auto"/>
                <w:bottom w:val="none" w:sz="0" w:space="0" w:color="auto"/>
                <w:right w:val="none" w:sz="0" w:space="0" w:color="auto"/>
              </w:divBdr>
              <w:divsChild>
                <w:div w:id="412968811">
                  <w:marLeft w:val="0"/>
                  <w:marRight w:val="0"/>
                  <w:marTop w:val="0"/>
                  <w:marBottom w:val="0"/>
                  <w:divBdr>
                    <w:top w:val="none" w:sz="0" w:space="0" w:color="auto"/>
                    <w:left w:val="none" w:sz="0" w:space="0" w:color="auto"/>
                    <w:bottom w:val="none" w:sz="0" w:space="0" w:color="auto"/>
                    <w:right w:val="none" w:sz="0" w:space="0" w:color="auto"/>
                  </w:divBdr>
                </w:div>
              </w:divsChild>
            </w:div>
            <w:div w:id="751975778">
              <w:marLeft w:val="0"/>
              <w:marRight w:val="0"/>
              <w:marTop w:val="0"/>
              <w:marBottom w:val="0"/>
              <w:divBdr>
                <w:top w:val="none" w:sz="0" w:space="0" w:color="auto"/>
                <w:left w:val="none" w:sz="0" w:space="0" w:color="auto"/>
                <w:bottom w:val="none" w:sz="0" w:space="0" w:color="auto"/>
                <w:right w:val="none" w:sz="0" w:space="0" w:color="auto"/>
              </w:divBdr>
              <w:divsChild>
                <w:div w:id="1978535061">
                  <w:marLeft w:val="0"/>
                  <w:marRight w:val="0"/>
                  <w:marTop w:val="0"/>
                  <w:marBottom w:val="0"/>
                  <w:divBdr>
                    <w:top w:val="none" w:sz="0" w:space="0" w:color="auto"/>
                    <w:left w:val="none" w:sz="0" w:space="0" w:color="auto"/>
                    <w:bottom w:val="none" w:sz="0" w:space="0" w:color="auto"/>
                    <w:right w:val="none" w:sz="0" w:space="0" w:color="auto"/>
                  </w:divBdr>
                </w:div>
              </w:divsChild>
            </w:div>
            <w:div w:id="2062094712">
              <w:marLeft w:val="0"/>
              <w:marRight w:val="0"/>
              <w:marTop w:val="0"/>
              <w:marBottom w:val="0"/>
              <w:divBdr>
                <w:top w:val="none" w:sz="0" w:space="0" w:color="auto"/>
                <w:left w:val="none" w:sz="0" w:space="0" w:color="auto"/>
                <w:bottom w:val="none" w:sz="0" w:space="0" w:color="auto"/>
                <w:right w:val="none" w:sz="0" w:space="0" w:color="auto"/>
              </w:divBdr>
              <w:divsChild>
                <w:div w:id="1925450112">
                  <w:marLeft w:val="0"/>
                  <w:marRight w:val="0"/>
                  <w:marTop w:val="0"/>
                  <w:marBottom w:val="0"/>
                  <w:divBdr>
                    <w:top w:val="none" w:sz="0" w:space="0" w:color="auto"/>
                    <w:left w:val="none" w:sz="0" w:space="0" w:color="auto"/>
                    <w:bottom w:val="none" w:sz="0" w:space="0" w:color="auto"/>
                    <w:right w:val="none" w:sz="0" w:space="0" w:color="auto"/>
                  </w:divBdr>
                </w:div>
              </w:divsChild>
            </w:div>
            <w:div w:id="540824415">
              <w:marLeft w:val="0"/>
              <w:marRight w:val="0"/>
              <w:marTop w:val="0"/>
              <w:marBottom w:val="0"/>
              <w:divBdr>
                <w:top w:val="none" w:sz="0" w:space="0" w:color="auto"/>
                <w:left w:val="none" w:sz="0" w:space="0" w:color="auto"/>
                <w:bottom w:val="none" w:sz="0" w:space="0" w:color="auto"/>
                <w:right w:val="none" w:sz="0" w:space="0" w:color="auto"/>
              </w:divBdr>
              <w:divsChild>
                <w:div w:id="1017804576">
                  <w:marLeft w:val="0"/>
                  <w:marRight w:val="0"/>
                  <w:marTop w:val="0"/>
                  <w:marBottom w:val="0"/>
                  <w:divBdr>
                    <w:top w:val="none" w:sz="0" w:space="0" w:color="auto"/>
                    <w:left w:val="none" w:sz="0" w:space="0" w:color="auto"/>
                    <w:bottom w:val="none" w:sz="0" w:space="0" w:color="auto"/>
                    <w:right w:val="none" w:sz="0" w:space="0" w:color="auto"/>
                  </w:divBdr>
                </w:div>
              </w:divsChild>
            </w:div>
            <w:div w:id="1935506370">
              <w:marLeft w:val="0"/>
              <w:marRight w:val="0"/>
              <w:marTop w:val="0"/>
              <w:marBottom w:val="0"/>
              <w:divBdr>
                <w:top w:val="none" w:sz="0" w:space="0" w:color="auto"/>
                <w:left w:val="none" w:sz="0" w:space="0" w:color="auto"/>
                <w:bottom w:val="none" w:sz="0" w:space="0" w:color="auto"/>
                <w:right w:val="none" w:sz="0" w:space="0" w:color="auto"/>
              </w:divBdr>
              <w:divsChild>
                <w:div w:id="15886453">
                  <w:marLeft w:val="0"/>
                  <w:marRight w:val="0"/>
                  <w:marTop w:val="0"/>
                  <w:marBottom w:val="0"/>
                  <w:divBdr>
                    <w:top w:val="none" w:sz="0" w:space="0" w:color="auto"/>
                    <w:left w:val="none" w:sz="0" w:space="0" w:color="auto"/>
                    <w:bottom w:val="none" w:sz="0" w:space="0" w:color="auto"/>
                    <w:right w:val="none" w:sz="0" w:space="0" w:color="auto"/>
                  </w:divBdr>
                </w:div>
              </w:divsChild>
            </w:div>
            <w:div w:id="78216027">
              <w:marLeft w:val="0"/>
              <w:marRight w:val="0"/>
              <w:marTop w:val="0"/>
              <w:marBottom w:val="0"/>
              <w:divBdr>
                <w:top w:val="none" w:sz="0" w:space="0" w:color="auto"/>
                <w:left w:val="none" w:sz="0" w:space="0" w:color="auto"/>
                <w:bottom w:val="none" w:sz="0" w:space="0" w:color="auto"/>
                <w:right w:val="none" w:sz="0" w:space="0" w:color="auto"/>
              </w:divBdr>
              <w:divsChild>
                <w:div w:id="1637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3865">
          <w:marLeft w:val="0"/>
          <w:marRight w:val="0"/>
          <w:marTop w:val="0"/>
          <w:marBottom w:val="0"/>
          <w:divBdr>
            <w:top w:val="none" w:sz="0" w:space="0" w:color="auto"/>
            <w:left w:val="none" w:sz="0" w:space="0" w:color="auto"/>
            <w:bottom w:val="none" w:sz="0" w:space="0" w:color="auto"/>
            <w:right w:val="none" w:sz="0" w:space="0" w:color="auto"/>
          </w:divBdr>
          <w:divsChild>
            <w:div w:id="1530219843">
              <w:marLeft w:val="0"/>
              <w:marRight w:val="0"/>
              <w:marTop w:val="0"/>
              <w:marBottom w:val="0"/>
              <w:divBdr>
                <w:top w:val="none" w:sz="0" w:space="0" w:color="auto"/>
                <w:left w:val="none" w:sz="0" w:space="0" w:color="auto"/>
                <w:bottom w:val="none" w:sz="0" w:space="0" w:color="auto"/>
                <w:right w:val="none" w:sz="0" w:space="0" w:color="auto"/>
              </w:divBdr>
              <w:divsChild>
                <w:div w:id="18666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49821">
      <w:bodyDiv w:val="1"/>
      <w:marLeft w:val="0"/>
      <w:marRight w:val="0"/>
      <w:marTop w:val="0"/>
      <w:marBottom w:val="0"/>
      <w:divBdr>
        <w:top w:val="none" w:sz="0" w:space="0" w:color="auto"/>
        <w:left w:val="none" w:sz="0" w:space="0" w:color="auto"/>
        <w:bottom w:val="none" w:sz="0" w:space="0" w:color="auto"/>
        <w:right w:val="none" w:sz="0" w:space="0" w:color="auto"/>
      </w:divBdr>
    </w:div>
    <w:div w:id="1546218926">
      <w:bodyDiv w:val="1"/>
      <w:marLeft w:val="0"/>
      <w:marRight w:val="0"/>
      <w:marTop w:val="0"/>
      <w:marBottom w:val="0"/>
      <w:divBdr>
        <w:top w:val="none" w:sz="0" w:space="0" w:color="auto"/>
        <w:left w:val="none" w:sz="0" w:space="0" w:color="auto"/>
        <w:bottom w:val="none" w:sz="0" w:space="0" w:color="auto"/>
        <w:right w:val="none" w:sz="0" w:space="0" w:color="auto"/>
      </w:divBdr>
      <w:divsChild>
        <w:div w:id="1890413426">
          <w:marLeft w:val="0"/>
          <w:marRight w:val="0"/>
          <w:marTop w:val="0"/>
          <w:marBottom w:val="0"/>
          <w:divBdr>
            <w:top w:val="none" w:sz="0" w:space="0" w:color="auto"/>
            <w:left w:val="none" w:sz="0" w:space="0" w:color="auto"/>
            <w:bottom w:val="none" w:sz="0" w:space="0" w:color="auto"/>
            <w:right w:val="none" w:sz="0" w:space="0" w:color="auto"/>
          </w:divBdr>
        </w:div>
        <w:div w:id="733312497">
          <w:marLeft w:val="0"/>
          <w:marRight w:val="0"/>
          <w:marTop w:val="0"/>
          <w:marBottom w:val="0"/>
          <w:divBdr>
            <w:top w:val="none" w:sz="0" w:space="0" w:color="auto"/>
            <w:left w:val="none" w:sz="0" w:space="0" w:color="auto"/>
            <w:bottom w:val="none" w:sz="0" w:space="0" w:color="auto"/>
            <w:right w:val="none" w:sz="0" w:space="0" w:color="auto"/>
          </w:divBdr>
        </w:div>
      </w:divsChild>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1989626193">
      <w:bodyDiv w:val="1"/>
      <w:marLeft w:val="0"/>
      <w:marRight w:val="0"/>
      <w:marTop w:val="0"/>
      <w:marBottom w:val="0"/>
      <w:divBdr>
        <w:top w:val="none" w:sz="0" w:space="0" w:color="auto"/>
        <w:left w:val="none" w:sz="0" w:space="0" w:color="auto"/>
        <w:bottom w:val="none" w:sz="0" w:space="0" w:color="auto"/>
        <w:right w:val="none" w:sz="0" w:space="0" w:color="auto"/>
      </w:divBdr>
      <w:divsChild>
        <w:div w:id="984166780">
          <w:marLeft w:val="0"/>
          <w:marRight w:val="0"/>
          <w:marTop w:val="0"/>
          <w:marBottom w:val="0"/>
          <w:divBdr>
            <w:top w:val="none" w:sz="0" w:space="0" w:color="auto"/>
            <w:left w:val="none" w:sz="0" w:space="0" w:color="auto"/>
            <w:bottom w:val="none" w:sz="0" w:space="0" w:color="auto"/>
            <w:right w:val="none" w:sz="0" w:space="0" w:color="auto"/>
          </w:divBdr>
        </w:div>
        <w:div w:id="28337869">
          <w:marLeft w:val="0"/>
          <w:marRight w:val="0"/>
          <w:marTop w:val="0"/>
          <w:marBottom w:val="0"/>
          <w:divBdr>
            <w:top w:val="none" w:sz="0" w:space="0" w:color="auto"/>
            <w:left w:val="none" w:sz="0" w:space="0" w:color="auto"/>
            <w:bottom w:val="none" w:sz="0" w:space="0" w:color="auto"/>
            <w:right w:val="none" w:sz="0" w:space="0" w:color="auto"/>
          </w:divBdr>
        </w:div>
        <w:div w:id="173388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globalfund.org/en/funding-model/applying/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nam03.safelinks.protection.outlook.com/?url=http%3A%2F%2Foptimamodel.com%2Fpubs%2FKazakhstan_2020.pdf&amp;data=02%7C01%7CCorina.Maxim%40theglobalfund.org%7C8f15f3e3b06443105b1e08d80d1083eb%7C7792090987824efbaaf144ac114d7c03%7C0%7C0%7C637273711880863475&amp;sdata=6FzLo20Q1z2ZArL20OzpaDoY%2FssiYlh0gxexvPxs%2BKY%3D&amp;reserved=0" TargetMode="External"/><Relationship Id="rId2" Type="http://schemas.openxmlformats.org/officeDocument/2006/relationships/hyperlink" Target="https://goszakup.gov.kz/" TargetMode="External"/><Relationship Id="rId1" Type="http://schemas.openxmlformats.org/officeDocument/2006/relationships/hyperlink" Target="https://nam03.safelinks.protection.outlook.com/?url=http%3A%2F%2Foptimamodel.com%2Fpubs%2FKazakhstan_2020.pdf&amp;data=02%7C01%7CCorina.Maxim%40theglobalfund.org%7C8f15f3e3b06443105b1e08d80d1083eb%7C7792090987824efbaaf144ac114d7c03%7C0%7C0%7C637273711880863475&amp;sdata=6FzLo20Q1z2ZArL20OzpaDoY%2FssiYlh0gxexvPxs%2BKY%3D&amp;reserved=0" TargetMode="External"/><Relationship Id="rId4" Type="http://schemas.openxmlformats.org/officeDocument/2006/relationships/hyperlink" Target="https://goszakup.gov.k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inichenko\AppData\Roaming\Microsoft\Templates\GF%20Report%20Template%201%20Column.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65087547913013E-2"/>
          <c:y val="7.6843329444234637E-2"/>
          <c:w val="0.92642585596083005"/>
          <c:h val="0.7629182894729426"/>
        </c:manualLayout>
      </c:layout>
      <c:lineChart>
        <c:grouping val="standard"/>
        <c:varyColors val="0"/>
        <c:ser>
          <c:idx val="0"/>
          <c:order val="0"/>
          <c:tx>
            <c:strRef>
              <c:f>Лист10!$B$1</c:f>
              <c:strCache>
                <c:ptCount val="1"/>
                <c:pt idx="0">
                  <c:v>ВИЧ</c:v>
                </c:pt>
              </c:strCache>
            </c:strRef>
          </c:tx>
          <c:marker>
            <c:symbol val="triangle"/>
            <c:size val="7"/>
          </c:marker>
          <c:dLbls>
            <c:dLbl>
              <c:idx val="0"/>
              <c:layout>
                <c:manualLayout>
                  <c:x val="-5.97907324364723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85-0C46-81CC-AB4C3F2EE1C8}"/>
                </c:ext>
              </c:extLst>
            </c:dLbl>
            <c:dLbl>
              <c:idx val="1"/>
              <c:layout>
                <c:manualLayout>
                  <c:x val="-5.3811659192825115E-2"/>
                  <c:y val="-3.333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85-0C46-81CC-AB4C3F2EE1C8}"/>
                </c:ext>
              </c:extLst>
            </c:dLbl>
            <c:dLbl>
              <c:idx val="2"/>
              <c:layout>
                <c:manualLayout>
                  <c:x val="-9.9651220727453912E-3"/>
                  <c:y val="-3.333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85-0C46-81CC-AB4C3F2EE1C8}"/>
                </c:ext>
              </c:extLst>
            </c:dLbl>
            <c:dLbl>
              <c:idx val="3"/>
              <c:layout>
                <c:manualLayout>
                  <c:x val="-5.1818634778276036E-2"/>
                  <c:y val="-2.083333333333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85-0C46-81CC-AB4C3F2EE1C8}"/>
                </c:ext>
              </c:extLst>
            </c:dLbl>
            <c:dLbl>
              <c:idx val="4"/>
              <c:layout>
                <c:manualLayout>
                  <c:x val="-2.3916292974589012E-2"/>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85-0C46-81CC-AB4C3F2EE1C8}"/>
                </c:ext>
              </c:extLst>
            </c:dLbl>
            <c:dLbl>
              <c:idx val="5"/>
              <c:layout>
                <c:manualLayout>
                  <c:x val="-3.1888390632785396E-2"/>
                  <c:y val="3.7499999999999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F85-0C46-81CC-AB4C3F2EE1C8}"/>
                </c:ext>
              </c:extLst>
            </c:dLbl>
            <c:dLbl>
              <c:idx val="6"/>
              <c:layout>
                <c:manualLayout>
                  <c:x val="-2.391629297458894E-2"/>
                  <c:y val="0.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85-0C46-81CC-AB4C3F2EE1C8}"/>
                </c:ext>
              </c:extLst>
            </c:dLbl>
            <c:spPr>
              <a:noFill/>
              <a:ln>
                <a:noFill/>
              </a:ln>
              <a:effectLst/>
            </c:spPr>
            <c:txPr>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Лист10!$A$2:$A$8</c:f>
              <c:strCache>
                <c:ptCount val="7"/>
                <c:pt idx="0">
                  <c:v>2010 (N=4950)</c:v>
                </c:pt>
                <c:pt idx="1">
                  <c:v>2011 (N=4830)</c:v>
                </c:pt>
                <c:pt idx="2">
                  <c:v>2012 (N=5223)</c:v>
                </c:pt>
                <c:pt idx="3">
                  <c:v>2013 (N=5073)</c:v>
                </c:pt>
                <c:pt idx="4">
                  <c:v>2014 (N=4426)</c:v>
                </c:pt>
                <c:pt idx="5">
                  <c:v>2016 (N=4873)</c:v>
                </c:pt>
                <c:pt idx="6">
                  <c:v>2018 (N=4302)</c:v>
                </c:pt>
              </c:strCache>
            </c:strRef>
          </c:cat>
          <c:val>
            <c:numRef>
              <c:f>Лист10!$B$2:$B$8</c:f>
              <c:numCache>
                <c:formatCode>General</c:formatCode>
                <c:ptCount val="7"/>
                <c:pt idx="0">
                  <c:v>2.8</c:v>
                </c:pt>
                <c:pt idx="1">
                  <c:v>3.8</c:v>
                </c:pt>
                <c:pt idx="2">
                  <c:v>4</c:v>
                </c:pt>
                <c:pt idx="3">
                  <c:v>4.8</c:v>
                </c:pt>
                <c:pt idx="4">
                  <c:v>7.9</c:v>
                </c:pt>
                <c:pt idx="5">
                  <c:v>8.5</c:v>
                </c:pt>
                <c:pt idx="6">
                  <c:v>7.9</c:v>
                </c:pt>
              </c:numCache>
            </c:numRef>
          </c:val>
          <c:smooth val="0"/>
          <c:extLst>
            <c:ext xmlns:c16="http://schemas.microsoft.com/office/drawing/2014/chart" uri="{C3380CC4-5D6E-409C-BE32-E72D297353CC}">
              <c16:uniqueId val="{00000007-CF85-0C46-81CC-AB4C3F2EE1C8}"/>
            </c:ext>
          </c:extLst>
        </c:ser>
        <c:ser>
          <c:idx val="1"/>
          <c:order val="1"/>
          <c:tx>
            <c:strRef>
              <c:f>Лист10!$C$1</c:f>
              <c:strCache>
                <c:ptCount val="1"/>
                <c:pt idx="0">
                  <c:v>ВГС</c:v>
                </c:pt>
              </c:strCache>
            </c:strRef>
          </c:tx>
          <c:marker>
            <c:symbol val="square"/>
            <c:size val="6"/>
          </c:marker>
          <c:dLbls>
            <c:dLbl>
              <c:idx val="0"/>
              <c:layout>
                <c:manualLayout>
                  <c:x val="-2.9895366218236193E-2"/>
                  <c:y val="-5.7761732851985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F85-0C46-81CC-AB4C3F2EE1C8}"/>
                </c:ext>
              </c:extLst>
            </c:dLbl>
            <c:dLbl>
              <c:idx val="1"/>
              <c:layout>
                <c:manualLayout>
                  <c:x val="-2.989536621823621E-2"/>
                  <c:y val="-5.7761732851985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F85-0C46-81CC-AB4C3F2EE1C8}"/>
                </c:ext>
              </c:extLst>
            </c:dLbl>
            <c:dLbl>
              <c:idx val="2"/>
              <c:layout>
                <c:manualLayout>
                  <c:x val="-3.3881415047334329E-2"/>
                  <c:y val="-4.3321299638989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F85-0C46-81CC-AB4C3F2EE1C8}"/>
                </c:ext>
              </c:extLst>
            </c:dLbl>
            <c:dLbl>
              <c:idx val="3"/>
              <c:layout>
                <c:manualLayout>
                  <c:x val="-2.7902341803687097E-2"/>
                  <c:y val="-5.7761732851985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F85-0C46-81CC-AB4C3F2EE1C8}"/>
                </c:ext>
              </c:extLst>
            </c:dLbl>
            <c:dLbl>
              <c:idx val="4"/>
              <c:layout>
                <c:manualLayout>
                  <c:x val="-3.3881415047334329E-2"/>
                  <c:y val="7.7015643802647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F85-0C46-81CC-AB4C3F2EE1C8}"/>
                </c:ext>
              </c:extLst>
            </c:dLbl>
            <c:dLbl>
              <c:idx val="5"/>
              <c:layout>
                <c:manualLayout>
                  <c:x val="-2.9895366218236172E-2"/>
                  <c:y val="-6.2575210589651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F85-0C46-81CC-AB4C3F2EE1C8}"/>
                </c:ext>
              </c:extLst>
            </c:dLbl>
            <c:spPr>
              <a:noFill/>
              <a:ln>
                <a:noFill/>
              </a:ln>
              <a:effectLst/>
            </c:spPr>
            <c:txPr>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Лист10!$A$2:$A$8</c:f>
              <c:strCache>
                <c:ptCount val="7"/>
                <c:pt idx="0">
                  <c:v>2010 (N=4950)</c:v>
                </c:pt>
                <c:pt idx="1">
                  <c:v>2011 (N=4830)</c:v>
                </c:pt>
                <c:pt idx="2">
                  <c:v>2012 (N=5223)</c:v>
                </c:pt>
                <c:pt idx="3">
                  <c:v>2013 (N=5073)</c:v>
                </c:pt>
                <c:pt idx="4">
                  <c:v>2014 (N=4426)</c:v>
                </c:pt>
                <c:pt idx="5">
                  <c:v>2016 (N=4873)</c:v>
                </c:pt>
                <c:pt idx="6">
                  <c:v>2018 (N=4302)</c:v>
                </c:pt>
              </c:strCache>
            </c:strRef>
          </c:cat>
          <c:val>
            <c:numRef>
              <c:f>Лист10!$C$2:$C$8</c:f>
              <c:numCache>
                <c:formatCode>General</c:formatCode>
                <c:ptCount val="7"/>
                <c:pt idx="0">
                  <c:v>58.7</c:v>
                </c:pt>
                <c:pt idx="1">
                  <c:v>61.2</c:v>
                </c:pt>
                <c:pt idx="2">
                  <c:v>63</c:v>
                </c:pt>
                <c:pt idx="3">
                  <c:v>60.3</c:v>
                </c:pt>
                <c:pt idx="4">
                  <c:v>70.7</c:v>
                </c:pt>
                <c:pt idx="5">
                  <c:v>66.5</c:v>
                </c:pt>
                <c:pt idx="6">
                  <c:v>52.9</c:v>
                </c:pt>
              </c:numCache>
            </c:numRef>
          </c:val>
          <c:smooth val="0"/>
          <c:extLst>
            <c:ext xmlns:c16="http://schemas.microsoft.com/office/drawing/2014/chart" uri="{C3380CC4-5D6E-409C-BE32-E72D297353CC}">
              <c16:uniqueId val="{0000000E-CF85-0C46-81CC-AB4C3F2EE1C8}"/>
            </c:ext>
          </c:extLst>
        </c:ser>
        <c:ser>
          <c:idx val="2"/>
          <c:order val="2"/>
          <c:tx>
            <c:strRef>
              <c:f>Лист10!$D$1</c:f>
              <c:strCache>
                <c:ptCount val="1"/>
                <c:pt idx="0">
                  <c:v>сифилис</c:v>
                </c:pt>
              </c:strCache>
            </c:strRef>
          </c:tx>
          <c:spPr>
            <a:ln>
              <a:solidFill>
                <a:srgbClr val="00B050"/>
              </a:solidFill>
            </a:ln>
          </c:spPr>
          <c:marker>
            <c:symbol val="circle"/>
            <c:size val="7"/>
          </c:marker>
          <c:dLbls>
            <c:dLbl>
              <c:idx val="0"/>
              <c:layout>
                <c:manualLayout>
                  <c:x val="-3.3881415047334329E-2"/>
                  <c:y val="-6.2575210589651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F85-0C46-81CC-AB4C3F2EE1C8}"/>
                </c:ext>
              </c:extLst>
            </c:dLbl>
            <c:dLbl>
              <c:idx val="1"/>
              <c:layout>
                <c:manualLayout>
                  <c:x val="-2.7902341803687131E-2"/>
                  <c:y val="-7.2202166064981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F85-0C46-81CC-AB4C3F2EE1C8}"/>
                </c:ext>
              </c:extLst>
            </c:dLbl>
            <c:dLbl>
              <c:idx val="2"/>
              <c:layout>
                <c:manualLayout>
                  <c:x val="-2.9895366218236172E-2"/>
                  <c:y val="-6.7388688327316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F85-0C46-81CC-AB4C3F2EE1C8}"/>
                </c:ext>
              </c:extLst>
            </c:dLbl>
            <c:dLbl>
              <c:idx val="3"/>
              <c:layout>
                <c:manualLayout>
                  <c:x val="-2.9895366218236172E-2"/>
                  <c:y val="-6.7388688327316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F85-0C46-81CC-AB4C3F2EE1C8}"/>
                </c:ext>
              </c:extLst>
            </c:dLbl>
            <c:dLbl>
              <c:idx val="4"/>
              <c:layout>
                <c:manualLayout>
                  <c:x val="-2.790234180368717E-2"/>
                  <c:y val="-5.29482551143201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F85-0C46-81CC-AB4C3F2EE1C8}"/>
                </c:ext>
              </c:extLst>
            </c:dLbl>
            <c:dLbl>
              <c:idx val="5"/>
              <c:layout>
                <c:manualLayout>
                  <c:x val="-2.391629297458894E-2"/>
                  <c:y val="-4.3321299638989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F85-0C46-81CC-AB4C3F2EE1C8}"/>
                </c:ext>
              </c:extLst>
            </c:dLbl>
            <c:dLbl>
              <c:idx val="6"/>
              <c:layout>
                <c:manualLayout>
                  <c:x val="-1.7937219730941849E-2"/>
                  <c:y val="-4.3321299638989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F85-0C46-81CC-AB4C3F2EE1C8}"/>
                </c:ext>
              </c:extLst>
            </c:dLbl>
            <c:spPr>
              <a:noFill/>
              <a:ln>
                <a:noFill/>
              </a:ln>
              <a:effectLst/>
            </c:spPr>
            <c:txPr>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Лист10!$A$2:$A$8</c:f>
              <c:strCache>
                <c:ptCount val="7"/>
                <c:pt idx="0">
                  <c:v>2010 (N=4950)</c:v>
                </c:pt>
                <c:pt idx="1">
                  <c:v>2011 (N=4830)</c:v>
                </c:pt>
                <c:pt idx="2">
                  <c:v>2012 (N=5223)</c:v>
                </c:pt>
                <c:pt idx="3">
                  <c:v>2013 (N=5073)</c:v>
                </c:pt>
                <c:pt idx="4">
                  <c:v>2014 (N=4426)</c:v>
                </c:pt>
                <c:pt idx="5">
                  <c:v>2016 (N=4873)</c:v>
                </c:pt>
                <c:pt idx="6">
                  <c:v>2018 (N=4302)</c:v>
                </c:pt>
              </c:strCache>
            </c:strRef>
          </c:cat>
          <c:val>
            <c:numRef>
              <c:f>Лист10!$D$2:$D$8</c:f>
              <c:numCache>
                <c:formatCode>General</c:formatCode>
                <c:ptCount val="7"/>
                <c:pt idx="0">
                  <c:v>8.1999999999999993</c:v>
                </c:pt>
                <c:pt idx="1">
                  <c:v>9</c:v>
                </c:pt>
                <c:pt idx="2">
                  <c:v>8.9</c:v>
                </c:pt>
                <c:pt idx="3">
                  <c:v>9.6</c:v>
                </c:pt>
                <c:pt idx="4">
                  <c:v>10.3</c:v>
                </c:pt>
                <c:pt idx="5">
                  <c:v>8.6</c:v>
                </c:pt>
                <c:pt idx="6">
                  <c:v>9.1999999999999993</c:v>
                </c:pt>
              </c:numCache>
            </c:numRef>
          </c:val>
          <c:smooth val="0"/>
          <c:extLst>
            <c:ext xmlns:c16="http://schemas.microsoft.com/office/drawing/2014/chart" uri="{C3380CC4-5D6E-409C-BE32-E72D297353CC}">
              <c16:uniqueId val="{00000016-CF85-0C46-81CC-AB4C3F2EE1C8}"/>
            </c:ext>
          </c:extLst>
        </c:ser>
        <c:dLbls>
          <c:showLegendKey val="0"/>
          <c:showVal val="0"/>
          <c:showCatName val="0"/>
          <c:showSerName val="0"/>
          <c:showPercent val="0"/>
          <c:showBubbleSize val="0"/>
        </c:dLbls>
        <c:marker val="1"/>
        <c:smooth val="0"/>
        <c:axId val="256334848"/>
        <c:axId val="256353024"/>
      </c:lineChart>
      <c:catAx>
        <c:axId val="256334848"/>
        <c:scaling>
          <c:orientation val="minMax"/>
        </c:scaling>
        <c:delete val="0"/>
        <c:axPos val="b"/>
        <c:numFmt formatCode="General" sourceLinked="0"/>
        <c:majorTickMark val="out"/>
        <c:minorTickMark val="none"/>
        <c:tickLblPos val="nextTo"/>
        <c:txPr>
          <a:bodyPr/>
          <a:lstStyle/>
          <a:p>
            <a:pPr>
              <a:defRPr b="1"/>
            </a:pPr>
            <a:endParaRPr lang="en-US"/>
          </a:p>
        </c:txPr>
        <c:crossAx val="256353024"/>
        <c:crosses val="autoZero"/>
        <c:auto val="1"/>
        <c:lblAlgn val="ctr"/>
        <c:lblOffset val="100"/>
        <c:noMultiLvlLbl val="0"/>
      </c:catAx>
      <c:valAx>
        <c:axId val="256353024"/>
        <c:scaling>
          <c:orientation val="minMax"/>
        </c:scaling>
        <c:delete val="0"/>
        <c:axPos val="l"/>
        <c:numFmt formatCode="General" sourceLinked="1"/>
        <c:majorTickMark val="out"/>
        <c:minorTickMark val="none"/>
        <c:tickLblPos val="nextTo"/>
        <c:crossAx val="256334848"/>
        <c:crosses val="autoZero"/>
        <c:crossBetween val="between"/>
      </c:valAx>
    </c:plotArea>
    <c:legend>
      <c:legendPos val="b"/>
      <c:layout>
        <c:manualLayout>
          <c:xMode val="edge"/>
          <c:yMode val="edge"/>
          <c:x val="0.28359172718803577"/>
          <c:y val="1.7949599535562709E-2"/>
          <c:w val="0.33601198953269856"/>
          <c:h val="7.5345472440944888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2369417358786939E-2"/>
          <c:y val="4.4057617797775277E-2"/>
          <c:w val="0.9254023282226912"/>
          <c:h val="0.8543396930066196"/>
        </c:manualLayout>
      </c:layout>
      <c:lineChart>
        <c:grouping val="standard"/>
        <c:varyColors val="0"/>
        <c:ser>
          <c:idx val="0"/>
          <c:order val="0"/>
          <c:tx>
            <c:strRef>
              <c:f>Лист1!$B$1</c:f>
              <c:strCache>
                <c:ptCount val="1"/>
                <c:pt idx="0">
                  <c:v>ВИЧ</c:v>
                </c:pt>
              </c:strCache>
            </c:strRef>
          </c:tx>
          <c:spPr>
            <a:ln w="41275"/>
          </c:spPr>
          <c:marker>
            <c:symbol val="diamond"/>
            <c:size val="8"/>
          </c:marker>
          <c:dLbls>
            <c:dLbl>
              <c:idx val="0"/>
              <c:delete val="1"/>
              <c:extLst>
                <c:ext xmlns:c15="http://schemas.microsoft.com/office/drawing/2012/chart" uri="{CE6537A1-D6FC-4f65-9D91-7224C49458BB}"/>
                <c:ext xmlns:c16="http://schemas.microsoft.com/office/drawing/2014/chart" uri="{C3380CC4-5D6E-409C-BE32-E72D297353CC}">
                  <c16:uniqueId val="{00000000-926F-8848-B30C-2671CEB48E1D}"/>
                </c:ext>
              </c:extLst>
            </c:dLbl>
            <c:dLbl>
              <c:idx val="1"/>
              <c:layout>
                <c:manualLayout>
                  <c:x val="-1.212450241010286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6F-8848-B30C-2671CEB48E1D}"/>
                </c:ext>
              </c:extLst>
            </c:dLbl>
            <c:dLbl>
              <c:idx val="2"/>
              <c:layout>
                <c:manualLayout>
                  <c:x val="-1.8186753615154292E-2"/>
                  <c:y val="-3.1746344206974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6F-8848-B30C-2671CEB48E1D}"/>
                </c:ext>
              </c:extLst>
            </c:dLbl>
            <c:dLbl>
              <c:idx val="3"/>
              <c:layout>
                <c:manualLayout>
                  <c:x val="-2.424900482020572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6F-8848-B30C-2671CEB48E1D}"/>
                </c:ext>
              </c:extLst>
            </c:dLbl>
            <c:dLbl>
              <c:idx val="4"/>
              <c:layout>
                <c:manualLayout>
                  <c:x val="-2.2228254418521911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6F-8848-B30C-2671CEB48E1D}"/>
                </c:ext>
              </c:extLst>
            </c:dLbl>
            <c:dLbl>
              <c:idx val="5"/>
              <c:layout>
                <c:manualLayout>
                  <c:x val="-3.0311256025257152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6F-8848-B30C-2671CEB48E1D}"/>
                </c:ext>
              </c:extLst>
            </c:dLbl>
            <c:dLbl>
              <c:idx val="6"/>
              <c:layout>
                <c:manualLayout>
                  <c:x val="-2.0207504016838103E-3"/>
                  <c:y val="7.93650793650779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6F-8848-B30C-2671CEB48E1D}"/>
                </c:ext>
              </c:extLst>
            </c:dLbl>
            <c:dLbl>
              <c:idx val="7"/>
              <c:layout>
                <c:manualLayout>
                  <c:x val="-1.8186753615154292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6F-8848-B30C-2671CEB48E1D}"/>
                </c:ext>
              </c:extLst>
            </c:dLbl>
            <c:dLbl>
              <c:idx val="8"/>
              <c:layout>
                <c:manualLayout>
                  <c:x val="-3.0311256025257301E-2"/>
                  <c:y val="-3.5714285714285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26F-8848-B30C-2671CEB48E1D}"/>
                </c:ext>
              </c:extLst>
            </c:dLbl>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2007</c:v>
                </c:pt>
                <c:pt idx="1">
                  <c:v>2008</c:v>
                </c:pt>
                <c:pt idx="2">
                  <c:v>2009</c:v>
                </c:pt>
                <c:pt idx="3">
                  <c:v>2010</c:v>
                </c:pt>
                <c:pt idx="4">
                  <c:v>2011</c:v>
                </c:pt>
                <c:pt idx="5">
                  <c:v>2012</c:v>
                </c:pt>
                <c:pt idx="6">
                  <c:v>2013</c:v>
                </c:pt>
                <c:pt idx="7">
                  <c:v>2015</c:v>
                </c:pt>
                <c:pt idx="8">
                  <c:v>2017</c:v>
                </c:pt>
                <c:pt idx="9">
                  <c:v>2019</c:v>
                </c:pt>
              </c:numCache>
            </c:numRef>
          </c:cat>
          <c:val>
            <c:numRef>
              <c:f>Лист1!$B$2:$B$11</c:f>
              <c:numCache>
                <c:formatCode>General</c:formatCode>
                <c:ptCount val="10"/>
                <c:pt idx="0">
                  <c:v>0</c:v>
                </c:pt>
                <c:pt idx="1">
                  <c:v>0.1</c:v>
                </c:pt>
                <c:pt idx="2">
                  <c:v>0.3</c:v>
                </c:pt>
                <c:pt idx="3">
                  <c:v>1</c:v>
                </c:pt>
                <c:pt idx="4">
                  <c:v>1</c:v>
                </c:pt>
                <c:pt idx="5">
                  <c:v>0.6</c:v>
                </c:pt>
                <c:pt idx="6">
                  <c:v>1.2</c:v>
                </c:pt>
                <c:pt idx="7">
                  <c:v>3.2</c:v>
                </c:pt>
                <c:pt idx="8">
                  <c:v>6.2</c:v>
                </c:pt>
                <c:pt idx="9">
                  <c:v>6.6</c:v>
                </c:pt>
              </c:numCache>
            </c:numRef>
          </c:val>
          <c:smooth val="0"/>
          <c:extLst>
            <c:ext xmlns:c16="http://schemas.microsoft.com/office/drawing/2014/chart" uri="{C3380CC4-5D6E-409C-BE32-E72D297353CC}">
              <c16:uniqueId val="{00000009-926F-8848-B30C-2671CEB48E1D}"/>
            </c:ext>
          </c:extLst>
        </c:ser>
        <c:ser>
          <c:idx val="1"/>
          <c:order val="1"/>
          <c:tx>
            <c:strRef>
              <c:f>Лист1!$C$1</c:f>
              <c:strCache>
                <c:ptCount val="1"/>
                <c:pt idx="0">
                  <c:v>ВГС</c:v>
                </c:pt>
              </c:strCache>
            </c:strRef>
          </c:tx>
          <c:spPr>
            <a:ln w="41275"/>
          </c:spPr>
          <c:marker>
            <c:symbol val="triangle"/>
            <c:size val="8"/>
          </c:marker>
          <c:dLbls>
            <c:dLbl>
              <c:idx val="0"/>
              <c:layout>
                <c:manualLayout>
                  <c:x val="-5.8601761648830492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26F-8848-B30C-2671CEB48E1D}"/>
                </c:ext>
              </c:extLst>
            </c:dLbl>
            <c:dLbl>
              <c:idx val="1"/>
              <c:layout>
                <c:manualLayout>
                  <c:x val="-4.2435758435359995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26F-8848-B30C-2671CEB48E1D}"/>
                </c:ext>
              </c:extLst>
            </c:dLbl>
            <c:dLbl>
              <c:idx val="2"/>
              <c:layout>
                <c:manualLayout>
                  <c:x val="-4.8498009640411441E-2"/>
                  <c:y val="3.9682539682539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26F-8848-B30C-2671CEB48E1D}"/>
                </c:ext>
              </c:extLst>
            </c:dLbl>
            <c:dLbl>
              <c:idx val="3"/>
              <c:layout>
                <c:manualLayout>
                  <c:x val="-4.4456508837043753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26F-8848-B30C-2671CEB48E1D}"/>
                </c:ext>
              </c:extLst>
            </c:dLbl>
            <c:dLbl>
              <c:idx val="4"/>
              <c:layout>
                <c:manualLayout>
                  <c:x val="-4.4456508837043753E-2"/>
                  <c:y val="3.1745719285089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26F-8848-B30C-2671CEB48E1D}"/>
                </c:ext>
              </c:extLst>
            </c:dLbl>
            <c:dLbl>
              <c:idx val="5"/>
              <c:layout>
                <c:manualLayout>
                  <c:x val="-2.2228254418521987E-2"/>
                  <c:y val="-5.1587301587301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26F-8848-B30C-2671CEB48E1D}"/>
                </c:ext>
              </c:extLst>
            </c:dLbl>
            <c:dLbl>
              <c:idx val="6"/>
              <c:layout>
                <c:manualLayout>
                  <c:x val="-2.6269755221889533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26F-8848-B30C-2671CEB48E1D}"/>
                </c:ext>
              </c:extLst>
            </c:dLbl>
            <c:dLbl>
              <c:idx val="7"/>
              <c:layout>
                <c:manualLayout>
                  <c:x val="-2.0207504016838101E-2"/>
                  <c:y val="-4.761904761904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26F-8848-B30C-2671CEB48E1D}"/>
                </c:ext>
              </c:extLst>
            </c:dLbl>
            <c:dLbl>
              <c:idx val="8"/>
              <c:layout>
                <c:manualLayout>
                  <c:x val="-2.222825441852206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26F-8848-B30C-2671CEB48E1D}"/>
                </c:ext>
              </c:extLst>
            </c:dLbl>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2007</c:v>
                </c:pt>
                <c:pt idx="1">
                  <c:v>2008</c:v>
                </c:pt>
                <c:pt idx="2">
                  <c:v>2009</c:v>
                </c:pt>
                <c:pt idx="3">
                  <c:v>2010</c:v>
                </c:pt>
                <c:pt idx="4">
                  <c:v>2011</c:v>
                </c:pt>
                <c:pt idx="5">
                  <c:v>2012</c:v>
                </c:pt>
                <c:pt idx="6">
                  <c:v>2013</c:v>
                </c:pt>
                <c:pt idx="7">
                  <c:v>2015</c:v>
                </c:pt>
                <c:pt idx="8">
                  <c:v>2017</c:v>
                </c:pt>
                <c:pt idx="9">
                  <c:v>2019</c:v>
                </c:pt>
              </c:numCache>
            </c:numRef>
          </c:cat>
          <c:val>
            <c:numRef>
              <c:f>Лист1!$C$2:$C$11</c:f>
              <c:numCache>
                <c:formatCode>General</c:formatCode>
                <c:ptCount val="10"/>
                <c:pt idx="0">
                  <c:v>1.8</c:v>
                </c:pt>
                <c:pt idx="1">
                  <c:v>3.8</c:v>
                </c:pt>
                <c:pt idx="2">
                  <c:v>3.9</c:v>
                </c:pt>
                <c:pt idx="3">
                  <c:v>4.9000000000000004</c:v>
                </c:pt>
                <c:pt idx="4">
                  <c:v>5.4</c:v>
                </c:pt>
                <c:pt idx="5">
                  <c:v>3.1</c:v>
                </c:pt>
                <c:pt idx="6">
                  <c:v>2.2000000000000002</c:v>
                </c:pt>
                <c:pt idx="7">
                  <c:v>5.6</c:v>
                </c:pt>
                <c:pt idx="8">
                  <c:v>5</c:v>
                </c:pt>
                <c:pt idx="9">
                  <c:v>2.9</c:v>
                </c:pt>
              </c:numCache>
            </c:numRef>
          </c:val>
          <c:smooth val="0"/>
          <c:extLst>
            <c:ext xmlns:c16="http://schemas.microsoft.com/office/drawing/2014/chart" uri="{C3380CC4-5D6E-409C-BE32-E72D297353CC}">
              <c16:uniqueId val="{00000013-926F-8848-B30C-2671CEB48E1D}"/>
            </c:ext>
          </c:extLst>
        </c:ser>
        <c:ser>
          <c:idx val="2"/>
          <c:order val="2"/>
          <c:tx>
            <c:strRef>
              <c:f>Лист1!$D$1</c:f>
              <c:strCache>
                <c:ptCount val="1"/>
                <c:pt idx="0">
                  <c:v>сифилис</c:v>
                </c:pt>
              </c:strCache>
            </c:strRef>
          </c:tx>
          <c:spPr>
            <a:ln w="41275">
              <a:solidFill>
                <a:srgbClr val="00B050"/>
              </a:solidFill>
            </a:ln>
          </c:spPr>
          <c:marker>
            <c:symbol val="square"/>
            <c:size val="8"/>
          </c:marker>
          <c:dLbls>
            <c:dLbl>
              <c:idx val="0"/>
              <c:layout>
                <c:manualLayout>
                  <c:x val="-2.8290505623573343E-2"/>
                  <c:y val="-4.761904761904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26F-8848-B30C-2671CEB48E1D}"/>
                </c:ext>
              </c:extLst>
            </c:dLbl>
            <c:dLbl>
              <c:idx val="1"/>
              <c:layout>
                <c:manualLayout>
                  <c:x val="-2.020750401683814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26F-8848-B30C-2671CEB48E1D}"/>
                </c:ext>
              </c:extLst>
            </c:dLbl>
            <c:dLbl>
              <c:idx val="2"/>
              <c:layout>
                <c:manualLayout>
                  <c:x val="-2.424900482020572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26F-8848-B30C-2671CEB48E1D}"/>
                </c:ext>
              </c:extLst>
            </c:dLbl>
            <c:dLbl>
              <c:idx val="3"/>
              <c:layout>
                <c:manualLayout>
                  <c:x val="-2.2228254418521911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26F-8848-B30C-2671CEB48E1D}"/>
                </c:ext>
              </c:extLst>
            </c:dLbl>
            <c:dLbl>
              <c:idx val="4"/>
              <c:layout>
                <c:manualLayout>
                  <c:x val="-2.2228254418521911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26F-8848-B30C-2671CEB48E1D}"/>
                </c:ext>
              </c:extLst>
            </c:dLbl>
            <c:dLbl>
              <c:idx val="5"/>
              <c:layout>
                <c:manualLayout>
                  <c:x val="-3.4352756828624771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26F-8848-B30C-2671CEB48E1D}"/>
                </c:ext>
              </c:extLst>
            </c:dLbl>
            <c:dLbl>
              <c:idx val="6"/>
              <c:layout>
                <c:manualLayout>
                  <c:x val="-3.839425763199239E-2"/>
                  <c:y val="-5.9523809523809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26F-8848-B30C-2671CEB48E1D}"/>
                </c:ext>
              </c:extLst>
            </c:dLbl>
            <c:dLbl>
              <c:idx val="7"/>
              <c:layout>
                <c:manualLayout>
                  <c:x val="-6.6684763255565729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26F-8848-B30C-2671CEB48E1D}"/>
                </c:ext>
              </c:extLst>
            </c:dLbl>
            <c:dLbl>
              <c:idx val="8"/>
              <c:layout>
                <c:manualLayout>
                  <c:x val="-3.637350723030873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26F-8848-B30C-2671CEB48E1D}"/>
                </c:ext>
              </c:extLst>
            </c:dLbl>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2007</c:v>
                </c:pt>
                <c:pt idx="1">
                  <c:v>2008</c:v>
                </c:pt>
                <c:pt idx="2">
                  <c:v>2009</c:v>
                </c:pt>
                <c:pt idx="3">
                  <c:v>2010</c:v>
                </c:pt>
                <c:pt idx="4">
                  <c:v>2011</c:v>
                </c:pt>
                <c:pt idx="5">
                  <c:v>2012</c:v>
                </c:pt>
                <c:pt idx="6">
                  <c:v>2013</c:v>
                </c:pt>
                <c:pt idx="7">
                  <c:v>2015</c:v>
                </c:pt>
                <c:pt idx="8">
                  <c:v>2017</c:v>
                </c:pt>
                <c:pt idx="9">
                  <c:v>2019</c:v>
                </c:pt>
              </c:numCache>
            </c:numRef>
          </c:cat>
          <c:val>
            <c:numRef>
              <c:f>Лист1!$D$2:$D$11</c:f>
              <c:numCache>
                <c:formatCode>General</c:formatCode>
                <c:ptCount val="10"/>
                <c:pt idx="0">
                  <c:v>3.1</c:v>
                </c:pt>
                <c:pt idx="1">
                  <c:v>3.8</c:v>
                </c:pt>
                <c:pt idx="2">
                  <c:v>5.2</c:v>
                </c:pt>
                <c:pt idx="3">
                  <c:v>5.3</c:v>
                </c:pt>
                <c:pt idx="4">
                  <c:v>6</c:v>
                </c:pt>
                <c:pt idx="5">
                  <c:v>8.5</c:v>
                </c:pt>
                <c:pt idx="6">
                  <c:v>6.4</c:v>
                </c:pt>
                <c:pt idx="7">
                  <c:v>12.8</c:v>
                </c:pt>
                <c:pt idx="8">
                  <c:v>19.7</c:v>
                </c:pt>
                <c:pt idx="9">
                  <c:v>10.8</c:v>
                </c:pt>
              </c:numCache>
            </c:numRef>
          </c:val>
          <c:smooth val="0"/>
          <c:extLst>
            <c:ext xmlns:c16="http://schemas.microsoft.com/office/drawing/2014/chart" uri="{C3380CC4-5D6E-409C-BE32-E72D297353CC}">
              <c16:uniqueId val="{0000001D-926F-8848-B30C-2671CEB48E1D}"/>
            </c:ext>
          </c:extLst>
        </c:ser>
        <c:dLbls>
          <c:showLegendKey val="0"/>
          <c:showVal val="0"/>
          <c:showCatName val="0"/>
          <c:showSerName val="0"/>
          <c:showPercent val="0"/>
          <c:showBubbleSize val="0"/>
        </c:dLbls>
        <c:marker val="1"/>
        <c:smooth val="0"/>
        <c:axId val="251774848"/>
        <c:axId val="252510976"/>
      </c:lineChart>
      <c:catAx>
        <c:axId val="251774848"/>
        <c:scaling>
          <c:orientation val="minMax"/>
        </c:scaling>
        <c:delete val="0"/>
        <c:axPos val="b"/>
        <c:numFmt formatCode="General" sourceLinked="1"/>
        <c:majorTickMark val="out"/>
        <c:minorTickMark val="none"/>
        <c:tickLblPos val="nextTo"/>
        <c:txPr>
          <a:bodyPr/>
          <a:lstStyle/>
          <a:p>
            <a:pPr>
              <a:defRPr b="1"/>
            </a:pPr>
            <a:endParaRPr lang="en-US"/>
          </a:p>
        </c:txPr>
        <c:crossAx val="252510976"/>
        <c:crosses val="autoZero"/>
        <c:auto val="1"/>
        <c:lblAlgn val="ctr"/>
        <c:lblOffset val="100"/>
        <c:noMultiLvlLbl val="0"/>
      </c:catAx>
      <c:valAx>
        <c:axId val="252510976"/>
        <c:scaling>
          <c:orientation val="minMax"/>
        </c:scaling>
        <c:delete val="0"/>
        <c:axPos val="l"/>
        <c:numFmt formatCode="General" sourceLinked="1"/>
        <c:majorTickMark val="out"/>
        <c:minorTickMark val="none"/>
        <c:tickLblPos val="nextTo"/>
        <c:crossAx val="251774848"/>
        <c:crosses val="autoZero"/>
        <c:crossBetween val="between"/>
      </c:valAx>
    </c:plotArea>
    <c:legend>
      <c:legendPos val="b"/>
      <c:layout>
        <c:manualLayout>
          <c:xMode val="edge"/>
          <c:yMode val="edge"/>
          <c:x val="0.30919242413447601"/>
          <c:y val="3.9470771212801847E-2"/>
          <c:w val="0.38619634806558584"/>
          <c:h val="7.7859691650492016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656B85323C51F3438C7025983F66B884" ma:contentTypeVersion="13" ma:contentTypeDescription="Create a new document." ma:contentTypeScope="" ma:versionID="643c794f06edebcb2ff839d5548c8a43">
  <xsd:schema xmlns:xsd="http://www.w3.org/2001/XMLSchema" xmlns:xs="http://www.w3.org/2001/XMLSchema" xmlns:p="http://schemas.microsoft.com/office/2006/metadata/properties" xmlns:ns3="1d0b359a-9960-47d3-bf42-87f4cad72b3b" xmlns:ns4="bbb2a792-9a89-46c6-ae55-a3b8230eb608" targetNamespace="http://schemas.microsoft.com/office/2006/metadata/properties" ma:root="true" ma:fieldsID="72e62be3de65ab702380be2cfa45450c" ns3:_="" ns4:_="">
    <xsd:import namespace="1d0b359a-9960-47d3-bf42-87f4cad72b3b"/>
    <xsd:import namespace="bbb2a792-9a89-46c6-ae55-a3b8230eb6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b359a-9960-47d3-bf42-87f4cad72b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2a792-9a89-46c6-ae55-a3b8230eb6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89445735-8583-4763-9E18-A731F67D5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b359a-9960-47d3-bf42-87f4cad72b3b"/>
    <ds:schemaRef ds:uri="bbb2a792-9a89-46c6-ae55-a3b8230eb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B133AE-9B08-49ED-96FC-CC948069E9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2C1240A-C59A-4F51-9035-E5CA9A22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33</Pages>
  <Words>22460</Words>
  <Characters>128027</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fundingrequest_focusedportfolio_template_en</vt:lpstr>
    </vt:vector>
  </TitlesOfParts>
  <Company/>
  <LinksUpToDate>false</LinksUpToDate>
  <CharactersWithSpaces>150187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fundingrequest_focusedportfolio_template_en</dc:title>
  <dc:subject/>
  <dc:creator>Rebecca Phillips</dc:creator>
  <cp:keywords/>
  <dc:description/>
  <cp:lastModifiedBy>Ainur Abusseitova</cp:lastModifiedBy>
  <cp:revision>2</cp:revision>
  <cp:lastPrinted>2020-05-13T19:13:00Z</cp:lastPrinted>
  <dcterms:created xsi:type="dcterms:W3CDTF">2021-01-14T04:37:00Z</dcterms:created>
  <dcterms:modified xsi:type="dcterms:W3CDTF">2021-01-14T04:37:00Z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0x010100656B85323C51F3438C7025983F66B884</vt:lpwstr>
  </property>
  <property fmtid="{D5CDD505-2E9C-101B-9397-08002B2CF9AE}" pid="8" name="_dlc_DocId">
    <vt:lpwstr>3NAZ7T4E3CZ3-2063355578-4247</vt:lpwstr>
  </property>
  <property fmtid="{D5CDD505-2E9C-101B-9397-08002B2CF9AE}" pid="9" name="_dlc_DocIdUrl">
    <vt:lpwstr>https://tgf.sharepoint.com/sites/TSA2F1/A2FT/_layouts/15/DocIdRedir.aspx?ID=3NAZ7T4E3CZ3-2063355578-4247, 3NAZ7T4E3CZ3-2063355578-4247</vt:lpwstr>
  </property>
  <property fmtid="{D5CDD505-2E9C-101B-9397-08002B2CF9AE}" pid="10" name="_dlc_DocIdItemGuid">
    <vt:lpwstr>fe5bd4ff-a96f-401e-8e5c-d1fcc5a70143</vt:lpwstr>
  </property>
  <property fmtid="{D5CDD505-2E9C-101B-9397-08002B2CF9AE}" pid="11" name="Order">
    <vt:r8>393300</vt:r8>
  </property>
</Properties>
</file>