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DD024" w14:textId="77777777" w:rsidR="00FB1B76" w:rsidRDefault="00FB1B76" w:rsidP="002333D3">
      <w:pPr>
        <w:spacing w:after="0"/>
        <w:jc w:val="both"/>
        <w:rPr>
          <w:rFonts w:cs="Arial"/>
          <w:b/>
          <w:color w:val="000000"/>
          <w:lang w:val="en-US"/>
        </w:rPr>
      </w:pPr>
    </w:p>
    <w:p w14:paraId="5902F795" w14:textId="096B585E" w:rsidR="00FB1B76" w:rsidRDefault="00FB1B76" w:rsidP="00FB1B76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Global Fund Country Team Pre-assessment KAZ-809-G04-T</w:t>
      </w:r>
    </w:p>
    <w:p w14:paraId="24FDDF83" w14:textId="7629C811" w:rsidR="00FB1B76" w:rsidRDefault="00FB1B76" w:rsidP="00FB1B76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New Funding Model Grant – May 2013</w:t>
      </w:r>
    </w:p>
    <w:p w14:paraId="1F2336E6" w14:textId="77777777" w:rsidR="00FB1B76" w:rsidRDefault="00FB1B76" w:rsidP="00FB1B76">
      <w:pPr>
        <w:rPr>
          <w:rFonts w:cs="Arial"/>
          <w:b/>
          <w:sz w:val="20"/>
        </w:rPr>
      </w:pPr>
    </w:p>
    <w:p w14:paraId="12984619" w14:textId="696E59DD" w:rsidR="00FB1B76" w:rsidRDefault="00FB1B76" w:rsidP="00FB1B76">
      <w:pPr>
        <w:rPr>
          <w:rFonts w:cs="Arial"/>
          <w:b/>
          <w:sz w:val="20"/>
        </w:rPr>
      </w:pPr>
    </w:p>
    <w:p w14:paraId="1E0B963B" w14:textId="77777777" w:rsidR="006D0C79" w:rsidRDefault="006D0C79" w:rsidP="006D0C79">
      <w:pPr>
        <w:jc w:val="center"/>
        <w:rPr>
          <w:rFonts w:cs="Arial"/>
          <w:b/>
          <w:sz w:val="20"/>
        </w:rPr>
      </w:pPr>
    </w:p>
    <w:p w14:paraId="3D8F23BC" w14:textId="77777777" w:rsidR="006D0C79" w:rsidRDefault="006D0C79" w:rsidP="006D0C79">
      <w:pPr>
        <w:jc w:val="center"/>
        <w:rPr>
          <w:rFonts w:cs="Arial"/>
          <w:b/>
          <w:sz w:val="20"/>
        </w:rPr>
      </w:pPr>
    </w:p>
    <w:p w14:paraId="375AB605" w14:textId="497A7091" w:rsidR="006D0C79" w:rsidRDefault="006D0C79" w:rsidP="006D0C79">
      <w:pPr>
        <w:jc w:val="center"/>
        <w:rPr>
          <w:rFonts w:cs="Arial"/>
          <w:b/>
          <w:sz w:val="20"/>
        </w:rPr>
      </w:pPr>
      <w:r w:rsidRPr="006D0C79">
        <w:rPr>
          <w:rFonts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9E7C8" wp14:editId="7950C675">
                <wp:simplePos x="0" y="0"/>
                <wp:positionH relativeFrom="column">
                  <wp:posOffset>147955</wp:posOffset>
                </wp:positionH>
                <wp:positionV relativeFrom="paragraph">
                  <wp:posOffset>95251</wp:posOffset>
                </wp:positionV>
                <wp:extent cx="5524500" cy="54483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5448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AE514" w14:textId="77777777" w:rsidR="00213F29" w:rsidRDefault="00213F29" w:rsidP="006D0C79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</w:p>
                          <w:p w14:paraId="4F6F6CF0" w14:textId="2A8E2020" w:rsidR="00213F29" w:rsidRDefault="00213F29" w:rsidP="006D0C79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>Summary of the main Country Team recommendations to the CCM when preparing the concept note:</w:t>
                            </w:r>
                          </w:p>
                          <w:p w14:paraId="6F3000E9" w14:textId="77777777" w:rsidR="00213F29" w:rsidRDefault="00213F29" w:rsidP="006D0C79">
                            <w:pPr>
                              <w:spacing w:after="0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</w:p>
                          <w:p w14:paraId="4F0F438E" w14:textId="77777777" w:rsidR="00213F29" w:rsidRDefault="00213F29" w:rsidP="006D0C79">
                            <w:pPr>
                              <w:spacing w:after="0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</w:p>
                          <w:p w14:paraId="1F9FEC93" w14:textId="48EE1E84" w:rsidR="00213F29" w:rsidRPr="00AF37E1" w:rsidRDefault="00213F29" w:rsidP="006D0C79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AF37E1">
                              <w:rPr>
                                <w:b/>
                                <w:sz w:val="20"/>
                              </w:rPr>
                              <w:t xml:space="preserve">1.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Main p</w:t>
                            </w:r>
                            <w:r w:rsidRPr="00AF37E1">
                              <w:rPr>
                                <w:b/>
                                <w:sz w:val="20"/>
                              </w:rPr>
                              <w:t>rogrammatic strategic recommendations:</w:t>
                            </w:r>
                          </w:p>
                          <w:p w14:paraId="556F00E8" w14:textId="77777777" w:rsidR="00213F29" w:rsidRDefault="00213F29" w:rsidP="006D0C79">
                            <w:pPr>
                              <w:spacing w:after="0" w:line="276" w:lineRule="auto"/>
                              <w:rPr>
                                <w:sz w:val="20"/>
                              </w:rPr>
                            </w:pPr>
                          </w:p>
                          <w:p w14:paraId="55438111" w14:textId="77777777" w:rsidR="00213F29" w:rsidRPr="00AF37E1" w:rsidRDefault="00213F29" w:rsidP="006D0C79">
                            <w:pPr>
                              <w:spacing w:after="0" w:line="276" w:lineRule="auto"/>
                              <w:rPr>
                                <w:sz w:val="20"/>
                              </w:rPr>
                            </w:pPr>
                            <w:r w:rsidRPr="00AF37E1">
                              <w:rPr>
                                <w:sz w:val="20"/>
                              </w:rPr>
                              <w:t xml:space="preserve">1. The concept note should be based on the recommendations included in the report “Extensive review to tuberculosis prevention, control and care in Kazakhstan” issued by </w:t>
                            </w:r>
                            <w:proofErr w:type="gramStart"/>
                            <w:r w:rsidRPr="00AF37E1">
                              <w:rPr>
                                <w:sz w:val="20"/>
                              </w:rPr>
                              <w:t>WHO</w:t>
                            </w:r>
                            <w:proofErr w:type="gramEnd"/>
                            <w:r w:rsidRPr="00AF37E1">
                              <w:rPr>
                                <w:sz w:val="20"/>
                              </w:rPr>
                              <w:t xml:space="preserve"> in 2012, this include in particular:</w:t>
                            </w:r>
                          </w:p>
                          <w:p w14:paraId="19BB55D3" w14:textId="77777777" w:rsidR="00213F29" w:rsidRPr="00AF37E1" w:rsidRDefault="00213F29" w:rsidP="006D0C79">
                            <w:pPr>
                              <w:spacing w:after="0" w:line="276" w:lineRule="auto"/>
                              <w:rPr>
                                <w:sz w:val="20"/>
                              </w:rPr>
                            </w:pPr>
                            <w:r w:rsidRPr="00AF37E1">
                              <w:rPr>
                                <w:sz w:val="20"/>
                              </w:rPr>
                              <w:t>a. Expansion of ambulatory treatment of patients, home based care and day care treatment.</w:t>
                            </w:r>
                          </w:p>
                          <w:p w14:paraId="42D841AA" w14:textId="77777777" w:rsidR="00213F29" w:rsidRPr="00AF37E1" w:rsidRDefault="00213F29" w:rsidP="006D0C79">
                            <w:pPr>
                              <w:spacing w:after="0" w:line="276" w:lineRule="auto"/>
                              <w:rPr>
                                <w:sz w:val="20"/>
                              </w:rPr>
                            </w:pPr>
                            <w:r w:rsidRPr="00AF37E1">
                              <w:rPr>
                                <w:sz w:val="20"/>
                              </w:rPr>
                              <w:t>b. Rationalization of hospitalization practices in order to prevent further spread of drug resistance and to use the available resources from the governmental budget more efficiently.</w:t>
                            </w:r>
                          </w:p>
                          <w:p w14:paraId="7D5BF191" w14:textId="77777777" w:rsidR="00213F29" w:rsidRPr="00AF37E1" w:rsidRDefault="00213F29" w:rsidP="006D0C79">
                            <w:pPr>
                              <w:spacing w:after="0" w:line="276" w:lineRule="auto"/>
                              <w:rPr>
                                <w:sz w:val="20"/>
                              </w:rPr>
                            </w:pPr>
                            <w:r w:rsidRPr="00AF37E1">
                              <w:rPr>
                                <w:sz w:val="20"/>
                              </w:rPr>
                              <w:t>c. Address the urgent needs of cross border TB control and treatment for migrant populations.</w:t>
                            </w:r>
                          </w:p>
                          <w:p w14:paraId="1D18A497" w14:textId="77777777" w:rsidR="00213F29" w:rsidRDefault="00213F29" w:rsidP="006D0C79">
                            <w:pPr>
                              <w:spacing w:after="0" w:line="276" w:lineRule="auto"/>
                              <w:rPr>
                                <w:sz w:val="20"/>
                              </w:rPr>
                            </w:pPr>
                          </w:p>
                          <w:p w14:paraId="3C7075EC" w14:textId="56F87D6B" w:rsidR="00213F29" w:rsidRDefault="00213F29" w:rsidP="00D81409">
                            <w:pPr>
                              <w:spacing w:after="0"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Pr="007C61BB">
                              <w:rPr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sz w:val="20"/>
                              </w:rPr>
                              <w:t xml:space="preserve">Additionally, the concept note should address </w:t>
                            </w:r>
                            <w:r w:rsidRPr="007C61BB">
                              <w:rPr>
                                <w:sz w:val="20"/>
                              </w:rPr>
                              <w:t xml:space="preserve">TB and MDR-TB among high </w:t>
                            </w:r>
                            <w:r>
                              <w:rPr>
                                <w:sz w:val="20"/>
                              </w:rPr>
                              <w:t>risk groups including prisoners an</w:t>
                            </w:r>
                            <w:r w:rsidRPr="007C61BB">
                              <w:rPr>
                                <w:sz w:val="20"/>
                              </w:rPr>
                              <w:t xml:space="preserve"> outline clear strategies and actions to improve co</w:t>
                            </w:r>
                            <w:r>
                              <w:rPr>
                                <w:sz w:val="20"/>
                              </w:rPr>
                              <w:t>verage at national level including</w:t>
                            </w:r>
                            <w:r w:rsidRPr="007C61BB">
                              <w:rPr>
                                <w:sz w:val="20"/>
                              </w:rPr>
                              <w:t>: improving treatment success rate (currently at 61%), enrolling TB/HIV co-infected patients on ART (currently only at 9%), and enrolling MDR-TB diagnosed patients on treatment (currently at 63%).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6CA2CBC7" w14:textId="77777777" w:rsidR="00213F29" w:rsidRDefault="00213F29" w:rsidP="006D0C79">
                            <w:pPr>
                              <w:spacing w:after="0" w:line="276" w:lineRule="auto"/>
                              <w:rPr>
                                <w:sz w:val="20"/>
                              </w:rPr>
                            </w:pPr>
                          </w:p>
                          <w:p w14:paraId="4B4F4D93" w14:textId="6A82E041" w:rsidR="00213F29" w:rsidRDefault="00213F29" w:rsidP="006D0C79">
                            <w:pPr>
                              <w:spacing w:after="0"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 w:rsidRPr="00AF37E1">
                              <w:rPr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sz w:val="20"/>
                              </w:rPr>
                              <w:t>Finally, t</w:t>
                            </w:r>
                            <w:r w:rsidRPr="00AF37E1">
                              <w:rPr>
                                <w:sz w:val="20"/>
                              </w:rPr>
                              <w:t>he concept note should be based on a robust, ambitious and budgeted national strategy, based on above mentioned WHO report to identify the financial gaps and trigger the needed TB health refor</w:t>
                            </w:r>
                            <w:r>
                              <w:rPr>
                                <w:sz w:val="20"/>
                              </w:rPr>
                              <w:t>ms.</w:t>
                            </w:r>
                          </w:p>
                          <w:p w14:paraId="147057CC" w14:textId="77777777" w:rsidR="00213F29" w:rsidRPr="00AF37E1" w:rsidRDefault="00213F29" w:rsidP="006D0C79">
                            <w:pPr>
                              <w:spacing w:after="0" w:line="276" w:lineRule="auto"/>
                              <w:rPr>
                                <w:sz w:val="20"/>
                              </w:rPr>
                            </w:pPr>
                          </w:p>
                          <w:p w14:paraId="7242A44B" w14:textId="7C74C1C0" w:rsidR="00213F29" w:rsidRPr="00D81409" w:rsidRDefault="00D81409" w:rsidP="006D0C79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2. Dual Track financing</w:t>
                            </w:r>
                            <w:r w:rsidR="00213F29">
                              <w:rPr>
                                <w:sz w:val="20"/>
                              </w:rPr>
                              <w:t xml:space="preserve"> is recommended.</w:t>
                            </w:r>
                          </w:p>
                          <w:p w14:paraId="34E4F81D" w14:textId="77777777" w:rsidR="00213F29" w:rsidRPr="00AF37E1" w:rsidRDefault="00213F29" w:rsidP="006D0C7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4F757090" w14:textId="77777777" w:rsidR="00213F29" w:rsidRPr="00AF37E1" w:rsidRDefault="00213F29" w:rsidP="006D0C79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AF37E1">
                              <w:rPr>
                                <w:b/>
                                <w:sz w:val="20"/>
                              </w:rPr>
                              <w:t>3. Risks and shortcoming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in financial and pharmaceutical and health product management.</w:t>
                            </w:r>
                          </w:p>
                          <w:p w14:paraId="20BB2972" w14:textId="47E91C7F" w:rsidR="00213F29" w:rsidRPr="003E5FEF" w:rsidRDefault="00213F29" w:rsidP="003E5FEF">
                            <w:pPr>
                              <w:spacing w:after="0"/>
                              <w:rPr>
                                <w:rFonts w:cs="Arial"/>
                                <w:sz w:val="20"/>
                              </w:rPr>
                            </w:pPr>
                            <w:r w:rsidRPr="006D0C79">
                              <w:rPr>
                                <w:noProof/>
                                <w:sz w:val="20"/>
                                <w:lang w:eastAsia="en-GB"/>
                              </w:rPr>
                              <w:t>Following OIG Audit report</w:t>
                            </w:r>
                            <w:r w:rsidR="003E5FEF">
                              <w:rPr>
                                <w:noProof/>
                                <w:sz w:val="20"/>
                                <w:lang w:eastAsia="en-GB"/>
                              </w:rPr>
                              <w:t xml:space="preserve"> </w:t>
                            </w:r>
                            <w:r w:rsidRPr="006D0C79">
                              <w:rPr>
                                <w:noProof/>
                                <w:sz w:val="20"/>
                                <w:lang w:eastAsia="en-GB"/>
                              </w:rPr>
                              <w:t xml:space="preserve">and last management letter </w:t>
                            </w:r>
                            <w:r>
                              <w:rPr>
                                <w:noProof/>
                                <w:sz w:val="20"/>
                                <w:lang w:eastAsia="en-GB"/>
                              </w:rPr>
                              <w:t xml:space="preserve"> recommendations respectively </w:t>
                            </w:r>
                            <w:r w:rsidRPr="006D0C79">
                              <w:rPr>
                                <w:noProof/>
                                <w:sz w:val="20"/>
                                <w:lang w:eastAsia="en-GB"/>
                              </w:rPr>
                              <w:t xml:space="preserve">issued on 21.12.2012 </w:t>
                            </w:r>
                            <w:r>
                              <w:rPr>
                                <w:noProof/>
                                <w:sz w:val="20"/>
                                <w:lang w:eastAsia="en-GB"/>
                              </w:rPr>
                              <w:t xml:space="preserve"> and 29</w:t>
                            </w:r>
                            <w:r w:rsidR="003E5FEF">
                              <w:rPr>
                                <w:noProof/>
                                <w:sz w:val="20"/>
                                <w:lang w:eastAsia="en-GB"/>
                              </w:rPr>
                              <w:t>.04.2013 and FPM’s visit in February/March 2013</w:t>
                            </w:r>
                            <w:r w:rsidR="003E5FEF" w:rsidRPr="006D0C79">
                              <w:rPr>
                                <w:noProof/>
                                <w:sz w:val="20"/>
                                <w:lang w:eastAsia="en-GB"/>
                              </w:rPr>
                              <w:t xml:space="preserve"> </w:t>
                            </w:r>
                            <w:r w:rsidRPr="006D0C79">
                              <w:rPr>
                                <w:noProof/>
                                <w:sz w:val="20"/>
                                <w:lang w:eastAsia="en-GB"/>
                              </w:rPr>
                              <w:t xml:space="preserve"> </w:t>
                            </w:r>
                            <w:r w:rsidRPr="006D0C79">
                              <w:rPr>
                                <w:rFonts w:cs="Arial"/>
                                <w:sz w:val="20"/>
                              </w:rPr>
                              <w:t>Financial and Pharmaceutical and Health Product Management, especial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ly in the field of procurement, are</w:t>
                            </w:r>
                            <w:r w:rsidRPr="006D0C79">
                              <w:rPr>
                                <w:rFonts w:cs="Arial"/>
                                <w:sz w:val="20"/>
                              </w:rPr>
                              <w:t xml:space="preserve"> considered as high risk areas and, as such, shou</w:t>
                            </w:r>
                            <w:r w:rsidR="00350376">
                              <w:rPr>
                                <w:rFonts w:cs="Arial"/>
                                <w:sz w:val="20"/>
                              </w:rPr>
                              <w:t>ld be urgently addressed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.</w:t>
                            </w:r>
                          </w:p>
                          <w:p w14:paraId="4A5B7BC2" w14:textId="77777777" w:rsidR="00213F29" w:rsidRDefault="00213F29" w:rsidP="006D0C79">
                            <w:pPr>
                              <w:spacing w:after="0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F601E1B" w14:textId="77777777" w:rsidR="00213F29" w:rsidRPr="006D0C79" w:rsidRDefault="00213F29" w:rsidP="006D0C79">
                            <w:pPr>
                              <w:spacing w:after="0"/>
                              <w:rPr>
                                <w:noProof/>
                                <w:sz w:val="20"/>
                                <w:lang w:eastAsia="en-GB"/>
                              </w:rPr>
                            </w:pPr>
                          </w:p>
                          <w:p w14:paraId="217F19A2" w14:textId="449FE8BD" w:rsidR="00213F29" w:rsidRDefault="00213F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65pt;margin-top:7.5pt;width:435pt;height:4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" fillcolor="#f2f2f2 [3052]">
                <v:textbox>
                  <w:txbxContent>
                    <w:p w14:paraId="710AE514" w14:textId="77777777" w:rsidR="00213F29" w:rsidRDefault="00213F29" w:rsidP="006D0C79">
                      <w:pPr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</w:p>
                    <w:p w14:paraId="4F6F6CF0" w14:textId="2A8E2020" w:rsidR="00213F29" w:rsidRDefault="00213F29" w:rsidP="006D0C79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</w:rPr>
                        <w:t>Summary of the main Country Team recommendations to the CCM when preparing the concept note:</w:t>
                      </w:r>
                    </w:p>
                    <w:p w14:paraId="6F3000E9" w14:textId="77777777" w:rsidR="00213F29" w:rsidRDefault="00213F29" w:rsidP="006D0C79">
                      <w:pPr>
                        <w:spacing w:after="0"/>
                        <w:rPr>
                          <w:rFonts w:cs="Arial"/>
                          <w:b/>
                          <w:sz w:val="20"/>
                        </w:rPr>
                      </w:pPr>
                    </w:p>
                    <w:p w14:paraId="4F0F438E" w14:textId="77777777" w:rsidR="00213F29" w:rsidRDefault="00213F29" w:rsidP="006D0C79">
                      <w:pPr>
                        <w:spacing w:after="0"/>
                        <w:rPr>
                          <w:rFonts w:cs="Arial"/>
                          <w:b/>
                          <w:sz w:val="20"/>
                        </w:rPr>
                      </w:pPr>
                    </w:p>
                    <w:p w14:paraId="1F9FEC93" w14:textId="48EE1E84" w:rsidR="00213F29" w:rsidRPr="00AF37E1" w:rsidRDefault="00213F29" w:rsidP="006D0C79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AF37E1">
                        <w:rPr>
                          <w:b/>
                          <w:sz w:val="20"/>
                        </w:rPr>
                        <w:t xml:space="preserve">1. </w:t>
                      </w:r>
                      <w:r>
                        <w:rPr>
                          <w:b/>
                          <w:sz w:val="20"/>
                        </w:rPr>
                        <w:t>Main p</w:t>
                      </w:r>
                      <w:r w:rsidRPr="00AF37E1">
                        <w:rPr>
                          <w:b/>
                          <w:sz w:val="20"/>
                        </w:rPr>
                        <w:t>rogrammatic strategic recommendations:</w:t>
                      </w:r>
                    </w:p>
                    <w:p w14:paraId="556F00E8" w14:textId="77777777" w:rsidR="00213F29" w:rsidRDefault="00213F29" w:rsidP="006D0C79">
                      <w:pPr>
                        <w:spacing w:after="0" w:line="276" w:lineRule="auto"/>
                        <w:rPr>
                          <w:sz w:val="20"/>
                        </w:rPr>
                      </w:pPr>
                    </w:p>
                    <w:p w14:paraId="55438111" w14:textId="77777777" w:rsidR="00213F29" w:rsidRPr="00AF37E1" w:rsidRDefault="00213F29" w:rsidP="006D0C79">
                      <w:pPr>
                        <w:spacing w:after="0" w:line="276" w:lineRule="auto"/>
                        <w:rPr>
                          <w:sz w:val="20"/>
                        </w:rPr>
                      </w:pPr>
                      <w:r w:rsidRPr="00AF37E1">
                        <w:rPr>
                          <w:sz w:val="20"/>
                        </w:rPr>
                        <w:t xml:space="preserve">1. The concept note should be based on the recommendations included in the report “Extensive review to tuberculosis prevention, control and care in Kazakhstan” issued by </w:t>
                      </w:r>
                      <w:proofErr w:type="gramStart"/>
                      <w:r w:rsidRPr="00AF37E1">
                        <w:rPr>
                          <w:sz w:val="20"/>
                        </w:rPr>
                        <w:t>WHO</w:t>
                      </w:r>
                      <w:proofErr w:type="gramEnd"/>
                      <w:r w:rsidRPr="00AF37E1">
                        <w:rPr>
                          <w:sz w:val="20"/>
                        </w:rPr>
                        <w:t xml:space="preserve"> in 2012, this include in particular:</w:t>
                      </w:r>
                    </w:p>
                    <w:p w14:paraId="19BB55D3" w14:textId="77777777" w:rsidR="00213F29" w:rsidRPr="00AF37E1" w:rsidRDefault="00213F29" w:rsidP="006D0C79">
                      <w:pPr>
                        <w:spacing w:after="0" w:line="276" w:lineRule="auto"/>
                        <w:rPr>
                          <w:sz w:val="20"/>
                        </w:rPr>
                      </w:pPr>
                      <w:r w:rsidRPr="00AF37E1">
                        <w:rPr>
                          <w:sz w:val="20"/>
                        </w:rPr>
                        <w:t>a. Expansion of ambulatory treatment of patients, home based care and day care treatment.</w:t>
                      </w:r>
                    </w:p>
                    <w:p w14:paraId="42D841AA" w14:textId="77777777" w:rsidR="00213F29" w:rsidRPr="00AF37E1" w:rsidRDefault="00213F29" w:rsidP="006D0C79">
                      <w:pPr>
                        <w:spacing w:after="0" w:line="276" w:lineRule="auto"/>
                        <w:rPr>
                          <w:sz w:val="20"/>
                        </w:rPr>
                      </w:pPr>
                      <w:r w:rsidRPr="00AF37E1">
                        <w:rPr>
                          <w:sz w:val="20"/>
                        </w:rPr>
                        <w:t>b. Rationalization of hospitalization practices in order to prevent further spread of drug resistance and to use the available resources from the governmental budget more efficiently.</w:t>
                      </w:r>
                    </w:p>
                    <w:p w14:paraId="7D5BF191" w14:textId="77777777" w:rsidR="00213F29" w:rsidRPr="00AF37E1" w:rsidRDefault="00213F29" w:rsidP="006D0C79">
                      <w:pPr>
                        <w:spacing w:after="0" w:line="276" w:lineRule="auto"/>
                        <w:rPr>
                          <w:sz w:val="20"/>
                        </w:rPr>
                      </w:pPr>
                      <w:r w:rsidRPr="00AF37E1">
                        <w:rPr>
                          <w:sz w:val="20"/>
                        </w:rPr>
                        <w:t>c. Address the urgent needs of cross border TB control and treatment for migrant populations.</w:t>
                      </w:r>
                    </w:p>
                    <w:p w14:paraId="1D18A497" w14:textId="77777777" w:rsidR="00213F29" w:rsidRDefault="00213F29" w:rsidP="006D0C79">
                      <w:pPr>
                        <w:spacing w:after="0" w:line="276" w:lineRule="auto"/>
                        <w:rPr>
                          <w:sz w:val="20"/>
                        </w:rPr>
                      </w:pPr>
                    </w:p>
                    <w:p w14:paraId="3C7075EC" w14:textId="56F87D6B" w:rsidR="00213F29" w:rsidRDefault="00213F29" w:rsidP="00D81409">
                      <w:pPr>
                        <w:spacing w:after="0" w:line="276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 w:rsidRPr="007C61BB">
                        <w:rPr>
                          <w:sz w:val="20"/>
                        </w:rPr>
                        <w:t xml:space="preserve">. </w:t>
                      </w:r>
                      <w:r>
                        <w:rPr>
                          <w:sz w:val="20"/>
                        </w:rPr>
                        <w:t xml:space="preserve">Additionally, the concept note should address </w:t>
                      </w:r>
                      <w:r w:rsidRPr="007C61BB">
                        <w:rPr>
                          <w:sz w:val="20"/>
                        </w:rPr>
                        <w:t xml:space="preserve">TB and MDR-TB among high </w:t>
                      </w:r>
                      <w:r>
                        <w:rPr>
                          <w:sz w:val="20"/>
                        </w:rPr>
                        <w:t>risk groups including prisoners an</w:t>
                      </w:r>
                      <w:r w:rsidRPr="007C61BB">
                        <w:rPr>
                          <w:sz w:val="20"/>
                        </w:rPr>
                        <w:t xml:space="preserve"> outline clear strategies and actions to improve co</w:t>
                      </w:r>
                      <w:r>
                        <w:rPr>
                          <w:sz w:val="20"/>
                        </w:rPr>
                        <w:t>verage at national level including</w:t>
                      </w:r>
                      <w:r w:rsidRPr="007C61BB">
                        <w:rPr>
                          <w:sz w:val="20"/>
                        </w:rPr>
                        <w:t>: improving treatment success rate (currently at 61%), enrolling TB/HIV co-infected patients on ART (currently only at 9%), and enrolling MDR-TB diagnosed patients on treatment (currently at 63%).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14:paraId="6CA2CBC7" w14:textId="77777777" w:rsidR="00213F29" w:rsidRDefault="00213F29" w:rsidP="006D0C79">
                      <w:pPr>
                        <w:spacing w:after="0" w:line="276" w:lineRule="auto"/>
                        <w:rPr>
                          <w:sz w:val="20"/>
                        </w:rPr>
                      </w:pPr>
                    </w:p>
                    <w:p w14:paraId="4B4F4D93" w14:textId="6A82E041" w:rsidR="00213F29" w:rsidRDefault="00213F29" w:rsidP="006D0C79">
                      <w:pPr>
                        <w:spacing w:after="0" w:line="276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</w:t>
                      </w:r>
                      <w:r w:rsidRPr="00AF37E1">
                        <w:rPr>
                          <w:sz w:val="20"/>
                        </w:rPr>
                        <w:t xml:space="preserve">. </w:t>
                      </w:r>
                      <w:r>
                        <w:rPr>
                          <w:sz w:val="20"/>
                        </w:rPr>
                        <w:t>Finally, t</w:t>
                      </w:r>
                      <w:r w:rsidRPr="00AF37E1">
                        <w:rPr>
                          <w:sz w:val="20"/>
                        </w:rPr>
                        <w:t>he concept note should be based on a robust, ambitious and budgeted national strategy, based on above mentioned WHO report to identify the financial gaps and trigger the needed TB health refor</w:t>
                      </w:r>
                      <w:r>
                        <w:rPr>
                          <w:sz w:val="20"/>
                        </w:rPr>
                        <w:t>ms.</w:t>
                      </w:r>
                    </w:p>
                    <w:p w14:paraId="147057CC" w14:textId="77777777" w:rsidR="00213F29" w:rsidRPr="00AF37E1" w:rsidRDefault="00213F29" w:rsidP="006D0C79">
                      <w:pPr>
                        <w:spacing w:after="0" w:line="276" w:lineRule="auto"/>
                        <w:rPr>
                          <w:sz w:val="20"/>
                        </w:rPr>
                      </w:pPr>
                    </w:p>
                    <w:p w14:paraId="7242A44B" w14:textId="7C74C1C0" w:rsidR="00213F29" w:rsidRPr="00D81409" w:rsidRDefault="00D81409" w:rsidP="006D0C79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2. Dual Track financing</w:t>
                      </w:r>
                      <w:r w:rsidR="00213F29">
                        <w:rPr>
                          <w:sz w:val="20"/>
                        </w:rPr>
                        <w:t xml:space="preserve"> is recommended.</w:t>
                      </w:r>
                    </w:p>
                    <w:p w14:paraId="34E4F81D" w14:textId="77777777" w:rsidR="00213F29" w:rsidRPr="00AF37E1" w:rsidRDefault="00213F29" w:rsidP="006D0C79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4F757090" w14:textId="77777777" w:rsidR="00213F29" w:rsidRPr="00AF37E1" w:rsidRDefault="00213F29" w:rsidP="006D0C79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AF37E1">
                        <w:rPr>
                          <w:b/>
                          <w:sz w:val="20"/>
                        </w:rPr>
                        <w:t>3. Risks and shortcoming</w:t>
                      </w:r>
                      <w:r>
                        <w:rPr>
                          <w:b/>
                          <w:sz w:val="20"/>
                        </w:rPr>
                        <w:t xml:space="preserve"> in financial and pharmaceutical and health product management.</w:t>
                      </w:r>
                    </w:p>
                    <w:p w14:paraId="20BB2972" w14:textId="47E91C7F" w:rsidR="00213F29" w:rsidRPr="003E5FEF" w:rsidRDefault="00213F29" w:rsidP="003E5FEF">
                      <w:pPr>
                        <w:spacing w:after="0"/>
                        <w:rPr>
                          <w:rFonts w:cs="Arial"/>
                          <w:sz w:val="20"/>
                        </w:rPr>
                      </w:pPr>
                      <w:r w:rsidRPr="006D0C79">
                        <w:rPr>
                          <w:noProof/>
                          <w:sz w:val="20"/>
                          <w:lang w:eastAsia="en-GB"/>
                        </w:rPr>
                        <w:t>Following OIG Audit report</w:t>
                      </w:r>
                      <w:r w:rsidR="003E5FEF">
                        <w:rPr>
                          <w:noProof/>
                          <w:sz w:val="20"/>
                          <w:lang w:eastAsia="en-GB"/>
                        </w:rPr>
                        <w:t xml:space="preserve"> </w:t>
                      </w:r>
                      <w:r w:rsidRPr="006D0C79">
                        <w:rPr>
                          <w:noProof/>
                          <w:sz w:val="20"/>
                          <w:lang w:eastAsia="en-GB"/>
                        </w:rPr>
                        <w:t xml:space="preserve">and last management letter </w:t>
                      </w:r>
                      <w:r>
                        <w:rPr>
                          <w:noProof/>
                          <w:sz w:val="20"/>
                          <w:lang w:eastAsia="en-GB"/>
                        </w:rPr>
                        <w:t xml:space="preserve"> recommendations respectively </w:t>
                      </w:r>
                      <w:r w:rsidRPr="006D0C79">
                        <w:rPr>
                          <w:noProof/>
                          <w:sz w:val="20"/>
                          <w:lang w:eastAsia="en-GB"/>
                        </w:rPr>
                        <w:t xml:space="preserve">issued on 21.12.2012 </w:t>
                      </w:r>
                      <w:r>
                        <w:rPr>
                          <w:noProof/>
                          <w:sz w:val="20"/>
                          <w:lang w:eastAsia="en-GB"/>
                        </w:rPr>
                        <w:t xml:space="preserve"> and 29</w:t>
                      </w:r>
                      <w:r w:rsidR="003E5FEF">
                        <w:rPr>
                          <w:noProof/>
                          <w:sz w:val="20"/>
                          <w:lang w:eastAsia="en-GB"/>
                        </w:rPr>
                        <w:t>.04.2013 and FPM’s visit in February/March 2013</w:t>
                      </w:r>
                      <w:r w:rsidR="003E5FEF" w:rsidRPr="006D0C79">
                        <w:rPr>
                          <w:noProof/>
                          <w:sz w:val="20"/>
                          <w:lang w:eastAsia="en-GB"/>
                        </w:rPr>
                        <w:t xml:space="preserve"> </w:t>
                      </w:r>
                      <w:r w:rsidRPr="006D0C79">
                        <w:rPr>
                          <w:noProof/>
                          <w:sz w:val="20"/>
                          <w:lang w:eastAsia="en-GB"/>
                        </w:rPr>
                        <w:t xml:space="preserve"> </w:t>
                      </w:r>
                      <w:r w:rsidRPr="006D0C79">
                        <w:rPr>
                          <w:rFonts w:cs="Arial"/>
                          <w:sz w:val="20"/>
                        </w:rPr>
                        <w:t>Financial and Pharmaceutical and Health Product Management, especial</w:t>
                      </w:r>
                      <w:r>
                        <w:rPr>
                          <w:rFonts w:cs="Arial"/>
                          <w:sz w:val="20"/>
                        </w:rPr>
                        <w:t>ly in the field of procurement, are</w:t>
                      </w:r>
                      <w:r w:rsidRPr="006D0C79">
                        <w:rPr>
                          <w:rFonts w:cs="Arial"/>
                          <w:sz w:val="20"/>
                        </w:rPr>
                        <w:t xml:space="preserve"> considered as high risk areas and, as such, shou</w:t>
                      </w:r>
                      <w:r w:rsidR="00350376">
                        <w:rPr>
                          <w:rFonts w:cs="Arial"/>
                          <w:sz w:val="20"/>
                        </w:rPr>
                        <w:t>ld be urgently addressed</w:t>
                      </w:r>
                      <w:r>
                        <w:rPr>
                          <w:rFonts w:cs="Arial"/>
                          <w:sz w:val="20"/>
                        </w:rPr>
                        <w:t>.</w:t>
                      </w:r>
                    </w:p>
                    <w:p w14:paraId="4A5B7BC2" w14:textId="77777777" w:rsidR="00213F29" w:rsidRDefault="00213F29" w:rsidP="006D0C79">
                      <w:pPr>
                        <w:spacing w:after="0"/>
                        <w:rPr>
                          <w:rFonts w:cs="Arial"/>
                          <w:sz w:val="20"/>
                        </w:rPr>
                      </w:pPr>
                    </w:p>
                    <w:p w14:paraId="7F601E1B" w14:textId="77777777" w:rsidR="00213F29" w:rsidRPr="006D0C79" w:rsidRDefault="00213F29" w:rsidP="006D0C79">
                      <w:pPr>
                        <w:spacing w:after="0"/>
                        <w:rPr>
                          <w:noProof/>
                          <w:sz w:val="20"/>
                          <w:lang w:eastAsia="en-GB"/>
                        </w:rPr>
                      </w:pPr>
                    </w:p>
                    <w:p w14:paraId="217F19A2" w14:textId="449FE8BD" w:rsidR="00213F29" w:rsidRDefault="00213F29"/>
                  </w:txbxContent>
                </v:textbox>
              </v:shape>
            </w:pict>
          </mc:Fallback>
        </mc:AlternateContent>
      </w:r>
    </w:p>
    <w:p w14:paraId="2E05A5AD" w14:textId="77777777" w:rsidR="006D0C79" w:rsidRDefault="006D0C79" w:rsidP="006D0C79">
      <w:pPr>
        <w:jc w:val="center"/>
        <w:rPr>
          <w:rFonts w:cs="Arial"/>
          <w:b/>
          <w:sz w:val="20"/>
        </w:rPr>
      </w:pPr>
    </w:p>
    <w:p w14:paraId="29B198BE" w14:textId="77777777" w:rsidR="006D0C79" w:rsidRDefault="006D0C79" w:rsidP="006D0C79">
      <w:pPr>
        <w:jc w:val="center"/>
        <w:rPr>
          <w:rFonts w:cs="Arial"/>
          <w:b/>
          <w:sz w:val="20"/>
        </w:rPr>
      </w:pPr>
    </w:p>
    <w:p w14:paraId="1D3D8206" w14:textId="77777777" w:rsidR="006D0C79" w:rsidRDefault="006D0C79" w:rsidP="006D0C79">
      <w:pPr>
        <w:jc w:val="center"/>
        <w:rPr>
          <w:rFonts w:cs="Arial"/>
          <w:b/>
          <w:sz w:val="20"/>
        </w:rPr>
      </w:pPr>
    </w:p>
    <w:p w14:paraId="235B1C0F" w14:textId="77777777" w:rsidR="00FB1B76" w:rsidRDefault="00FB1B76" w:rsidP="00FB1B76">
      <w:pPr>
        <w:rPr>
          <w:rFonts w:cs="Arial"/>
          <w:b/>
          <w:sz w:val="20"/>
        </w:rPr>
      </w:pPr>
    </w:p>
    <w:p w14:paraId="4B660BAE" w14:textId="77777777" w:rsidR="009634AF" w:rsidRDefault="009634AF" w:rsidP="00FB1B76">
      <w:pPr>
        <w:rPr>
          <w:rFonts w:cs="Arial"/>
          <w:b/>
          <w:sz w:val="20"/>
        </w:rPr>
      </w:pPr>
    </w:p>
    <w:p w14:paraId="24DAFBDD" w14:textId="77777777" w:rsidR="009634AF" w:rsidRDefault="009634AF" w:rsidP="00FB1B76">
      <w:pPr>
        <w:rPr>
          <w:rFonts w:cs="Arial"/>
          <w:b/>
          <w:sz w:val="20"/>
        </w:rPr>
      </w:pPr>
    </w:p>
    <w:p w14:paraId="7FFD051A" w14:textId="77777777" w:rsidR="009634AF" w:rsidRDefault="009634AF" w:rsidP="00FB1B76">
      <w:pPr>
        <w:rPr>
          <w:rFonts w:cs="Arial"/>
          <w:b/>
          <w:sz w:val="20"/>
        </w:rPr>
      </w:pPr>
    </w:p>
    <w:p w14:paraId="79503028" w14:textId="77777777" w:rsidR="00FB1B76" w:rsidRDefault="00FB1B76" w:rsidP="00FB1B76">
      <w:pPr>
        <w:rPr>
          <w:rFonts w:cs="Arial"/>
          <w:b/>
          <w:sz w:val="20"/>
        </w:rPr>
      </w:pPr>
    </w:p>
    <w:p w14:paraId="4E5A5BBB" w14:textId="77777777" w:rsidR="006D0C79" w:rsidRDefault="006D0C79" w:rsidP="00FB1B76">
      <w:pPr>
        <w:rPr>
          <w:rFonts w:cs="Arial"/>
          <w:b/>
          <w:sz w:val="20"/>
        </w:rPr>
      </w:pPr>
    </w:p>
    <w:p w14:paraId="7B7DE135" w14:textId="77777777" w:rsidR="006D0C79" w:rsidRDefault="006D0C79" w:rsidP="00FB1B76">
      <w:pPr>
        <w:rPr>
          <w:rFonts w:cs="Arial"/>
          <w:b/>
          <w:sz w:val="20"/>
        </w:rPr>
      </w:pPr>
    </w:p>
    <w:p w14:paraId="2735AB03" w14:textId="77777777" w:rsidR="006D0C79" w:rsidRDefault="006D0C79" w:rsidP="00FB1B76">
      <w:pPr>
        <w:rPr>
          <w:rFonts w:cs="Arial"/>
          <w:b/>
          <w:sz w:val="20"/>
        </w:rPr>
      </w:pPr>
    </w:p>
    <w:p w14:paraId="50EE5633" w14:textId="77777777" w:rsidR="006D0C79" w:rsidRDefault="006D0C79" w:rsidP="00FB1B76">
      <w:pPr>
        <w:rPr>
          <w:rFonts w:cs="Arial"/>
          <w:b/>
          <w:sz w:val="20"/>
        </w:rPr>
      </w:pPr>
    </w:p>
    <w:p w14:paraId="24D482B2" w14:textId="77777777" w:rsidR="006D0C79" w:rsidRDefault="006D0C79" w:rsidP="00FB1B76">
      <w:pPr>
        <w:rPr>
          <w:rFonts w:cs="Arial"/>
          <w:b/>
          <w:sz w:val="20"/>
        </w:rPr>
      </w:pPr>
    </w:p>
    <w:p w14:paraId="07A6B6FE" w14:textId="77777777" w:rsidR="006D0C79" w:rsidRDefault="006D0C79" w:rsidP="00FB1B76">
      <w:pPr>
        <w:rPr>
          <w:rFonts w:cs="Arial"/>
          <w:b/>
          <w:sz w:val="20"/>
        </w:rPr>
      </w:pPr>
    </w:p>
    <w:p w14:paraId="21C6D6F6" w14:textId="77777777" w:rsidR="006D0C79" w:rsidRDefault="006D0C79" w:rsidP="00FB1B76">
      <w:pPr>
        <w:rPr>
          <w:rFonts w:cs="Arial"/>
          <w:b/>
          <w:sz w:val="20"/>
        </w:rPr>
      </w:pPr>
    </w:p>
    <w:p w14:paraId="6431670B" w14:textId="77777777" w:rsidR="006D0C79" w:rsidRDefault="006D0C79" w:rsidP="00FB1B76">
      <w:pPr>
        <w:rPr>
          <w:rFonts w:cs="Arial"/>
          <w:b/>
          <w:sz w:val="20"/>
        </w:rPr>
      </w:pPr>
    </w:p>
    <w:p w14:paraId="564AFC5E" w14:textId="77777777" w:rsidR="006D0C79" w:rsidRDefault="006D0C79" w:rsidP="00FB1B76">
      <w:pPr>
        <w:rPr>
          <w:rFonts w:cs="Arial"/>
          <w:b/>
          <w:sz w:val="20"/>
        </w:rPr>
      </w:pPr>
    </w:p>
    <w:p w14:paraId="15C08728" w14:textId="77777777" w:rsidR="006D0C79" w:rsidRDefault="006D0C79" w:rsidP="00FB1B76">
      <w:pPr>
        <w:rPr>
          <w:rFonts w:cs="Arial"/>
          <w:b/>
          <w:sz w:val="20"/>
        </w:rPr>
      </w:pPr>
    </w:p>
    <w:p w14:paraId="160DB751" w14:textId="77777777" w:rsidR="006D0C79" w:rsidRDefault="006D0C79" w:rsidP="00FB1B76">
      <w:pPr>
        <w:rPr>
          <w:rFonts w:cs="Arial"/>
          <w:b/>
          <w:sz w:val="20"/>
        </w:rPr>
      </w:pPr>
    </w:p>
    <w:p w14:paraId="273E513B" w14:textId="77777777" w:rsidR="006D0C79" w:rsidRDefault="006D0C79" w:rsidP="00FB1B76">
      <w:pPr>
        <w:rPr>
          <w:rFonts w:cs="Arial"/>
          <w:b/>
          <w:sz w:val="20"/>
        </w:rPr>
      </w:pPr>
    </w:p>
    <w:p w14:paraId="1CBEFDC2" w14:textId="77777777" w:rsidR="006D0C79" w:rsidRDefault="006D0C79" w:rsidP="00FB1B76">
      <w:pPr>
        <w:rPr>
          <w:rFonts w:cs="Arial"/>
          <w:b/>
          <w:sz w:val="20"/>
        </w:rPr>
      </w:pPr>
    </w:p>
    <w:p w14:paraId="6619AD3A" w14:textId="77777777" w:rsidR="006D0C79" w:rsidRDefault="006D0C79" w:rsidP="00FB1B76">
      <w:pPr>
        <w:rPr>
          <w:rFonts w:cs="Arial"/>
          <w:b/>
          <w:sz w:val="20"/>
        </w:rPr>
      </w:pPr>
    </w:p>
    <w:p w14:paraId="02177B4B" w14:textId="77777777" w:rsidR="006D0C79" w:rsidRDefault="006D0C79" w:rsidP="00FB1B76">
      <w:pPr>
        <w:rPr>
          <w:rFonts w:cs="Arial"/>
          <w:b/>
          <w:sz w:val="20"/>
        </w:rPr>
      </w:pPr>
    </w:p>
    <w:p w14:paraId="59E18AF7" w14:textId="77777777" w:rsidR="006D0C79" w:rsidRDefault="006D0C79" w:rsidP="00FB1B76">
      <w:pPr>
        <w:rPr>
          <w:rFonts w:cs="Arial"/>
          <w:b/>
          <w:sz w:val="20"/>
        </w:rPr>
      </w:pPr>
    </w:p>
    <w:p w14:paraId="3C9D11B4" w14:textId="77777777" w:rsidR="006D0C79" w:rsidRDefault="006D0C79" w:rsidP="00FB1B76">
      <w:pPr>
        <w:rPr>
          <w:rFonts w:cs="Arial"/>
          <w:b/>
          <w:sz w:val="20"/>
        </w:rPr>
      </w:pPr>
    </w:p>
    <w:p w14:paraId="70BD0D6A" w14:textId="77777777" w:rsidR="006D0C79" w:rsidRDefault="006D0C79" w:rsidP="00FB1B76">
      <w:pPr>
        <w:rPr>
          <w:rFonts w:cs="Arial"/>
          <w:b/>
          <w:sz w:val="20"/>
        </w:rPr>
      </w:pPr>
    </w:p>
    <w:p w14:paraId="1FB89259" w14:textId="77777777" w:rsidR="006D0C79" w:rsidRDefault="006D0C79" w:rsidP="00FB1B76">
      <w:pPr>
        <w:rPr>
          <w:rFonts w:cs="Arial"/>
          <w:b/>
          <w:sz w:val="20"/>
        </w:rPr>
      </w:pPr>
    </w:p>
    <w:p w14:paraId="06D316F5" w14:textId="77777777" w:rsidR="006D0C79" w:rsidRDefault="006D0C79" w:rsidP="00FB1B76">
      <w:pPr>
        <w:rPr>
          <w:rFonts w:cs="Arial"/>
          <w:b/>
          <w:sz w:val="20"/>
        </w:rPr>
      </w:pPr>
      <w:bookmarkStart w:id="0" w:name="_GoBack"/>
      <w:bookmarkEnd w:id="0"/>
    </w:p>
    <w:p w14:paraId="6B247870" w14:textId="77777777" w:rsidR="006D0C79" w:rsidRDefault="006D0C79" w:rsidP="00FB1B76">
      <w:pPr>
        <w:rPr>
          <w:rFonts w:cs="Arial"/>
          <w:b/>
          <w:sz w:val="20"/>
        </w:rPr>
      </w:pPr>
    </w:p>
    <w:p w14:paraId="712D4CCE" w14:textId="77777777" w:rsidR="006D0C79" w:rsidRDefault="006D0C79" w:rsidP="00FB1B76">
      <w:pPr>
        <w:rPr>
          <w:rFonts w:cs="Arial"/>
          <w:b/>
          <w:sz w:val="20"/>
        </w:rPr>
      </w:pPr>
    </w:p>
    <w:p w14:paraId="71E87F3B" w14:textId="77777777" w:rsidR="006D0C79" w:rsidRDefault="006D0C79" w:rsidP="00FB1B76">
      <w:pPr>
        <w:rPr>
          <w:rFonts w:cs="Arial"/>
          <w:b/>
          <w:sz w:val="20"/>
        </w:rPr>
      </w:pPr>
    </w:p>
    <w:p w14:paraId="7F65F922" w14:textId="77777777" w:rsidR="006D0C79" w:rsidRDefault="006D0C79" w:rsidP="00FB1B76">
      <w:pPr>
        <w:rPr>
          <w:rFonts w:cs="Arial"/>
          <w:b/>
          <w:sz w:val="20"/>
        </w:rPr>
      </w:pPr>
    </w:p>
    <w:p w14:paraId="61E0F41D" w14:textId="20851F83" w:rsidR="00FB1B76" w:rsidRPr="00AF37E1" w:rsidRDefault="00213F29" w:rsidP="00FB1B76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>1. Epidemiological situation: s</w:t>
      </w:r>
      <w:r w:rsidR="00FB1B76" w:rsidRPr="00AF37E1">
        <w:rPr>
          <w:rFonts w:cs="Arial"/>
          <w:b/>
          <w:sz w:val="20"/>
        </w:rPr>
        <w:t>ummary</w:t>
      </w:r>
    </w:p>
    <w:p w14:paraId="0E01D88D" w14:textId="77777777" w:rsidR="00FB1B76" w:rsidRPr="00AF37E1" w:rsidRDefault="00FB1B76" w:rsidP="00FB1B76">
      <w:pPr>
        <w:rPr>
          <w:rFonts w:cs="Arial"/>
          <w:b/>
          <w:sz w:val="20"/>
        </w:rPr>
      </w:pPr>
    </w:p>
    <w:p w14:paraId="7F43061B" w14:textId="77777777" w:rsidR="002A6F93" w:rsidRDefault="002A6F93" w:rsidP="002A6F93">
      <w:pPr>
        <w:rPr>
          <w:rFonts w:cs="Arial"/>
          <w:sz w:val="20"/>
        </w:rPr>
      </w:pPr>
      <w:r>
        <w:rPr>
          <w:rFonts w:cs="Arial"/>
          <w:b/>
          <w:sz w:val="20"/>
        </w:rPr>
        <w:t>Kazakhstan is among 27 high multidrug-resistant (MDR) TB burden countries in the world with an estimated MDR TB prevalence of 30% in new cases and 51% in previously treated cases.</w:t>
      </w:r>
      <w:r>
        <w:rPr>
          <w:rFonts w:cs="Arial"/>
          <w:sz w:val="20"/>
        </w:rPr>
        <w:t xml:space="preserve"> It is also listed among 18 high priority countries for stopping TB in the European region (ranked as 2</w:t>
      </w:r>
      <w:r>
        <w:rPr>
          <w:rFonts w:cs="Arial"/>
          <w:sz w:val="20"/>
          <w:vertAlign w:val="superscript"/>
        </w:rPr>
        <w:t>nd</w:t>
      </w:r>
      <w:r>
        <w:rPr>
          <w:rFonts w:cs="Arial"/>
          <w:sz w:val="20"/>
        </w:rPr>
        <w:t xml:space="preserve"> in the European region in terms of case notification rate). </w:t>
      </w:r>
    </w:p>
    <w:p w14:paraId="494E3810" w14:textId="77777777" w:rsidR="002A6F93" w:rsidRDefault="002A6F93" w:rsidP="002A6F93">
      <w:pPr>
        <w:rPr>
          <w:rFonts w:cs="Arial"/>
          <w:sz w:val="20"/>
        </w:rPr>
      </w:pPr>
      <w:r>
        <w:rPr>
          <w:rFonts w:cs="Arial"/>
          <w:sz w:val="20"/>
        </w:rPr>
        <w:t xml:space="preserve">WHO estimates the incidence, prevalence and mortality rate of TB in 2011 to be 129, 168 and 14 per 100.000 </w:t>
      </w:r>
      <w:proofErr w:type="gramStart"/>
      <w:r>
        <w:rPr>
          <w:rFonts w:cs="Arial"/>
          <w:sz w:val="20"/>
        </w:rPr>
        <w:t>population</w:t>
      </w:r>
      <w:proofErr w:type="gramEnd"/>
      <w:r>
        <w:rPr>
          <w:rFonts w:cs="Arial"/>
          <w:sz w:val="20"/>
        </w:rPr>
        <w:t xml:space="preserve"> respectively. </w:t>
      </w:r>
      <w:r>
        <w:rPr>
          <w:rFonts w:cs="Arial"/>
          <w:b/>
          <w:sz w:val="20"/>
        </w:rPr>
        <w:t>The program achieved 92% case detection rate for all forms of TB; however treatment success rate, especially smear-positive cases (new and retreatment) has been low and declining over recent years, which could be partly attributed to a high rate of MDR TB.</w:t>
      </w:r>
      <w:r>
        <w:rPr>
          <w:rFonts w:cs="Arial"/>
          <w:sz w:val="20"/>
        </w:rPr>
        <w:t xml:space="preserve"> Considering this fact the country started addressing the problem (with the support of the Global Fund) through scaling-up MDR TB response; the results of these interventions were quite successful, resulting 73% of treatment success  for 2009 MDR TB cohort (2851 MDR TB cases out of 3897 were successfully treated). </w:t>
      </w:r>
    </w:p>
    <w:p w14:paraId="58C99A33" w14:textId="77777777" w:rsidR="002A6F93" w:rsidRDefault="002A6F93" w:rsidP="002A6F93">
      <w:pPr>
        <w:rPr>
          <w:rFonts w:cs="Arial"/>
          <w:sz w:val="20"/>
        </w:rPr>
      </w:pPr>
      <w:r>
        <w:rPr>
          <w:rFonts w:cs="Arial"/>
          <w:sz w:val="20"/>
        </w:rPr>
        <w:t>By October 2012 Kazakhstan received a cumulative of 54 million USD from the Global Fund to combat TB and it is ranked 14</w:t>
      </w:r>
      <w:r>
        <w:rPr>
          <w:rFonts w:cs="Arial"/>
          <w:sz w:val="20"/>
          <w:vertAlign w:val="superscript"/>
        </w:rPr>
        <w:t>th</w:t>
      </w:r>
      <w:r>
        <w:rPr>
          <w:rFonts w:cs="Arial"/>
          <w:sz w:val="20"/>
        </w:rPr>
        <w:t xml:space="preserve"> among GF-supported countries in terms of TB disbursement. </w:t>
      </w:r>
    </w:p>
    <w:p w14:paraId="492D6EF1" w14:textId="77777777" w:rsidR="002A6F93" w:rsidRDefault="002A6F93" w:rsidP="002A6F93">
      <w:pPr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DOTS</w:t>
      </w:r>
      <w:r>
        <w:rPr>
          <w:rFonts w:cs="Arial"/>
          <w:b/>
          <w:sz w:val="20"/>
        </w:rPr>
        <w:t>:</w:t>
      </w:r>
      <w:r>
        <w:rPr>
          <w:rFonts w:cs="Arial"/>
          <w:sz w:val="20"/>
        </w:rPr>
        <w:t xml:space="preserve"> Kazakhstan witnessed a major upsurge in TB incidence and mortality in 90’s. </w:t>
      </w:r>
      <w:r>
        <w:rPr>
          <w:rFonts w:cs="Arial"/>
          <w:b/>
          <w:sz w:val="20"/>
        </w:rPr>
        <w:t>The current trend of TB incidence, prevalence and mortality demonstrated substantive reductions in burden (68%, 79% and 67%) compared to the peak in 1998.</w:t>
      </w:r>
      <w:r>
        <w:rPr>
          <w:rFonts w:cs="Arial"/>
          <w:sz w:val="20"/>
        </w:rPr>
        <w:t xml:space="preserve"> Case notification rate also peaked in early 2000 (173 per 100.000 population) and started steady decline since then, reaching 113 per 100.000 in 2011. The case detection rate reached 92% in 2011. Out of the 12249 new pulmonary TB cases only 50% have a bacteriological confirmation indicating that almost half of the TB cases are diagnosed and started treatment based on the clinical picture or chest X-ray.  Male to female ratio for new smear-positive TB cases was 1.6 and the most affected age group was 25-34. </w:t>
      </w:r>
    </w:p>
    <w:p w14:paraId="6F05FA46" w14:textId="77777777" w:rsidR="002A6F93" w:rsidRDefault="002A6F93" w:rsidP="002A6F93">
      <w:pPr>
        <w:rPr>
          <w:rFonts w:cs="Arial"/>
          <w:sz w:val="20"/>
        </w:rPr>
      </w:pPr>
      <w:r>
        <w:rPr>
          <w:rFonts w:cs="Arial"/>
          <w:b/>
          <w:sz w:val="20"/>
        </w:rPr>
        <w:t>Treatment success rate for New Smear Positive TB cases is low and constitutes 61% for 2010 cohort.</w:t>
      </w:r>
      <w:r>
        <w:rPr>
          <w:rFonts w:cs="Arial"/>
          <w:sz w:val="20"/>
        </w:rPr>
        <w:t xml:space="preserve"> Treatment success  declined from 71% to 61% in the 2006-2010 (with the failure rate of 7%, death rate of 3% and defaulter rate of 5%); 27% cases were not evaluated as majority of these patients were diagnosed having MDR TB and second-line TB treatment has been initiated. </w:t>
      </w:r>
    </w:p>
    <w:p w14:paraId="535F50C1" w14:textId="77777777" w:rsidR="002A6F93" w:rsidRDefault="002A6F93" w:rsidP="002A6F93">
      <w:pPr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MDR TB</w:t>
      </w:r>
      <w:r>
        <w:rPr>
          <w:rFonts w:cs="Arial"/>
          <w:sz w:val="20"/>
        </w:rPr>
        <w:t xml:space="preserve">: In 2011 DST was performed for 5293 (83%) new and 4790 (80%) retreatment bacteriologically-confirmed cases. </w:t>
      </w:r>
      <w:r>
        <w:rPr>
          <w:rFonts w:cs="Arial"/>
          <w:b/>
          <w:sz w:val="20"/>
        </w:rPr>
        <w:t>MDR TB was confirmed in 7408 cases. 4684 (63%) of confirmed MDR TB patients were enrolled on second-line TB treatment.</w:t>
      </w:r>
      <w:r>
        <w:rPr>
          <w:rFonts w:cs="Arial"/>
          <w:sz w:val="20"/>
        </w:rPr>
        <w:t xml:space="preserve"> </w:t>
      </w:r>
      <w:r>
        <w:rPr>
          <w:rFonts w:cs="Arial"/>
          <w:b/>
          <w:sz w:val="20"/>
        </w:rPr>
        <w:t>Treatment outcome for 2009 MDR TB cohort was quite good reaching 73%.</w:t>
      </w:r>
      <w:r>
        <w:rPr>
          <w:rFonts w:cs="Arial"/>
          <w:sz w:val="20"/>
        </w:rPr>
        <w:t xml:space="preserve"> However, MDR-TB is one of the major public health threats to the success of implementation of TB program. </w:t>
      </w:r>
    </w:p>
    <w:p w14:paraId="0AA9E996" w14:textId="77777777" w:rsidR="002A6F93" w:rsidRDefault="002A6F93" w:rsidP="002A6F93">
      <w:pPr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TB/HIV</w:t>
      </w:r>
      <w:r>
        <w:rPr>
          <w:rFonts w:cs="Arial"/>
          <w:sz w:val="20"/>
          <w:u w:val="single"/>
        </w:rPr>
        <w:t>:</w:t>
      </w:r>
      <w:r>
        <w:rPr>
          <w:rFonts w:cs="Arial"/>
          <w:sz w:val="20"/>
        </w:rPr>
        <w:t xml:space="preserve"> </w:t>
      </w:r>
      <w:r>
        <w:rPr>
          <w:rFonts w:cs="Arial"/>
          <w:b/>
          <w:sz w:val="20"/>
        </w:rPr>
        <w:t>85% of TB cases knew their HIV status, 2% were co-infected, however only 9% of TB/HIV co-infected patients were put on ART.</w:t>
      </w:r>
      <w:r>
        <w:rPr>
          <w:rFonts w:cs="Arial"/>
          <w:sz w:val="20"/>
        </w:rPr>
        <w:t xml:space="preserve"> Low ART coverage in TB patients explains poor treatment outcome for TB/HIV co-infected cases, which only equals 35% in new smear-positive cases for 2010 cohort and deaths (32%), failure (8%), default (3%)  account for unfavourable outcome (cohort size– 75 smear-positive TB patients confected with HIV) . In 2011 547 PLHIV were screened for TB and 1329 PLHIV received IPT. </w:t>
      </w:r>
    </w:p>
    <w:p w14:paraId="3372E16E" w14:textId="77777777" w:rsidR="002A6F93" w:rsidRDefault="002A6F93" w:rsidP="002A6F93">
      <w:pPr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TB in prisons</w:t>
      </w:r>
      <w:r>
        <w:rPr>
          <w:rFonts w:cs="Arial"/>
          <w:b/>
          <w:sz w:val="20"/>
        </w:rPr>
        <w:t>:</w:t>
      </w:r>
      <w:r>
        <w:rPr>
          <w:rFonts w:cs="Arial"/>
          <w:sz w:val="20"/>
        </w:rPr>
        <w:t xml:space="preserve"> </w:t>
      </w:r>
      <w:r>
        <w:rPr>
          <w:rFonts w:cs="Arial"/>
          <w:b/>
          <w:sz w:val="20"/>
        </w:rPr>
        <w:t>TB notification rate in penitentiary system is almost 5-times higher than in civil population</w:t>
      </w:r>
      <w:r>
        <w:rPr>
          <w:rFonts w:cs="Arial"/>
          <w:sz w:val="20"/>
        </w:rPr>
        <w:t xml:space="preserve">. However, increased coverage with treatment of drug-susceptible TB and improved diagnosis allowed the prison sector to decrease the TB burden (case notification rate dropped from 2316/per 100.000 in 2002 to 523 per 100.000 in 2011). Treatment success rate is also relatively lower than in the civil sector – 54% for 2010 cohort. </w:t>
      </w:r>
    </w:p>
    <w:p w14:paraId="593F0CCE" w14:textId="77777777" w:rsidR="002A6F93" w:rsidRDefault="002A6F93" w:rsidP="002A6F93">
      <w:pPr>
        <w:rPr>
          <w:rFonts w:cs="Arial"/>
          <w:sz w:val="20"/>
        </w:rPr>
      </w:pPr>
      <w:r>
        <w:rPr>
          <w:rFonts w:cs="Arial"/>
          <w:sz w:val="20"/>
        </w:rPr>
        <w:t xml:space="preserve">Based on the above (decreasing trend TB in disease burden, high TB detection rate and good treatment outcome for MDR TB) the country is </w:t>
      </w:r>
      <w:r>
        <w:rPr>
          <w:rFonts w:cs="Arial"/>
          <w:b/>
          <w:i/>
          <w:sz w:val="20"/>
        </w:rPr>
        <w:t>making progress towards impact</w:t>
      </w:r>
      <w:r>
        <w:rPr>
          <w:rFonts w:cs="Arial"/>
          <w:sz w:val="20"/>
        </w:rPr>
        <w:t xml:space="preserve">, with significant progress on scaling up MDR TB response and screening of TB patients for HIV. </w:t>
      </w:r>
      <w:r>
        <w:rPr>
          <w:rFonts w:cs="Arial"/>
          <w:sz w:val="20"/>
        </w:rPr>
        <w:br/>
      </w:r>
    </w:p>
    <w:p w14:paraId="00649B6E" w14:textId="77777777" w:rsidR="00FB1B76" w:rsidRDefault="00FB1B76" w:rsidP="00FB1B76">
      <w:pPr>
        <w:rPr>
          <w:rFonts w:cs="Arial"/>
          <w:sz w:val="20"/>
        </w:rPr>
      </w:pPr>
    </w:p>
    <w:p w14:paraId="2EAB8316" w14:textId="7A04A496" w:rsidR="00FB1B76" w:rsidRPr="00AF37E1" w:rsidRDefault="00FB1B76" w:rsidP="00FB1B76">
      <w:pPr>
        <w:rPr>
          <w:rFonts w:cs="Arial"/>
          <w:sz w:val="20"/>
        </w:rPr>
      </w:pPr>
      <w:r>
        <w:rPr>
          <w:rFonts w:cs="Arial"/>
          <w:sz w:val="20"/>
        </w:rPr>
        <w:t>For more information, refer to the annexe</w:t>
      </w:r>
      <w:r w:rsidR="006D0C79">
        <w:rPr>
          <w:rFonts w:cs="Arial"/>
          <w:sz w:val="20"/>
        </w:rPr>
        <w:t xml:space="preserve"> at the end of the document</w:t>
      </w:r>
      <w:r>
        <w:rPr>
          <w:rFonts w:cs="Arial"/>
          <w:sz w:val="20"/>
        </w:rPr>
        <w:t>.</w:t>
      </w:r>
      <w:r w:rsidRPr="00AF37E1">
        <w:rPr>
          <w:rFonts w:cs="Arial"/>
          <w:sz w:val="20"/>
        </w:rPr>
        <w:br/>
      </w:r>
    </w:p>
    <w:p w14:paraId="123E74E8" w14:textId="77777777" w:rsidR="006D0C79" w:rsidRDefault="006D0C79" w:rsidP="00FB1B76">
      <w:pPr>
        <w:rPr>
          <w:rFonts w:cs="Arial"/>
          <w:sz w:val="20"/>
        </w:rPr>
      </w:pPr>
    </w:p>
    <w:p w14:paraId="530D85CF" w14:textId="77777777" w:rsidR="002A6F93" w:rsidRPr="00AF37E1" w:rsidRDefault="002A6F93" w:rsidP="00FB1B76">
      <w:pPr>
        <w:rPr>
          <w:rFonts w:cs="Arial"/>
          <w:sz w:val="20"/>
        </w:rPr>
      </w:pPr>
    </w:p>
    <w:p w14:paraId="335B1B13" w14:textId="18103B0A" w:rsidR="00FB1B76" w:rsidRPr="00AF37E1" w:rsidRDefault="006D0C79" w:rsidP="006D0C79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>2. Programmatic Performance</w:t>
      </w:r>
      <w:r w:rsidR="0083362C">
        <w:rPr>
          <w:rFonts w:cs="Arial"/>
          <w:b/>
          <w:sz w:val="20"/>
        </w:rPr>
        <w:t xml:space="preserve"> KAZ-809-G04-T</w:t>
      </w:r>
    </w:p>
    <w:p w14:paraId="7A70595A" w14:textId="4E1F7F9B" w:rsidR="00FB1B76" w:rsidRPr="00AF37E1" w:rsidRDefault="006D0C79" w:rsidP="006D0C79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Outcome indicators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1418"/>
        <w:gridCol w:w="1559"/>
        <w:gridCol w:w="1621"/>
      </w:tblGrid>
      <w:tr w:rsidR="00FB1B76" w:rsidRPr="00AF37E1" w14:paraId="3496C8C3" w14:textId="77777777" w:rsidTr="00FB1B76">
        <w:tc>
          <w:tcPr>
            <w:tcW w:w="3510" w:type="dxa"/>
            <w:vAlign w:val="center"/>
          </w:tcPr>
          <w:p w14:paraId="4320DB0A" w14:textId="77777777" w:rsidR="00FB1B76" w:rsidRPr="00AF37E1" w:rsidRDefault="00FB1B76" w:rsidP="00FB1B76">
            <w:pPr>
              <w:jc w:val="center"/>
              <w:rPr>
                <w:rFonts w:cs="Arial"/>
                <w:b/>
                <w:sz w:val="20"/>
              </w:rPr>
            </w:pPr>
            <w:r w:rsidRPr="00AF37E1">
              <w:rPr>
                <w:rFonts w:cs="Arial"/>
                <w:b/>
                <w:sz w:val="20"/>
              </w:rPr>
              <w:t>Indicator</w:t>
            </w:r>
          </w:p>
        </w:tc>
        <w:tc>
          <w:tcPr>
            <w:tcW w:w="1134" w:type="dxa"/>
            <w:vAlign w:val="center"/>
          </w:tcPr>
          <w:p w14:paraId="5E7FE686" w14:textId="77777777" w:rsidR="00FB1B76" w:rsidRPr="00AF37E1" w:rsidRDefault="00FB1B76" w:rsidP="00FB1B76">
            <w:pPr>
              <w:jc w:val="center"/>
              <w:rPr>
                <w:rFonts w:cs="Arial"/>
                <w:b/>
                <w:sz w:val="20"/>
              </w:rPr>
            </w:pPr>
            <w:r w:rsidRPr="00AF37E1">
              <w:rPr>
                <w:rFonts w:cs="Arial"/>
                <w:b/>
                <w:sz w:val="20"/>
              </w:rPr>
              <w:t>Baseline</w:t>
            </w:r>
          </w:p>
        </w:tc>
        <w:tc>
          <w:tcPr>
            <w:tcW w:w="1418" w:type="dxa"/>
            <w:vAlign w:val="center"/>
          </w:tcPr>
          <w:p w14:paraId="6BBB7EFD" w14:textId="77777777" w:rsidR="00FB1B76" w:rsidRPr="00AF37E1" w:rsidRDefault="00FB1B76" w:rsidP="00FB1B76">
            <w:pPr>
              <w:jc w:val="center"/>
              <w:rPr>
                <w:rFonts w:cs="Arial"/>
                <w:b/>
                <w:sz w:val="20"/>
              </w:rPr>
            </w:pPr>
            <w:r w:rsidRPr="00AF37E1">
              <w:rPr>
                <w:rFonts w:cs="Arial"/>
                <w:b/>
                <w:sz w:val="20"/>
              </w:rPr>
              <w:t>Year</w:t>
            </w:r>
          </w:p>
        </w:tc>
        <w:tc>
          <w:tcPr>
            <w:tcW w:w="1559" w:type="dxa"/>
            <w:vAlign w:val="center"/>
          </w:tcPr>
          <w:p w14:paraId="1303A7B9" w14:textId="77777777" w:rsidR="00FB1B76" w:rsidRPr="00AF37E1" w:rsidRDefault="00FB1B76" w:rsidP="00FB1B76">
            <w:pPr>
              <w:jc w:val="center"/>
              <w:rPr>
                <w:rFonts w:cs="Arial"/>
                <w:b/>
                <w:sz w:val="20"/>
              </w:rPr>
            </w:pPr>
            <w:r w:rsidRPr="00AF37E1">
              <w:rPr>
                <w:rFonts w:cs="Arial"/>
                <w:b/>
                <w:sz w:val="20"/>
              </w:rPr>
              <w:t>Target 2012</w:t>
            </w:r>
          </w:p>
        </w:tc>
        <w:tc>
          <w:tcPr>
            <w:tcW w:w="1621" w:type="dxa"/>
            <w:vAlign w:val="center"/>
          </w:tcPr>
          <w:p w14:paraId="0E4628C5" w14:textId="77777777" w:rsidR="00FB1B76" w:rsidRPr="00AF37E1" w:rsidRDefault="00FB1B76" w:rsidP="00FB1B76">
            <w:pPr>
              <w:jc w:val="center"/>
              <w:rPr>
                <w:rFonts w:cs="Arial"/>
                <w:b/>
                <w:sz w:val="20"/>
              </w:rPr>
            </w:pPr>
            <w:r w:rsidRPr="00AF37E1">
              <w:rPr>
                <w:rFonts w:cs="Arial"/>
                <w:b/>
                <w:sz w:val="20"/>
              </w:rPr>
              <w:t>Result 2012</w:t>
            </w:r>
          </w:p>
        </w:tc>
      </w:tr>
      <w:tr w:rsidR="00FB1B76" w:rsidRPr="00AF37E1" w14:paraId="5F75223A" w14:textId="77777777" w:rsidTr="00FB1B76">
        <w:tc>
          <w:tcPr>
            <w:tcW w:w="3510" w:type="dxa"/>
          </w:tcPr>
          <w:p w14:paraId="17A0A75A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  <w:lang w:eastAsia="en-GB"/>
              </w:rPr>
              <w:t>Notification rate: new TB cases and relapses</w:t>
            </w:r>
          </w:p>
        </w:tc>
        <w:tc>
          <w:tcPr>
            <w:tcW w:w="1134" w:type="dxa"/>
            <w:vAlign w:val="center"/>
          </w:tcPr>
          <w:p w14:paraId="0940D841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131</w:t>
            </w:r>
          </w:p>
        </w:tc>
        <w:tc>
          <w:tcPr>
            <w:tcW w:w="1418" w:type="dxa"/>
            <w:vAlign w:val="center"/>
          </w:tcPr>
          <w:p w14:paraId="17B4DDB4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2009</w:t>
            </w:r>
          </w:p>
        </w:tc>
        <w:tc>
          <w:tcPr>
            <w:tcW w:w="1559" w:type="dxa"/>
            <w:vAlign w:val="center"/>
          </w:tcPr>
          <w:p w14:paraId="10A9FCB0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124</w:t>
            </w:r>
          </w:p>
        </w:tc>
        <w:tc>
          <w:tcPr>
            <w:tcW w:w="1621" w:type="dxa"/>
            <w:vAlign w:val="center"/>
          </w:tcPr>
          <w:p w14:paraId="644FAB8D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114.1</w:t>
            </w:r>
          </w:p>
        </w:tc>
      </w:tr>
      <w:tr w:rsidR="00FB1B76" w:rsidRPr="00AF37E1" w14:paraId="43DBCE89" w14:textId="77777777" w:rsidTr="00FB1B76">
        <w:tc>
          <w:tcPr>
            <w:tcW w:w="3510" w:type="dxa"/>
          </w:tcPr>
          <w:p w14:paraId="2BAEFB64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  <w:lang w:eastAsia="en-GB"/>
              </w:rPr>
              <w:t>Notification rate: new smear positive TB cases</w:t>
            </w:r>
          </w:p>
        </w:tc>
        <w:tc>
          <w:tcPr>
            <w:tcW w:w="1134" w:type="dxa"/>
            <w:vAlign w:val="center"/>
          </w:tcPr>
          <w:p w14:paraId="72EEE984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33.7</w:t>
            </w:r>
          </w:p>
        </w:tc>
        <w:tc>
          <w:tcPr>
            <w:tcW w:w="1418" w:type="dxa"/>
            <w:vAlign w:val="center"/>
          </w:tcPr>
          <w:p w14:paraId="52816403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2009</w:t>
            </w:r>
          </w:p>
        </w:tc>
        <w:tc>
          <w:tcPr>
            <w:tcW w:w="1559" w:type="dxa"/>
            <w:vAlign w:val="center"/>
          </w:tcPr>
          <w:p w14:paraId="48E6B90E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33</w:t>
            </w:r>
          </w:p>
        </w:tc>
        <w:tc>
          <w:tcPr>
            <w:tcW w:w="1621" w:type="dxa"/>
            <w:vAlign w:val="center"/>
          </w:tcPr>
          <w:p w14:paraId="5656327D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26</w:t>
            </w:r>
          </w:p>
        </w:tc>
      </w:tr>
      <w:tr w:rsidR="00FB1B76" w:rsidRPr="00AF37E1" w14:paraId="4875D501" w14:textId="77777777" w:rsidTr="00FB1B76">
        <w:tc>
          <w:tcPr>
            <w:tcW w:w="3510" w:type="dxa"/>
          </w:tcPr>
          <w:p w14:paraId="628F318A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  <w:lang w:eastAsia="en-GB"/>
              </w:rPr>
              <w:t>Treatment success rate: new smear positive TB cases</w:t>
            </w:r>
          </w:p>
        </w:tc>
        <w:tc>
          <w:tcPr>
            <w:tcW w:w="1134" w:type="dxa"/>
            <w:vAlign w:val="center"/>
          </w:tcPr>
          <w:p w14:paraId="2A6C57D2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61%</w:t>
            </w:r>
          </w:p>
        </w:tc>
        <w:tc>
          <w:tcPr>
            <w:tcW w:w="1418" w:type="dxa"/>
            <w:vAlign w:val="center"/>
          </w:tcPr>
          <w:p w14:paraId="1971E138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2011</w:t>
            </w:r>
          </w:p>
        </w:tc>
        <w:tc>
          <w:tcPr>
            <w:tcW w:w="1559" w:type="dxa"/>
            <w:vAlign w:val="center"/>
          </w:tcPr>
          <w:p w14:paraId="40D9D139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76%</w:t>
            </w:r>
          </w:p>
        </w:tc>
        <w:tc>
          <w:tcPr>
            <w:tcW w:w="1621" w:type="dxa"/>
            <w:vAlign w:val="center"/>
          </w:tcPr>
          <w:p w14:paraId="7F3C542A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60.8%</w:t>
            </w:r>
          </w:p>
        </w:tc>
      </w:tr>
      <w:tr w:rsidR="00FB1B76" w:rsidRPr="00AF37E1" w14:paraId="2497F91B" w14:textId="77777777" w:rsidTr="00FB1B76">
        <w:tc>
          <w:tcPr>
            <w:tcW w:w="3510" w:type="dxa"/>
          </w:tcPr>
          <w:p w14:paraId="6B796A0B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  <w:lang w:eastAsia="en-GB"/>
              </w:rPr>
              <w:t>Treatment success rate of MDR-TB patients; number of patients who were cured +completed Category IV treatment (% of the total number of patients in the same registration cohort)</w:t>
            </w:r>
          </w:p>
        </w:tc>
        <w:tc>
          <w:tcPr>
            <w:tcW w:w="1134" w:type="dxa"/>
            <w:vAlign w:val="center"/>
          </w:tcPr>
          <w:p w14:paraId="2BE60A4E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N\A</w:t>
            </w:r>
          </w:p>
        </w:tc>
        <w:tc>
          <w:tcPr>
            <w:tcW w:w="1418" w:type="dxa"/>
            <w:vAlign w:val="center"/>
          </w:tcPr>
          <w:p w14:paraId="332611CD" w14:textId="77777777" w:rsidR="00FB1B76" w:rsidRPr="00AF37E1" w:rsidRDefault="00FB1B76" w:rsidP="00FB1B76">
            <w:pPr>
              <w:jc w:val="center"/>
              <w:rPr>
                <w:rFonts w:cs="Arial"/>
                <w:caps/>
                <w:sz w:val="20"/>
              </w:rPr>
            </w:pPr>
            <w:r w:rsidRPr="00AF37E1">
              <w:rPr>
                <w:rFonts w:cs="Arial"/>
                <w:sz w:val="20"/>
              </w:rPr>
              <w:t>N\A</w:t>
            </w:r>
          </w:p>
        </w:tc>
        <w:tc>
          <w:tcPr>
            <w:tcW w:w="1559" w:type="dxa"/>
            <w:vAlign w:val="center"/>
          </w:tcPr>
          <w:p w14:paraId="5685B98B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70%</w:t>
            </w:r>
          </w:p>
        </w:tc>
        <w:tc>
          <w:tcPr>
            <w:tcW w:w="1621" w:type="dxa"/>
            <w:vAlign w:val="center"/>
          </w:tcPr>
          <w:p w14:paraId="632BDBB1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75.7%</w:t>
            </w:r>
          </w:p>
        </w:tc>
      </w:tr>
      <w:tr w:rsidR="00FB1B76" w:rsidRPr="00AF37E1" w14:paraId="1072774F" w14:textId="77777777" w:rsidTr="00FB1B76">
        <w:tc>
          <w:tcPr>
            <w:tcW w:w="3510" w:type="dxa"/>
          </w:tcPr>
          <w:p w14:paraId="753C588C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  <w:lang w:eastAsia="en-GB"/>
              </w:rPr>
              <w:t>MDR-TB prevalence among new smear positive TB cases</w:t>
            </w:r>
          </w:p>
        </w:tc>
        <w:tc>
          <w:tcPr>
            <w:tcW w:w="1134" w:type="dxa"/>
            <w:vAlign w:val="center"/>
          </w:tcPr>
          <w:p w14:paraId="271DE799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25.3%</w:t>
            </w:r>
          </w:p>
        </w:tc>
        <w:tc>
          <w:tcPr>
            <w:tcW w:w="1418" w:type="dxa"/>
            <w:vAlign w:val="center"/>
          </w:tcPr>
          <w:p w14:paraId="414AB245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2010</w:t>
            </w:r>
          </w:p>
        </w:tc>
        <w:tc>
          <w:tcPr>
            <w:tcW w:w="1559" w:type="dxa"/>
            <w:vAlign w:val="center"/>
          </w:tcPr>
          <w:p w14:paraId="69A5EB2A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23%</w:t>
            </w:r>
          </w:p>
        </w:tc>
        <w:tc>
          <w:tcPr>
            <w:tcW w:w="1621" w:type="dxa"/>
            <w:vAlign w:val="center"/>
          </w:tcPr>
          <w:p w14:paraId="1D3B8BE4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19.1%</w:t>
            </w:r>
          </w:p>
        </w:tc>
      </w:tr>
      <w:tr w:rsidR="00FB1B76" w:rsidRPr="00AF37E1" w14:paraId="2973FA76" w14:textId="77777777" w:rsidTr="00FB1B76">
        <w:tc>
          <w:tcPr>
            <w:tcW w:w="3510" w:type="dxa"/>
          </w:tcPr>
          <w:p w14:paraId="1257BE23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  <w:lang w:eastAsia="en-GB"/>
              </w:rPr>
              <w:t>MDR-TB prevalence among previously treated smear positive cases</w:t>
            </w:r>
          </w:p>
        </w:tc>
        <w:tc>
          <w:tcPr>
            <w:tcW w:w="1134" w:type="dxa"/>
            <w:vAlign w:val="center"/>
          </w:tcPr>
          <w:p w14:paraId="4B25ED2D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45%</w:t>
            </w:r>
          </w:p>
        </w:tc>
        <w:tc>
          <w:tcPr>
            <w:tcW w:w="1418" w:type="dxa"/>
            <w:vAlign w:val="center"/>
          </w:tcPr>
          <w:p w14:paraId="0908B47D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2010</w:t>
            </w:r>
          </w:p>
        </w:tc>
        <w:tc>
          <w:tcPr>
            <w:tcW w:w="1559" w:type="dxa"/>
            <w:vAlign w:val="center"/>
          </w:tcPr>
          <w:p w14:paraId="2E00CA6C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45%</w:t>
            </w:r>
          </w:p>
        </w:tc>
        <w:tc>
          <w:tcPr>
            <w:tcW w:w="1621" w:type="dxa"/>
            <w:vAlign w:val="center"/>
          </w:tcPr>
          <w:p w14:paraId="6F624EBF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53.3%</w:t>
            </w:r>
          </w:p>
        </w:tc>
      </w:tr>
    </w:tbl>
    <w:p w14:paraId="615C4B1F" w14:textId="77777777" w:rsidR="00FB1B76" w:rsidRPr="00AF37E1" w:rsidRDefault="00FB1B76" w:rsidP="00FB1B76">
      <w:pPr>
        <w:jc w:val="center"/>
        <w:rPr>
          <w:rFonts w:cs="Arial"/>
          <w:b/>
          <w:sz w:val="20"/>
        </w:rPr>
      </w:pPr>
    </w:p>
    <w:p w14:paraId="2CBABE54" w14:textId="77777777" w:rsidR="00FB1B76" w:rsidRPr="00AF37E1" w:rsidRDefault="00FB1B76" w:rsidP="00FB1B76">
      <w:pPr>
        <w:jc w:val="center"/>
        <w:rPr>
          <w:rFonts w:cs="Arial"/>
          <w:b/>
          <w:sz w:val="20"/>
        </w:rPr>
      </w:pPr>
      <w:r w:rsidRPr="00AF37E1">
        <w:rPr>
          <w:rFonts w:cs="Arial"/>
          <w:b/>
          <w:sz w:val="20"/>
        </w:rPr>
        <w:t>Output indicators</w:t>
      </w:r>
    </w:p>
    <w:p w14:paraId="13245CBB" w14:textId="77777777" w:rsidR="00FB1B76" w:rsidRPr="00AF37E1" w:rsidRDefault="00FB1B76" w:rsidP="00FB1B76">
      <w:pPr>
        <w:rPr>
          <w:sz w:val="20"/>
        </w:rPr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5506"/>
        <w:gridCol w:w="1334"/>
        <w:gridCol w:w="1334"/>
        <w:gridCol w:w="1485"/>
      </w:tblGrid>
      <w:tr w:rsidR="00FB1B76" w:rsidRPr="00AF37E1" w14:paraId="1F8B6324" w14:textId="77777777" w:rsidTr="00FB1B76">
        <w:tc>
          <w:tcPr>
            <w:tcW w:w="5506" w:type="dxa"/>
            <w:vAlign w:val="center"/>
          </w:tcPr>
          <w:p w14:paraId="75063EF5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rFonts w:cs="Arial"/>
                <w:sz w:val="20"/>
                <w:lang w:eastAsia="en-GB"/>
              </w:rPr>
              <w:t>Indicator</w:t>
            </w:r>
          </w:p>
        </w:tc>
        <w:tc>
          <w:tcPr>
            <w:tcW w:w="1334" w:type="dxa"/>
            <w:vAlign w:val="center"/>
          </w:tcPr>
          <w:p w14:paraId="0BAA32B8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Cumulative Target</w:t>
            </w:r>
          </w:p>
        </w:tc>
        <w:tc>
          <w:tcPr>
            <w:tcW w:w="1334" w:type="dxa"/>
            <w:vAlign w:val="center"/>
          </w:tcPr>
          <w:p w14:paraId="1B687E1C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Cumulative Result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14:paraId="12BAB3AB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Percentage Achievement</w:t>
            </w:r>
          </w:p>
        </w:tc>
      </w:tr>
      <w:tr w:rsidR="00FB1B76" w:rsidRPr="00AF37E1" w14:paraId="126EFBFD" w14:textId="77777777" w:rsidTr="00FB1B76">
        <w:tc>
          <w:tcPr>
            <w:tcW w:w="5506" w:type="dxa"/>
            <w:vAlign w:val="center"/>
          </w:tcPr>
          <w:p w14:paraId="41672283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rFonts w:cs="Arial"/>
                <w:sz w:val="20"/>
                <w:lang w:eastAsia="en-GB"/>
              </w:rPr>
              <w:t>Number of PHC and TB service staff trained in DR-TB management locally</w:t>
            </w:r>
          </w:p>
        </w:tc>
        <w:tc>
          <w:tcPr>
            <w:tcW w:w="1334" w:type="dxa"/>
            <w:vAlign w:val="center"/>
          </w:tcPr>
          <w:p w14:paraId="2CA3CB8A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400</w:t>
            </w:r>
          </w:p>
        </w:tc>
        <w:tc>
          <w:tcPr>
            <w:tcW w:w="1334" w:type="dxa"/>
            <w:vAlign w:val="center"/>
          </w:tcPr>
          <w:p w14:paraId="22C43FB5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403</w:t>
            </w:r>
          </w:p>
        </w:tc>
        <w:tc>
          <w:tcPr>
            <w:tcW w:w="1485" w:type="dxa"/>
            <w:shd w:val="clear" w:color="auto" w:fill="00B050"/>
            <w:vAlign w:val="center"/>
          </w:tcPr>
          <w:p w14:paraId="5DCCBCAC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101%</w:t>
            </w:r>
          </w:p>
        </w:tc>
      </w:tr>
      <w:tr w:rsidR="00FB1B76" w:rsidRPr="00AF37E1" w14:paraId="3280514B" w14:textId="77777777" w:rsidTr="00FB1B76">
        <w:tc>
          <w:tcPr>
            <w:tcW w:w="5506" w:type="dxa"/>
            <w:vAlign w:val="center"/>
          </w:tcPr>
          <w:p w14:paraId="46C5C2CC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rFonts w:cs="Arial"/>
                <w:sz w:val="20"/>
                <w:lang w:eastAsia="en-GB"/>
              </w:rPr>
              <w:t>Number of TB cases with results for second line diagnostic drug susceptibility testing for MDR-TB during the reporting period</w:t>
            </w:r>
          </w:p>
        </w:tc>
        <w:tc>
          <w:tcPr>
            <w:tcW w:w="1334" w:type="dxa"/>
            <w:vAlign w:val="center"/>
          </w:tcPr>
          <w:p w14:paraId="2BCED431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4200</w:t>
            </w:r>
          </w:p>
        </w:tc>
        <w:tc>
          <w:tcPr>
            <w:tcW w:w="1334" w:type="dxa"/>
            <w:vAlign w:val="center"/>
          </w:tcPr>
          <w:p w14:paraId="38AF2B9A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6203</w:t>
            </w:r>
          </w:p>
        </w:tc>
        <w:tc>
          <w:tcPr>
            <w:tcW w:w="1485" w:type="dxa"/>
            <w:shd w:val="clear" w:color="auto" w:fill="00B050"/>
            <w:vAlign w:val="center"/>
          </w:tcPr>
          <w:p w14:paraId="33287795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120%</w:t>
            </w:r>
          </w:p>
        </w:tc>
      </w:tr>
      <w:tr w:rsidR="00FB1B76" w:rsidRPr="00AF37E1" w14:paraId="4BEF160E" w14:textId="77777777" w:rsidTr="00FB1B76">
        <w:tc>
          <w:tcPr>
            <w:tcW w:w="5506" w:type="dxa"/>
            <w:vAlign w:val="center"/>
          </w:tcPr>
          <w:p w14:paraId="7FBB6CA1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rFonts w:cs="Arial"/>
                <w:sz w:val="20"/>
                <w:lang w:eastAsia="en-GB"/>
              </w:rPr>
              <w:t>Number of laboratory-confirmed MDR-TB cases enrolled on second-line anti-TB treatment</w:t>
            </w:r>
          </w:p>
        </w:tc>
        <w:tc>
          <w:tcPr>
            <w:tcW w:w="1334" w:type="dxa"/>
            <w:vAlign w:val="center"/>
          </w:tcPr>
          <w:p w14:paraId="54435A24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1400</w:t>
            </w:r>
          </w:p>
        </w:tc>
        <w:tc>
          <w:tcPr>
            <w:tcW w:w="1334" w:type="dxa"/>
            <w:vAlign w:val="center"/>
          </w:tcPr>
          <w:p w14:paraId="36E60872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1511</w:t>
            </w:r>
          </w:p>
        </w:tc>
        <w:tc>
          <w:tcPr>
            <w:tcW w:w="1485" w:type="dxa"/>
            <w:shd w:val="clear" w:color="auto" w:fill="00B050"/>
            <w:vAlign w:val="center"/>
          </w:tcPr>
          <w:p w14:paraId="31DED070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108%</w:t>
            </w:r>
          </w:p>
        </w:tc>
      </w:tr>
      <w:tr w:rsidR="00FB1B76" w:rsidRPr="00AF37E1" w14:paraId="79DF8F89" w14:textId="77777777" w:rsidTr="00FB1B76">
        <w:tc>
          <w:tcPr>
            <w:tcW w:w="5506" w:type="dxa"/>
            <w:vAlign w:val="center"/>
          </w:tcPr>
          <w:p w14:paraId="2E2DE7DC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rFonts w:cs="Arial"/>
                <w:sz w:val="20"/>
                <w:lang w:eastAsia="en-GB"/>
              </w:rPr>
              <w:t>Interim treatment success rate of MDR TB patients: number of patients who are smear and culture negative at 6 months after start of treatment (% of the total number of patients in the same registration cohort)</w:t>
            </w:r>
          </w:p>
        </w:tc>
        <w:tc>
          <w:tcPr>
            <w:tcW w:w="1334" w:type="dxa"/>
            <w:vAlign w:val="center"/>
          </w:tcPr>
          <w:p w14:paraId="3224B56B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rFonts w:cs="Arial"/>
                <w:sz w:val="20"/>
                <w:lang w:eastAsia="en-GB"/>
              </w:rPr>
              <w:t xml:space="preserve">N: 1,867 </w:t>
            </w:r>
            <w:r w:rsidRPr="00AF37E1">
              <w:rPr>
                <w:rFonts w:cs="Arial"/>
                <w:sz w:val="20"/>
                <w:lang w:eastAsia="en-GB"/>
              </w:rPr>
              <w:br/>
              <w:t xml:space="preserve">D: 2,277 </w:t>
            </w:r>
            <w:r w:rsidRPr="00AF37E1">
              <w:rPr>
                <w:rFonts w:cs="Arial"/>
                <w:sz w:val="20"/>
                <w:lang w:eastAsia="en-GB"/>
              </w:rPr>
              <w:br/>
              <w:t>P: 82 %</w:t>
            </w:r>
          </w:p>
        </w:tc>
        <w:tc>
          <w:tcPr>
            <w:tcW w:w="1334" w:type="dxa"/>
            <w:vAlign w:val="center"/>
          </w:tcPr>
          <w:p w14:paraId="4550A330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rFonts w:cs="Arial"/>
                <w:sz w:val="20"/>
                <w:lang w:eastAsia="en-GB"/>
              </w:rPr>
              <w:t xml:space="preserve">N: 521 </w:t>
            </w:r>
            <w:r w:rsidRPr="00AF37E1">
              <w:rPr>
                <w:rFonts w:cs="Arial"/>
                <w:sz w:val="20"/>
                <w:lang w:eastAsia="en-GB"/>
              </w:rPr>
              <w:br/>
              <w:t xml:space="preserve">D: 574 </w:t>
            </w:r>
            <w:r w:rsidRPr="00AF37E1">
              <w:rPr>
                <w:rFonts w:cs="Arial"/>
                <w:sz w:val="20"/>
                <w:lang w:eastAsia="en-GB"/>
              </w:rPr>
              <w:br/>
              <w:t>P: 90.8 %</w:t>
            </w:r>
          </w:p>
        </w:tc>
        <w:tc>
          <w:tcPr>
            <w:tcW w:w="1485" w:type="dxa"/>
            <w:shd w:val="clear" w:color="auto" w:fill="00B050"/>
            <w:vAlign w:val="center"/>
          </w:tcPr>
          <w:p w14:paraId="41912FB2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111%</w:t>
            </w:r>
          </w:p>
        </w:tc>
      </w:tr>
      <w:tr w:rsidR="00FB1B76" w:rsidRPr="00AF37E1" w14:paraId="62F15B13" w14:textId="77777777" w:rsidTr="00FB1B76">
        <w:tc>
          <w:tcPr>
            <w:tcW w:w="5506" w:type="dxa"/>
            <w:vAlign w:val="center"/>
          </w:tcPr>
          <w:p w14:paraId="10926CBD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rFonts w:cs="Arial"/>
                <w:sz w:val="20"/>
                <w:lang w:eastAsia="en-GB"/>
              </w:rPr>
              <w:t>Number of MDR-TB patients reached with education and counselling sessions by adherence counsellors</w:t>
            </w:r>
          </w:p>
        </w:tc>
        <w:tc>
          <w:tcPr>
            <w:tcW w:w="1334" w:type="dxa"/>
            <w:vAlign w:val="center"/>
          </w:tcPr>
          <w:p w14:paraId="5C624CC6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4800</w:t>
            </w:r>
          </w:p>
        </w:tc>
        <w:tc>
          <w:tcPr>
            <w:tcW w:w="1334" w:type="dxa"/>
            <w:vAlign w:val="center"/>
          </w:tcPr>
          <w:p w14:paraId="42283806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4829</w:t>
            </w:r>
          </w:p>
        </w:tc>
        <w:tc>
          <w:tcPr>
            <w:tcW w:w="1485" w:type="dxa"/>
            <w:shd w:val="clear" w:color="auto" w:fill="00B050"/>
            <w:vAlign w:val="center"/>
          </w:tcPr>
          <w:p w14:paraId="1BFA0DD5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101%</w:t>
            </w:r>
          </w:p>
        </w:tc>
      </w:tr>
      <w:tr w:rsidR="00FB1B76" w:rsidRPr="00AF37E1" w14:paraId="2E565BBB" w14:textId="77777777" w:rsidTr="00FB1B76">
        <w:tc>
          <w:tcPr>
            <w:tcW w:w="5506" w:type="dxa"/>
            <w:vAlign w:val="center"/>
          </w:tcPr>
          <w:p w14:paraId="603FD8AB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rFonts w:cs="Arial"/>
                <w:sz w:val="20"/>
                <w:lang w:eastAsia="en-GB"/>
              </w:rPr>
              <w:t>Number of MDR-TB patients on treatment receiving all scheduled monthly food and hygienic packages for better adherence to treatment during the reporting period.</w:t>
            </w:r>
          </w:p>
        </w:tc>
        <w:tc>
          <w:tcPr>
            <w:tcW w:w="1334" w:type="dxa"/>
            <w:vAlign w:val="center"/>
          </w:tcPr>
          <w:p w14:paraId="0C680020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4630</w:t>
            </w:r>
          </w:p>
        </w:tc>
        <w:tc>
          <w:tcPr>
            <w:tcW w:w="1334" w:type="dxa"/>
            <w:vAlign w:val="center"/>
          </w:tcPr>
          <w:p w14:paraId="0CD9839A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5546</w:t>
            </w:r>
          </w:p>
        </w:tc>
        <w:tc>
          <w:tcPr>
            <w:tcW w:w="1485" w:type="dxa"/>
            <w:shd w:val="clear" w:color="auto" w:fill="00B050"/>
            <w:vAlign w:val="center"/>
          </w:tcPr>
          <w:p w14:paraId="0F9A525C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120%</w:t>
            </w:r>
          </w:p>
        </w:tc>
      </w:tr>
      <w:tr w:rsidR="00FB1B76" w:rsidRPr="00AF37E1" w14:paraId="54AD2800" w14:textId="77777777" w:rsidTr="00FB1B76">
        <w:tc>
          <w:tcPr>
            <w:tcW w:w="5506" w:type="dxa"/>
            <w:vAlign w:val="center"/>
          </w:tcPr>
          <w:p w14:paraId="4209D346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rFonts w:cs="Arial"/>
                <w:sz w:val="20"/>
                <w:lang w:eastAsia="en-GB"/>
              </w:rPr>
              <w:t>Number of TB service staff trained in infection control locally</w:t>
            </w:r>
          </w:p>
        </w:tc>
        <w:tc>
          <w:tcPr>
            <w:tcW w:w="1334" w:type="dxa"/>
            <w:vAlign w:val="center"/>
          </w:tcPr>
          <w:p w14:paraId="0DFB0311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41</w:t>
            </w:r>
          </w:p>
        </w:tc>
        <w:tc>
          <w:tcPr>
            <w:tcW w:w="1334" w:type="dxa"/>
            <w:vAlign w:val="center"/>
          </w:tcPr>
          <w:p w14:paraId="71B16675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66</w:t>
            </w:r>
          </w:p>
        </w:tc>
        <w:tc>
          <w:tcPr>
            <w:tcW w:w="1485" w:type="dxa"/>
            <w:shd w:val="clear" w:color="auto" w:fill="00B050"/>
            <w:vAlign w:val="center"/>
          </w:tcPr>
          <w:p w14:paraId="3DB49B0D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120%</w:t>
            </w:r>
          </w:p>
        </w:tc>
      </w:tr>
      <w:tr w:rsidR="00FB1B76" w:rsidRPr="00AF37E1" w14:paraId="200BA741" w14:textId="77777777" w:rsidTr="00FB1B76">
        <w:tc>
          <w:tcPr>
            <w:tcW w:w="5506" w:type="dxa"/>
            <w:vAlign w:val="center"/>
          </w:tcPr>
          <w:p w14:paraId="11E45F85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rFonts w:cs="Arial"/>
                <w:sz w:val="20"/>
                <w:lang w:eastAsia="en-GB"/>
              </w:rPr>
              <w:t>Number of patients investigated with drug susceptibility testing (DST) to 1st line drugs for DR-TB diagnosis using automated MGIT technique</w:t>
            </w:r>
          </w:p>
        </w:tc>
        <w:tc>
          <w:tcPr>
            <w:tcW w:w="1334" w:type="dxa"/>
            <w:vAlign w:val="center"/>
          </w:tcPr>
          <w:p w14:paraId="01312ACA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10000</w:t>
            </w:r>
          </w:p>
        </w:tc>
        <w:tc>
          <w:tcPr>
            <w:tcW w:w="1334" w:type="dxa"/>
            <w:vAlign w:val="center"/>
          </w:tcPr>
          <w:p w14:paraId="56434712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10880</w:t>
            </w:r>
          </w:p>
        </w:tc>
        <w:tc>
          <w:tcPr>
            <w:tcW w:w="1485" w:type="dxa"/>
            <w:shd w:val="clear" w:color="auto" w:fill="00B050"/>
            <w:vAlign w:val="center"/>
          </w:tcPr>
          <w:p w14:paraId="6E0A6683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109%</w:t>
            </w:r>
          </w:p>
        </w:tc>
      </w:tr>
      <w:tr w:rsidR="00FB1B76" w:rsidRPr="00AF37E1" w14:paraId="6D57D3F8" w14:textId="77777777" w:rsidTr="00FB1B76">
        <w:tc>
          <w:tcPr>
            <w:tcW w:w="5506" w:type="dxa"/>
            <w:vAlign w:val="center"/>
          </w:tcPr>
          <w:p w14:paraId="7A1C1F3C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rFonts w:cs="Arial"/>
                <w:sz w:val="20"/>
                <w:lang w:eastAsia="en-GB"/>
              </w:rPr>
              <w:t>Number of investigations of DST to 1st line drugs (manual technique)</w:t>
            </w:r>
          </w:p>
        </w:tc>
        <w:tc>
          <w:tcPr>
            <w:tcW w:w="1334" w:type="dxa"/>
            <w:vAlign w:val="center"/>
          </w:tcPr>
          <w:p w14:paraId="23E72A99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14000</w:t>
            </w:r>
          </w:p>
        </w:tc>
        <w:tc>
          <w:tcPr>
            <w:tcW w:w="1334" w:type="dxa"/>
            <w:vAlign w:val="center"/>
          </w:tcPr>
          <w:p w14:paraId="7659F556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20941</w:t>
            </w:r>
          </w:p>
        </w:tc>
        <w:tc>
          <w:tcPr>
            <w:tcW w:w="1485" w:type="dxa"/>
            <w:shd w:val="clear" w:color="auto" w:fill="00B050"/>
            <w:vAlign w:val="center"/>
          </w:tcPr>
          <w:p w14:paraId="7425E890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120%</w:t>
            </w:r>
          </w:p>
        </w:tc>
      </w:tr>
    </w:tbl>
    <w:p w14:paraId="0CC1DCEE" w14:textId="77777777" w:rsidR="00FB1B76" w:rsidRPr="00AF37E1" w:rsidRDefault="00FB1B76" w:rsidP="00FB1B76">
      <w:pPr>
        <w:rPr>
          <w:sz w:val="20"/>
        </w:rPr>
      </w:pPr>
    </w:p>
    <w:p w14:paraId="04453CD4" w14:textId="77777777" w:rsidR="00FB1B76" w:rsidRPr="00AF37E1" w:rsidRDefault="00FB1B76" w:rsidP="00FB1B76">
      <w:pPr>
        <w:rPr>
          <w:sz w:val="20"/>
        </w:rPr>
      </w:pPr>
    </w:p>
    <w:tbl>
      <w:tblPr>
        <w:tblStyle w:val="TableGrid"/>
        <w:tblpPr w:leftFromText="180" w:rightFromText="180" w:vertAnchor="text" w:tblpY="-134"/>
        <w:tblW w:w="0" w:type="auto"/>
        <w:tblLook w:val="04A0" w:firstRow="1" w:lastRow="0" w:firstColumn="1" w:lastColumn="0" w:noHBand="0" w:noVBand="1"/>
      </w:tblPr>
      <w:tblGrid>
        <w:gridCol w:w="7196"/>
        <w:gridCol w:w="2046"/>
      </w:tblGrid>
      <w:tr w:rsidR="00FB1B76" w:rsidRPr="00AF37E1" w14:paraId="7CF059CD" w14:textId="77777777" w:rsidTr="00FB1B76">
        <w:tc>
          <w:tcPr>
            <w:tcW w:w="7196" w:type="dxa"/>
            <w:vAlign w:val="center"/>
          </w:tcPr>
          <w:p w14:paraId="6F3B447D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rFonts w:cs="Arial"/>
                <w:sz w:val="20"/>
                <w:lang w:eastAsia="en-GB"/>
              </w:rPr>
              <w:t>Training Indicator Rating</w:t>
            </w:r>
          </w:p>
        </w:tc>
        <w:tc>
          <w:tcPr>
            <w:tcW w:w="2046" w:type="dxa"/>
            <w:vAlign w:val="center"/>
          </w:tcPr>
          <w:p w14:paraId="4FBF6772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rFonts w:cs="Arial"/>
                <w:sz w:val="20"/>
                <w:lang w:eastAsia="en-GB"/>
              </w:rPr>
              <w:t>111%</w:t>
            </w:r>
          </w:p>
        </w:tc>
      </w:tr>
      <w:tr w:rsidR="00FB1B76" w:rsidRPr="00AF37E1" w14:paraId="692AE5A7" w14:textId="77777777" w:rsidTr="00FB1B76">
        <w:tc>
          <w:tcPr>
            <w:tcW w:w="7196" w:type="dxa"/>
            <w:vAlign w:val="center"/>
          </w:tcPr>
          <w:p w14:paraId="2BB20210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rFonts w:cs="Arial"/>
                <w:sz w:val="20"/>
                <w:lang w:eastAsia="en-GB"/>
              </w:rPr>
              <w:t>Average Performance on Top 10</w:t>
            </w:r>
          </w:p>
        </w:tc>
        <w:tc>
          <w:tcPr>
            <w:tcW w:w="2046" w:type="dxa"/>
            <w:vAlign w:val="center"/>
          </w:tcPr>
          <w:p w14:paraId="6705EB90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rFonts w:cs="Arial"/>
                <w:sz w:val="20"/>
                <w:lang w:eastAsia="en-GB"/>
              </w:rPr>
              <w:t>112%</w:t>
            </w:r>
          </w:p>
        </w:tc>
      </w:tr>
      <w:tr w:rsidR="00FB1B76" w:rsidRPr="00AF37E1" w14:paraId="75E927AA" w14:textId="77777777" w:rsidTr="00FB1B76">
        <w:tc>
          <w:tcPr>
            <w:tcW w:w="7196" w:type="dxa"/>
            <w:vAlign w:val="center"/>
          </w:tcPr>
          <w:p w14:paraId="2DB9188D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rFonts w:cs="Arial"/>
                <w:sz w:val="20"/>
                <w:lang w:eastAsia="en-GB"/>
              </w:rPr>
              <w:t>Top 10 Indicator Rating</w:t>
            </w:r>
          </w:p>
        </w:tc>
        <w:tc>
          <w:tcPr>
            <w:tcW w:w="2046" w:type="dxa"/>
            <w:shd w:val="clear" w:color="auto" w:fill="00B050"/>
            <w:vAlign w:val="center"/>
          </w:tcPr>
          <w:p w14:paraId="30EFADBE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A1</w:t>
            </w:r>
          </w:p>
        </w:tc>
      </w:tr>
      <w:tr w:rsidR="00FB1B76" w:rsidRPr="00AF37E1" w14:paraId="18753390" w14:textId="77777777" w:rsidTr="00FB1B76">
        <w:tc>
          <w:tcPr>
            <w:tcW w:w="7196" w:type="dxa"/>
            <w:vAlign w:val="center"/>
          </w:tcPr>
          <w:p w14:paraId="0CA39634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rFonts w:cs="Arial"/>
                <w:sz w:val="20"/>
                <w:lang w:eastAsia="en-GB"/>
              </w:rPr>
              <w:t>Average Performance All Indicators</w:t>
            </w:r>
          </w:p>
        </w:tc>
        <w:tc>
          <w:tcPr>
            <w:tcW w:w="2046" w:type="dxa"/>
            <w:vAlign w:val="center"/>
          </w:tcPr>
          <w:p w14:paraId="7AC5FC83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rFonts w:cs="Arial"/>
                <w:sz w:val="20"/>
                <w:lang w:eastAsia="en-GB"/>
              </w:rPr>
              <w:t>112%</w:t>
            </w:r>
          </w:p>
        </w:tc>
      </w:tr>
      <w:tr w:rsidR="00FB1B76" w:rsidRPr="00AF37E1" w14:paraId="1C82D82E" w14:textId="77777777" w:rsidTr="00FB1B76">
        <w:tc>
          <w:tcPr>
            <w:tcW w:w="7196" w:type="dxa"/>
            <w:vAlign w:val="center"/>
          </w:tcPr>
          <w:p w14:paraId="6347EC75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rFonts w:cs="Arial"/>
                <w:sz w:val="20"/>
                <w:lang w:eastAsia="en-GB"/>
              </w:rPr>
              <w:t>All indicators Rating</w:t>
            </w:r>
          </w:p>
        </w:tc>
        <w:tc>
          <w:tcPr>
            <w:tcW w:w="2046" w:type="dxa"/>
            <w:shd w:val="clear" w:color="auto" w:fill="00B050"/>
            <w:vAlign w:val="center"/>
          </w:tcPr>
          <w:p w14:paraId="594739D7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A1</w:t>
            </w:r>
          </w:p>
        </w:tc>
      </w:tr>
      <w:tr w:rsidR="00FB1B76" w:rsidRPr="00AF37E1" w14:paraId="582E3CF6" w14:textId="77777777" w:rsidTr="00FB1B76">
        <w:tc>
          <w:tcPr>
            <w:tcW w:w="7196" w:type="dxa"/>
            <w:vAlign w:val="center"/>
          </w:tcPr>
          <w:p w14:paraId="62AC25D7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rFonts w:cs="Arial"/>
                <w:sz w:val="20"/>
                <w:lang w:eastAsia="en-GB"/>
              </w:rPr>
              <w:t>Number of TOP TEN Indicators with B2 or C Rating</w:t>
            </w:r>
          </w:p>
        </w:tc>
        <w:tc>
          <w:tcPr>
            <w:tcW w:w="2046" w:type="dxa"/>
            <w:vAlign w:val="center"/>
          </w:tcPr>
          <w:p w14:paraId="01348DBD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0</w:t>
            </w:r>
          </w:p>
        </w:tc>
      </w:tr>
      <w:tr w:rsidR="00FB1B76" w:rsidRPr="00AF37E1" w14:paraId="0053859F" w14:textId="77777777" w:rsidTr="00FB1B76">
        <w:tc>
          <w:tcPr>
            <w:tcW w:w="7196" w:type="dxa"/>
            <w:vAlign w:val="center"/>
          </w:tcPr>
          <w:p w14:paraId="00E59724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rFonts w:cs="Arial"/>
                <w:sz w:val="20"/>
                <w:lang w:eastAsia="en-GB"/>
              </w:rPr>
              <w:t>Renewals Indicator Rating</w:t>
            </w:r>
          </w:p>
        </w:tc>
        <w:tc>
          <w:tcPr>
            <w:tcW w:w="2046" w:type="dxa"/>
            <w:shd w:val="clear" w:color="auto" w:fill="00B050"/>
            <w:vAlign w:val="center"/>
          </w:tcPr>
          <w:p w14:paraId="02E402FE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A1</w:t>
            </w:r>
          </w:p>
        </w:tc>
      </w:tr>
    </w:tbl>
    <w:p w14:paraId="0A139C4D" w14:textId="77777777" w:rsidR="00FB1B76" w:rsidRPr="00AF37E1" w:rsidRDefault="00FB1B76" w:rsidP="00FB1B76">
      <w:pPr>
        <w:jc w:val="center"/>
        <w:rPr>
          <w:rFonts w:cs="Arial"/>
          <w:b/>
          <w:sz w:val="20"/>
        </w:rPr>
      </w:pPr>
      <w:r w:rsidRPr="00AF37E1">
        <w:rPr>
          <w:rFonts w:cs="Arial"/>
          <w:b/>
          <w:sz w:val="20"/>
        </w:rPr>
        <w:t>Cumulative performance to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B1B76" w:rsidRPr="00AF37E1" w14:paraId="235DF130" w14:textId="77777777" w:rsidTr="00FB1B76">
        <w:tc>
          <w:tcPr>
            <w:tcW w:w="3080" w:type="dxa"/>
            <w:vAlign w:val="center"/>
          </w:tcPr>
          <w:p w14:paraId="2D5FEEEB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2011</w:t>
            </w:r>
          </w:p>
        </w:tc>
        <w:tc>
          <w:tcPr>
            <w:tcW w:w="6162" w:type="dxa"/>
            <w:gridSpan w:val="2"/>
            <w:vAlign w:val="center"/>
          </w:tcPr>
          <w:p w14:paraId="545D8902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2012</w:t>
            </w:r>
          </w:p>
        </w:tc>
      </w:tr>
      <w:tr w:rsidR="00FB1B76" w:rsidRPr="00AF37E1" w14:paraId="0D880FC1" w14:textId="77777777" w:rsidTr="00FB1B76">
        <w:tc>
          <w:tcPr>
            <w:tcW w:w="3080" w:type="dxa"/>
            <w:vAlign w:val="center"/>
          </w:tcPr>
          <w:p w14:paraId="65FA81A5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1 July – 31 December</w:t>
            </w:r>
          </w:p>
        </w:tc>
        <w:tc>
          <w:tcPr>
            <w:tcW w:w="3081" w:type="dxa"/>
            <w:vAlign w:val="center"/>
          </w:tcPr>
          <w:p w14:paraId="564C9485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1 January – 30 June</w:t>
            </w:r>
          </w:p>
        </w:tc>
        <w:tc>
          <w:tcPr>
            <w:tcW w:w="3081" w:type="dxa"/>
            <w:vAlign w:val="center"/>
          </w:tcPr>
          <w:p w14:paraId="52EA9CA4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1 July – 31 December</w:t>
            </w:r>
          </w:p>
        </w:tc>
      </w:tr>
      <w:tr w:rsidR="00FB1B76" w:rsidRPr="00AF37E1" w14:paraId="027E9588" w14:textId="77777777" w:rsidTr="00FB1B76">
        <w:tc>
          <w:tcPr>
            <w:tcW w:w="3080" w:type="dxa"/>
            <w:shd w:val="clear" w:color="auto" w:fill="92D050"/>
            <w:vAlign w:val="center"/>
          </w:tcPr>
          <w:p w14:paraId="37D1203A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A2</w:t>
            </w:r>
          </w:p>
        </w:tc>
        <w:tc>
          <w:tcPr>
            <w:tcW w:w="3081" w:type="dxa"/>
            <w:shd w:val="clear" w:color="auto" w:fill="00B050"/>
            <w:vAlign w:val="center"/>
          </w:tcPr>
          <w:p w14:paraId="6CCE24FD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A1</w:t>
            </w:r>
          </w:p>
        </w:tc>
        <w:tc>
          <w:tcPr>
            <w:tcW w:w="3081" w:type="dxa"/>
            <w:shd w:val="clear" w:color="auto" w:fill="00B050"/>
            <w:vAlign w:val="center"/>
          </w:tcPr>
          <w:p w14:paraId="3B6DE889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A1</w:t>
            </w:r>
          </w:p>
        </w:tc>
      </w:tr>
    </w:tbl>
    <w:p w14:paraId="4D3B3A01" w14:textId="77777777" w:rsidR="00FB1B76" w:rsidRPr="00AF37E1" w:rsidRDefault="00FB1B76" w:rsidP="00FB1B76">
      <w:pPr>
        <w:rPr>
          <w:sz w:val="20"/>
        </w:rPr>
      </w:pPr>
    </w:p>
    <w:p w14:paraId="742D09A9" w14:textId="77777777" w:rsidR="00FB1B76" w:rsidRPr="00AF37E1" w:rsidRDefault="00FB1B76" w:rsidP="00FB1B76">
      <w:pPr>
        <w:jc w:val="center"/>
        <w:rPr>
          <w:b/>
          <w:sz w:val="20"/>
        </w:rPr>
      </w:pPr>
      <w:r w:rsidRPr="00AF37E1">
        <w:rPr>
          <w:b/>
          <w:sz w:val="20"/>
        </w:rPr>
        <w:t>Main Achievements:</w:t>
      </w:r>
    </w:p>
    <w:p w14:paraId="7ED88C4E" w14:textId="77777777" w:rsidR="00FB1B76" w:rsidRPr="00AF37E1" w:rsidRDefault="00FB1B76" w:rsidP="00FB1B76">
      <w:pPr>
        <w:jc w:val="center"/>
        <w:rPr>
          <w:b/>
          <w:sz w:val="20"/>
        </w:rPr>
      </w:pPr>
    </w:p>
    <w:p w14:paraId="548B8C8A" w14:textId="77777777" w:rsidR="00FB1B76" w:rsidRPr="00AF37E1" w:rsidRDefault="00FB1B76" w:rsidP="00FB1B76">
      <w:pPr>
        <w:pStyle w:val="ListParagraph"/>
        <w:numPr>
          <w:ilvl w:val="0"/>
          <w:numId w:val="19"/>
        </w:numPr>
        <w:spacing w:after="0"/>
        <w:rPr>
          <w:sz w:val="20"/>
        </w:rPr>
      </w:pPr>
      <w:r w:rsidRPr="00AF37E1">
        <w:rPr>
          <w:sz w:val="20"/>
        </w:rPr>
        <w:t>Coverage with MDR TB treatment is relatively good, in 2010-2011 nationally about 60-70% of diagnosed MDR TB cases were enrolled on second-line treatment. The Global Fund provided with the second-line treatment big portion of MDR TB cases.</w:t>
      </w:r>
    </w:p>
    <w:p w14:paraId="089B5BE2" w14:textId="77777777" w:rsidR="00FB1B76" w:rsidRPr="00AF37E1" w:rsidRDefault="00FB1B76" w:rsidP="00FB1B76">
      <w:pPr>
        <w:pStyle w:val="ListParagraph"/>
        <w:numPr>
          <w:ilvl w:val="0"/>
          <w:numId w:val="19"/>
        </w:numPr>
        <w:spacing w:after="0"/>
        <w:rPr>
          <w:sz w:val="20"/>
        </w:rPr>
      </w:pPr>
      <w:r w:rsidRPr="00AF37E1">
        <w:rPr>
          <w:sz w:val="20"/>
        </w:rPr>
        <w:t xml:space="preserve">The program maintains high treatment success rate for MDR TB cases over the past several years (2008 cohort </w:t>
      </w:r>
      <w:r>
        <w:rPr>
          <w:sz w:val="20"/>
        </w:rPr>
        <w:t>-74%, 2009 cohort 73%.</w:t>
      </w:r>
    </w:p>
    <w:p w14:paraId="4B20A719" w14:textId="77777777" w:rsidR="00FB1B76" w:rsidRPr="00AF37E1" w:rsidRDefault="00FB1B76" w:rsidP="00FB1B76">
      <w:pPr>
        <w:rPr>
          <w:rFonts w:cs="Arial"/>
          <w:b/>
          <w:sz w:val="20"/>
        </w:rPr>
      </w:pPr>
    </w:p>
    <w:p w14:paraId="77B990A8" w14:textId="77777777" w:rsidR="00E5067C" w:rsidRDefault="00E5067C" w:rsidP="00FB1B76">
      <w:pPr>
        <w:rPr>
          <w:rFonts w:cs="Arial"/>
          <w:b/>
          <w:sz w:val="20"/>
        </w:rPr>
      </w:pPr>
    </w:p>
    <w:p w14:paraId="3EB73430" w14:textId="6F7AC4F4" w:rsidR="00FB1B76" w:rsidRPr="00AF37E1" w:rsidRDefault="00FB1B76" w:rsidP="00FB1B76">
      <w:pPr>
        <w:rPr>
          <w:rFonts w:cs="Arial"/>
          <w:b/>
          <w:sz w:val="20"/>
        </w:rPr>
      </w:pPr>
      <w:r w:rsidRPr="00AF37E1">
        <w:rPr>
          <w:rFonts w:cs="Arial"/>
          <w:b/>
          <w:sz w:val="20"/>
        </w:rPr>
        <w:t>3. Financial Performance</w:t>
      </w:r>
      <w:r w:rsidR="0083362C">
        <w:rPr>
          <w:rFonts w:cs="Arial"/>
          <w:b/>
          <w:sz w:val="20"/>
        </w:rPr>
        <w:t xml:space="preserve"> KAZ-809-G04-T</w:t>
      </w:r>
    </w:p>
    <w:p w14:paraId="1559E191" w14:textId="77777777" w:rsidR="00FB1B76" w:rsidRPr="00AF37E1" w:rsidRDefault="00FB1B76" w:rsidP="00FB1B76">
      <w:pPr>
        <w:rPr>
          <w:sz w:val="20"/>
        </w:rPr>
      </w:pPr>
    </w:p>
    <w:p w14:paraId="342F4022" w14:textId="2A61A4FA" w:rsidR="00FB1B76" w:rsidRPr="00AF37E1" w:rsidRDefault="00FB1B76" w:rsidP="00FB1B76">
      <w:pPr>
        <w:rPr>
          <w:sz w:val="20"/>
        </w:rPr>
      </w:pPr>
      <w:r w:rsidRPr="00AF37E1">
        <w:rPr>
          <w:sz w:val="20"/>
        </w:rPr>
        <w:t xml:space="preserve">The indicative amount proposed within the New Funding Model is USD 34 million. </w:t>
      </w:r>
    </w:p>
    <w:p w14:paraId="13BC24A2" w14:textId="77777777" w:rsidR="00FB1B76" w:rsidRPr="00AF37E1" w:rsidRDefault="00FB1B76" w:rsidP="00FB1B76">
      <w:pPr>
        <w:rPr>
          <w:sz w:val="20"/>
        </w:rPr>
      </w:pPr>
    </w:p>
    <w:p w14:paraId="33D60AE2" w14:textId="77777777" w:rsidR="00FB1B76" w:rsidRPr="00AF37E1" w:rsidRDefault="00FB1B76" w:rsidP="00FB1B76">
      <w:pPr>
        <w:jc w:val="center"/>
        <w:rPr>
          <w:b/>
          <w:sz w:val="20"/>
        </w:rPr>
      </w:pPr>
      <w:r w:rsidRPr="00AF37E1">
        <w:rPr>
          <w:b/>
          <w:sz w:val="20"/>
        </w:rPr>
        <w:t>Disbursement for the current grant</w:t>
      </w:r>
    </w:p>
    <w:p w14:paraId="356C4423" w14:textId="77777777" w:rsidR="00FB1B76" w:rsidRPr="00AF37E1" w:rsidRDefault="00FB1B76" w:rsidP="00FB1B76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B1B76" w:rsidRPr="00AF37E1" w14:paraId="35731A4E" w14:textId="77777777" w:rsidTr="00FB1B76">
        <w:tc>
          <w:tcPr>
            <w:tcW w:w="4621" w:type="dxa"/>
          </w:tcPr>
          <w:p w14:paraId="157EC9DC" w14:textId="77777777" w:rsidR="00FB1B76" w:rsidRPr="00AF37E1" w:rsidRDefault="00FB1B76" w:rsidP="00FB1B76">
            <w:pPr>
              <w:rPr>
                <w:sz w:val="20"/>
              </w:rPr>
            </w:pPr>
            <w:r w:rsidRPr="00AF37E1">
              <w:rPr>
                <w:sz w:val="20"/>
              </w:rPr>
              <w:t>Budget for the current implementation</w:t>
            </w:r>
          </w:p>
        </w:tc>
        <w:tc>
          <w:tcPr>
            <w:tcW w:w="4621" w:type="dxa"/>
          </w:tcPr>
          <w:p w14:paraId="3C12B9EA" w14:textId="77777777" w:rsidR="00FB1B76" w:rsidRPr="00AF37E1" w:rsidRDefault="00FB1B76" w:rsidP="00FB1B76">
            <w:pPr>
              <w:rPr>
                <w:sz w:val="20"/>
              </w:rPr>
            </w:pPr>
            <w:r w:rsidRPr="00AF37E1">
              <w:rPr>
                <w:sz w:val="20"/>
              </w:rPr>
              <w:t>USD 50’068’827</w:t>
            </w:r>
          </w:p>
        </w:tc>
      </w:tr>
      <w:tr w:rsidR="00FB1B76" w:rsidRPr="00AF37E1" w14:paraId="4A1A33D5" w14:textId="77777777" w:rsidTr="00FB1B76">
        <w:tc>
          <w:tcPr>
            <w:tcW w:w="4621" w:type="dxa"/>
          </w:tcPr>
          <w:p w14:paraId="1BC4E314" w14:textId="77777777" w:rsidR="00FB1B76" w:rsidRPr="00AF37E1" w:rsidRDefault="00FB1B76" w:rsidP="00FB1B76">
            <w:pPr>
              <w:rPr>
                <w:sz w:val="20"/>
              </w:rPr>
            </w:pPr>
            <w:r w:rsidRPr="00AF37E1">
              <w:rPr>
                <w:sz w:val="20"/>
              </w:rPr>
              <w:t>Less: disbursed</w:t>
            </w:r>
          </w:p>
        </w:tc>
        <w:tc>
          <w:tcPr>
            <w:tcW w:w="4621" w:type="dxa"/>
          </w:tcPr>
          <w:p w14:paraId="6B482757" w14:textId="77777777" w:rsidR="00FB1B76" w:rsidRPr="00AF37E1" w:rsidRDefault="00FB1B76" w:rsidP="00FB1B76">
            <w:pPr>
              <w:rPr>
                <w:sz w:val="20"/>
              </w:rPr>
            </w:pPr>
            <w:r w:rsidRPr="00AF37E1">
              <w:rPr>
                <w:sz w:val="20"/>
              </w:rPr>
              <w:t>USD 45’241’253</w:t>
            </w:r>
          </w:p>
        </w:tc>
      </w:tr>
      <w:tr w:rsidR="00FB1B76" w:rsidRPr="00AF37E1" w14:paraId="51AEE902" w14:textId="77777777" w:rsidTr="00FB1B76">
        <w:tc>
          <w:tcPr>
            <w:tcW w:w="4621" w:type="dxa"/>
          </w:tcPr>
          <w:p w14:paraId="6A435C8D" w14:textId="77777777" w:rsidR="00FB1B76" w:rsidRPr="00AF37E1" w:rsidRDefault="00FB1B76" w:rsidP="00FB1B76">
            <w:pPr>
              <w:rPr>
                <w:sz w:val="20"/>
              </w:rPr>
            </w:pPr>
            <w:r w:rsidRPr="00AF37E1">
              <w:rPr>
                <w:sz w:val="20"/>
              </w:rPr>
              <w:t>Undisbursed amount</w:t>
            </w:r>
          </w:p>
        </w:tc>
        <w:tc>
          <w:tcPr>
            <w:tcW w:w="4621" w:type="dxa"/>
          </w:tcPr>
          <w:p w14:paraId="354275D3" w14:textId="77777777" w:rsidR="00FB1B76" w:rsidRPr="00AF37E1" w:rsidRDefault="00FB1B76" w:rsidP="00FB1B76">
            <w:pPr>
              <w:rPr>
                <w:sz w:val="20"/>
              </w:rPr>
            </w:pPr>
            <w:r w:rsidRPr="00AF37E1">
              <w:rPr>
                <w:sz w:val="20"/>
              </w:rPr>
              <w:t>USD 4’827’564</w:t>
            </w:r>
          </w:p>
        </w:tc>
      </w:tr>
    </w:tbl>
    <w:p w14:paraId="3E2DC4E6" w14:textId="77777777" w:rsidR="00FB1B76" w:rsidRPr="00AF37E1" w:rsidRDefault="00FB1B76" w:rsidP="00FB1B76">
      <w:pPr>
        <w:rPr>
          <w:noProof/>
          <w:sz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FB1B76" w:rsidRPr="00AF37E1" w14:paraId="1140A393" w14:textId="77777777" w:rsidTr="00FB1B76">
        <w:tc>
          <w:tcPr>
            <w:tcW w:w="2310" w:type="dxa"/>
            <w:vAlign w:val="center"/>
          </w:tcPr>
          <w:p w14:paraId="7CE776DB" w14:textId="77777777" w:rsidR="00FB1B76" w:rsidRPr="00AF37E1" w:rsidRDefault="00FB1B76" w:rsidP="00FB1B76">
            <w:pPr>
              <w:jc w:val="center"/>
              <w:rPr>
                <w:noProof/>
                <w:sz w:val="20"/>
                <w:lang w:eastAsia="en-GB"/>
              </w:rPr>
            </w:pPr>
            <w:r w:rsidRPr="00AF37E1">
              <w:rPr>
                <w:noProof/>
                <w:sz w:val="20"/>
                <w:lang w:eastAsia="en-GB"/>
              </w:rPr>
              <w:t>Cumulative Budget</w:t>
            </w:r>
          </w:p>
        </w:tc>
        <w:tc>
          <w:tcPr>
            <w:tcW w:w="2310" w:type="dxa"/>
            <w:vAlign w:val="center"/>
          </w:tcPr>
          <w:p w14:paraId="56C79E74" w14:textId="77777777" w:rsidR="00FB1B76" w:rsidRPr="00AF37E1" w:rsidRDefault="00FB1B76" w:rsidP="00FB1B76">
            <w:pPr>
              <w:jc w:val="center"/>
              <w:rPr>
                <w:noProof/>
                <w:sz w:val="20"/>
                <w:lang w:eastAsia="en-GB"/>
              </w:rPr>
            </w:pPr>
            <w:r w:rsidRPr="00AF37E1">
              <w:rPr>
                <w:noProof/>
                <w:sz w:val="20"/>
                <w:lang w:eastAsia="en-GB"/>
              </w:rPr>
              <w:t>Cumulative Expenditures</w:t>
            </w:r>
          </w:p>
        </w:tc>
        <w:tc>
          <w:tcPr>
            <w:tcW w:w="2311" w:type="dxa"/>
            <w:vAlign w:val="center"/>
          </w:tcPr>
          <w:p w14:paraId="43169B63" w14:textId="77777777" w:rsidR="00FB1B76" w:rsidRPr="00AF37E1" w:rsidRDefault="00FB1B76" w:rsidP="00FB1B76">
            <w:pPr>
              <w:jc w:val="center"/>
              <w:rPr>
                <w:noProof/>
                <w:sz w:val="20"/>
                <w:lang w:eastAsia="en-GB"/>
              </w:rPr>
            </w:pPr>
            <w:r w:rsidRPr="00AF37E1">
              <w:rPr>
                <w:noProof/>
                <w:sz w:val="20"/>
                <w:lang w:eastAsia="en-GB"/>
              </w:rPr>
              <w:t>% Expenditures vs. Budget</w:t>
            </w:r>
          </w:p>
        </w:tc>
        <w:tc>
          <w:tcPr>
            <w:tcW w:w="2311" w:type="dxa"/>
            <w:vAlign w:val="center"/>
          </w:tcPr>
          <w:p w14:paraId="5553F73C" w14:textId="77777777" w:rsidR="00FB1B76" w:rsidRPr="00AF37E1" w:rsidRDefault="00FB1B76" w:rsidP="00FB1B76">
            <w:pPr>
              <w:jc w:val="center"/>
              <w:rPr>
                <w:noProof/>
                <w:sz w:val="20"/>
                <w:lang w:eastAsia="en-GB"/>
              </w:rPr>
            </w:pPr>
            <w:r w:rsidRPr="00AF37E1">
              <w:rPr>
                <w:noProof/>
                <w:sz w:val="20"/>
                <w:lang w:eastAsia="en-GB"/>
              </w:rPr>
              <w:t>% programmatic achievements</w:t>
            </w:r>
          </w:p>
        </w:tc>
      </w:tr>
      <w:tr w:rsidR="00FB1B76" w:rsidRPr="00AF37E1" w14:paraId="282DC487" w14:textId="77777777" w:rsidTr="00FB1B76">
        <w:tc>
          <w:tcPr>
            <w:tcW w:w="2310" w:type="dxa"/>
            <w:vAlign w:val="center"/>
          </w:tcPr>
          <w:p w14:paraId="77CFEBA8" w14:textId="77777777" w:rsidR="00FB1B76" w:rsidRPr="00AF37E1" w:rsidRDefault="00FB1B76" w:rsidP="00FB1B76">
            <w:pPr>
              <w:jc w:val="center"/>
              <w:rPr>
                <w:noProof/>
                <w:sz w:val="20"/>
                <w:lang w:eastAsia="en-GB"/>
              </w:rPr>
            </w:pPr>
            <w:r w:rsidRPr="00AF37E1">
              <w:rPr>
                <w:rFonts w:eastAsia="Arial"/>
                <w:color w:val="000000"/>
                <w:sz w:val="20"/>
              </w:rPr>
              <w:t>$ 40,755,079</w:t>
            </w:r>
          </w:p>
        </w:tc>
        <w:tc>
          <w:tcPr>
            <w:tcW w:w="2310" w:type="dxa"/>
            <w:vAlign w:val="center"/>
          </w:tcPr>
          <w:p w14:paraId="7E908124" w14:textId="77777777" w:rsidR="00FB1B76" w:rsidRPr="00AF37E1" w:rsidRDefault="00FB1B76" w:rsidP="00FB1B76">
            <w:pPr>
              <w:jc w:val="center"/>
              <w:rPr>
                <w:noProof/>
                <w:sz w:val="20"/>
                <w:lang w:eastAsia="en-GB"/>
              </w:rPr>
            </w:pPr>
            <w:r w:rsidRPr="00AF37E1">
              <w:rPr>
                <w:rFonts w:eastAsia="Arial"/>
                <w:color w:val="000000"/>
                <w:sz w:val="20"/>
              </w:rPr>
              <w:t>$ 42,444,331</w:t>
            </w:r>
          </w:p>
        </w:tc>
        <w:tc>
          <w:tcPr>
            <w:tcW w:w="2311" w:type="dxa"/>
            <w:vAlign w:val="center"/>
          </w:tcPr>
          <w:p w14:paraId="08B73EB0" w14:textId="77777777" w:rsidR="00FB1B76" w:rsidRPr="00AF37E1" w:rsidRDefault="00FB1B76" w:rsidP="00FB1B76">
            <w:pPr>
              <w:jc w:val="center"/>
              <w:rPr>
                <w:noProof/>
                <w:sz w:val="20"/>
                <w:lang w:eastAsia="en-GB"/>
              </w:rPr>
            </w:pPr>
            <w:r w:rsidRPr="00AF37E1">
              <w:rPr>
                <w:noProof/>
                <w:sz w:val="20"/>
                <w:lang w:eastAsia="en-GB"/>
              </w:rPr>
              <w:t>104.1%</w:t>
            </w:r>
          </w:p>
        </w:tc>
        <w:tc>
          <w:tcPr>
            <w:tcW w:w="2311" w:type="dxa"/>
            <w:vAlign w:val="center"/>
          </w:tcPr>
          <w:p w14:paraId="78EC9C1C" w14:textId="77777777" w:rsidR="00FB1B76" w:rsidRPr="00AF37E1" w:rsidRDefault="00FB1B76" w:rsidP="00FB1B76">
            <w:pPr>
              <w:jc w:val="center"/>
              <w:rPr>
                <w:noProof/>
                <w:sz w:val="20"/>
                <w:lang w:eastAsia="en-GB"/>
              </w:rPr>
            </w:pPr>
            <w:r w:rsidRPr="00AF37E1">
              <w:rPr>
                <w:noProof/>
                <w:sz w:val="20"/>
                <w:lang w:eastAsia="en-GB"/>
              </w:rPr>
              <w:t>A1</w:t>
            </w:r>
          </w:p>
        </w:tc>
      </w:tr>
    </w:tbl>
    <w:p w14:paraId="7ED92729" w14:textId="77777777" w:rsidR="00FB1B76" w:rsidRPr="00AF37E1" w:rsidRDefault="00FB1B76" w:rsidP="00FB1B76">
      <w:pPr>
        <w:rPr>
          <w:noProof/>
          <w:sz w:val="20"/>
          <w:lang w:eastAsia="en-GB"/>
        </w:rPr>
      </w:pPr>
    </w:p>
    <w:p w14:paraId="6BC051F8" w14:textId="77777777" w:rsidR="00FB1B76" w:rsidRPr="00AF37E1" w:rsidRDefault="00FB1B76" w:rsidP="00FB1B76">
      <w:pPr>
        <w:rPr>
          <w:noProof/>
          <w:sz w:val="20"/>
          <w:lang w:eastAsia="en-GB"/>
        </w:rPr>
      </w:pPr>
    </w:p>
    <w:p w14:paraId="4C157D85" w14:textId="22183EFA" w:rsidR="00FB1B76" w:rsidRPr="00AF37E1" w:rsidRDefault="00FB1B76" w:rsidP="00FB1B76">
      <w:pPr>
        <w:rPr>
          <w:noProof/>
          <w:sz w:val="20"/>
          <w:lang w:eastAsia="en-GB"/>
        </w:rPr>
      </w:pPr>
    </w:p>
    <w:p w14:paraId="6F7D3CD7" w14:textId="77777777" w:rsidR="00FB1B76" w:rsidRPr="00AF37E1" w:rsidRDefault="00FB1B76" w:rsidP="00FB1B76">
      <w:pPr>
        <w:rPr>
          <w:noProof/>
          <w:sz w:val="20"/>
          <w:lang w:eastAsia="en-GB"/>
        </w:rPr>
      </w:pPr>
    </w:p>
    <w:p w14:paraId="32940908" w14:textId="77777777" w:rsidR="00FB1B76" w:rsidRPr="00AF37E1" w:rsidRDefault="00FB1B76" w:rsidP="00FB1B76">
      <w:pPr>
        <w:rPr>
          <w:noProof/>
          <w:sz w:val="20"/>
          <w:lang w:eastAsia="en-GB"/>
        </w:rPr>
      </w:pPr>
    </w:p>
    <w:p w14:paraId="387F5104" w14:textId="77777777" w:rsidR="00FB1B76" w:rsidRPr="00AF37E1" w:rsidRDefault="00FB1B76" w:rsidP="00FB1B76">
      <w:pPr>
        <w:rPr>
          <w:noProof/>
          <w:sz w:val="20"/>
          <w:lang w:eastAsia="en-GB"/>
        </w:rPr>
      </w:pPr>
    </w:p>
    <w:p w14:paraId="0753C5EC" w14:textId="1734D46A" w:rsidR="00FB1B76" w:rsidRPr="00AF37E1" w:rsidRDefault="006D0C79" w:rsidP="00FB1B76">
      <w:pPr>
        <w:rPr>
          <w:noProof/>
          <w:sz w:val="20"/>
          <w:lang w:eastAsia="en-GB"/>
        </w:rPr>
      </w:pPr>
      <w:r w:rsidRPr="00AF37E1">
        <w:rPr>
          <w:noProof/>
          <w:sz w:val="20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6AC70026" wp14:editId="60C5A6F2">
            <wp:simplePos x="0" y="0"/>
            <wp:positionH relativeFrom="column">
              <wp:posOffset>-228600</wp:posOffset>
            </wp:positionH>
            <wp:positionV relativeFrom="paragraph">
              <wp:posOffset>67945</wp:posOffset>
            </wp:positionV>
            <wp:extent cx="5867400" cy="2933700"/>
            <wp:effectExtent l="19050" t="19050" r="19050" b="19050"/>
            <wp:wrapNone/>
            <wp:docPr id="4" name="Picture 4" descr="..\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b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933700"/>
                    </a:xfrm>
                    <a:prstGeom prst="rect">
                      <a:avLst/>
                    </a:prstGeom>
                    <a:noFill/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C9C71" w14:textId="77777777" w:rsidR="00FB1B76" w:rsidRPr="00AF37E1" w:rsidRDefault="00FB1B76" w:rsidP="00FB1B76">
      <w:pPr>
        <w:rPr>
          <w:noProof/>
          <w:sz w:val="20"/>
          <w:lang w:eastAsia="en-GB"/>
        </w:rPr>
      </w:pPr>
    </w:p>
    <w:p w14:paraId="316A6D40" w14:textId="77777777" w:rsidR="00FB1B76" w:rsidRPr="00AF37E1" w:rsidRDefault="00FB1B76" w:rsidP="00FB1B76">
      <w:pPr>
        <w:rPr>
          <w:noProof/>
          <w:sz w:val="20"/>
          <w:lang w:eastAsia="en-GB"/>
        </w:rPr>
      </w:pPr>
    </w:p>
    <w:p w14:paraId="5AEDEDB1" w14:textId="77777777" w:rsidR="00FB1B76" w:rsidRPr="00AF37E1" w:rsidRDefault="00FB1B76" w:rsidP="00FB1B76">
      <w:pPr>
        <w:rPr>
          <w:noProof/>
          <w:sz w:val="20"/>
          <w:lang w:eastAsia="en-GB"/>
        </w:rPr>
      </w:pPr>
    </w:p>
    <w:p w14:paraId="74C4770A" w14:textId="77777777" w:rsidR="00FB1B76" w:rsidRPr="00AF37E1" w:rsidRDefault="00FB1B76" w:rsidP="00FB1B76">
      <w:pPr>
        <w:rPr>
          <w:noProof/>
          <w:sz w:val="20"/>
          <w:lang w:eastAsia="en-GB"/>
        </w:rPr>
      </w:pPr>
    </w:p>
    <w:p w14:paraId="3017AF5F" w14:textId="77777777" w:rsidR="00FB1B76" w:rsidRPr="00AF37E1" w:rsidRDefault="00FB1B76" w:rsidP="00FB1B76">
      <w:pPr>
        <w:rPr>
          <w:noProof/>
          <w:sz w:val="20"/>
          <w:lang w:eastAsia="en-GB"/>
        </w:rPr>
      </w:pPr>
    </w:p>
    <w:p w14:paraId="17AFA934" w14:textId="77777777" w:rsidR="00FB1B76" w:rsidRPr="00AF37E1" w:rsidRDefault="00FB1B76" w:rsidP="00FB1B76">
      <w:pPr>
        <w:rPr>
          <w:noProof/>
          <w:sz w:val="20"/>
          <w:lang w:eastAsia="en-GB"/>
        </w:rPr>
      </w:pPr>
    </w:p>
    <w:p w14:paraId="48FAF3A0" w14:textId="77777777" w:rsidR="00FB1B76" w:rsidRPr="00AF37E1" w:rsidRDefault="00FB1B76" w:rsidP="00FB1B76">
      <w:pPr>
        <w:rPr>
          <w:noProof/>
          <w:sz w:val="20"/>
          <w:lang w:eastAsia="en-GB"/>
        </w:rPr>
      </w:pPr>
    </w:p>
    <w:p w14:paraId="5E6122C1" w14:textId="77777777" w:rsidR="00FB1B76" w:rsidRPr="00AF37E1" w:rsidRDefault="00FB1B76" w:rsidP="00FB1B76">
      <w:pPr>
        <w:rPr>
          <w:noProof/>
          <w:sz w:val="20"/>
          <w:lang w:eastAsia="en-GB"/>
        </w:rPr>
      </w:pPr>
    </w:p>
    <w:p w14:paraId="4F7F39F4" w14:textId="77777777" w:rsidR="00FB1B76" w:rsidRPr="00AF37E1" w:rsidRDefault="00FB1B76" w:rsidP="00FB1B76">
      <w:pPr>
        <w:rPr>
          <w:noProof/>
          <w:sz w:val="20"/>
          <w:lang w:eastAsia="en-GB"/>
        </w:rPr>
      </w:pPr>
    </w:p>
    <w:p w14:paraId="5EDF186F" w14:textId="77777777" w:rsidR="00FB1B76" w:rsidRPr="00AF37E1" w:rsidRDefault="00FB1B76" w:rsidP="00FB1B76">
      <w:pPr>
        <w:rPr>
          <w:noProof/>
          <w:sz w:val="20"/>
          <w:lang w:eastAsia="en-GB"/>
        </w:rPr>
      </w:pPr>
    </w:p>
    <w:p w14:paraId="2FB94F83" w14:textId="77777777" w:rsidR="00FB1B76" w:rsidRPr="00AF37E1" w:rsidRDefault="00FB1B76" w:rsidP="00FB1B76">
      <w:pPr>
        <w:rPr>
          <w:noProof/>
          <w:sz w:val="20"/>
          <w:lang w:eastAsia="en-GB"/>
        </w:rPr>
      </w:pPr>
    </w:p>
    <w:p w14:paraId="732C31B9" w14:textId="77777777" w:rsidR="00FB1B76" w:rsidRPr="00AF37E1" w:rsidRDefault="00FB1B76" w:rsidP="00FB1B76">
      <w:pPr>
        <w:rPr>
          <w:noProof/>
          <w:sz w:val="20"/>
          <w:lang w:eastAsia="en-GB"/>
        </w:rPr>
      </w:pPr>
    </w:p>
    <w:p w14:paraId="017C7DF2" w14:textId="77777777" w:rsidR="00FB1B76" w:rsidRPr="00AF37E1" w:rsidRDefault="00FB1B76" w:rsidP="00FB1B76">
      <w:pPr>
        <w:rPr>
          <w:noProof/>
          <w:sz w:val="20"/>
          <w:lang w:eastAsia="en-GB"/>
        </w:rPr>
      </w:pPr>
    </w:p>
    <w:p w14:paraId="1FF86A6F" w14:textId="77777777" w:rsidR="00FB1B76" w:rsidRPr="00AF37E1" w:rsidRDefault="00FB1B76" w:rsidP="00FB1B76">
      <w:pPr>
        <w:rPr>
          <w:noProof/>
          <w:sz w:val="20"/>
          <w:lang w:eastAsia="en-GB"/>
        </w:rPr>
      </w:pPr>
    </w:p>
    <w:p w14:paraId="1817DCAD" w14:textId="3D0E0AFF" w:rsidR="00FB1B76" w:rsidRPr="00AF37E1" w:rsidRDefault="00FB1B76" w:rsidP="00FB1B76">
      <w:pPr>
        <w:rPr>
          <w:b/>
          <w:noProof/>
          <w:sz w:val="20"/>
          <w:lang w:eastAsia="en-GB"/>
        </w:rPr>
      </w:pPr>
      <w:r w:rsidRPr="00AF37E1">
        <w:rPr>
          <w:b/>
          <w:noProof/>
          <w:sz w:val="20"/>
          <w:lang w:eastAsia="en-GB"/>
        </w:rPr>
        <w:t>4. Main risks</w:t>
      </w:r>
      <w:r w:rsidR="0083362C">
        <w:rPr>
          <w:b/>
          <w:noProof/>
          <w:sz w:val="20"/>
          <w:lang w:eastAsia="en-GB"/>
        </w:rPr>
        <w:t xml:space="preserve"> </w:t>
      </w:r>
      <w:r w:rsidR="0083362C">
        <w:rPr>
          <w:rFonts w:cs="Arial"/>
          <w:b/>
          <w:sz w:val="20"/>
        </w:rPr>
        <w:t>KAZ-809-G04-T</w:t>
      </w:r>
    </w:p>
    <w:p w14:paraId="6679883D" w14:textId="77777777" w:rsidR="00FB1B76" w:rsidRPr="00AF37E1" w:rsidRDefault="00FB1B76" w:rsidP="00FB1B76">
      <w:pPr>
        <w:rPr>
          <w:noProof/>
          <w:sz w:val="20"/>
          <w:lang w:eastAsia="en-GB"/>
        </w:rPr>
      </w:pPr>
    </w:p>
    <w:p w14:paraId="5F6C74DF" w14:textId="3E26F609" w:rsidR="00FB1B76" w:rsidRPr="00AF37E1" w:rsidRDefault="0016368E" w:rsidP="00FB1B76">
      <w:pPr>
        <w:rPr>
          <w:noProof/>
          <w:sz w:val="20"/>
          <w:lang w:eastAsia="en-GB"/>
        </w:rPr>
      </w:pPr>
      <w:r>
        <w:rPr>
          <w:noProof/>
          <w:sz w:val="20"/>
          <w:lang w:eastAsia="en-GB"/>
        </w:rPr>
        <w:t>R</w:t>
      </w:r>
      <w:r w:rsidR="00FB1B76" w:rsidRPr="00AF37E1">
        <w:rPr>
          <w:noProof/>
          <w:sz w:val="20"/>
          <w:lang w:eastAsia="en-GB"/>
        </w:rPr>
        <w:t>efer</w:t>
      </w:r>
      <w:r w:rsidR="00E5067C">
        <w:rPr>
          <w:noProof/>
          <w:sz w:val="20"/>
          <w:lang w:eastAsia="en-GB"/>
        </w:rPr>
        <w:t xml:space="preserve"> to the two following files</w:t>
      </w:r>
      <w:r w:rsidR="00FB1B76">
        <w:rPr>
          <w:noProof/>
          <w:sz w:val="20"/>
          <w:lang w:eastAsia="en-GB"/>
        </w:rPr>
        <w:t xml:space="preserve"> atta</w:t>
      </w:r>
      <w:r w:rsidR="00FB1B76" w:rsidRPr="00AF37E1">
        <w:rPr>
          <w:noProof/>
          <w:sz w:val="20"/>
          <w:lang w:eastAsia="en-GB"/>
        </w:rPr>
        <w:t>ched:</w:t>
      </w:r>
    </w:p>
    <w:p w14:paraId="64D92E1B" w14:textId="09510629" w:rsidR="00FB1B76" w:rsidRPr="00AF37E1" w:rsidRDefault="00FB1B76" w:rsidP="00FB1B76">
      <w:pPr>
        <w:rPr>
          <w:noProof/>
          <w:sz w:val="20"/>
          <w:lang w:eastAsia="en-GB"/>
        </w:rPr>
      </w:pPr>
      <w:r w:rsidRPr="00AF37E1">
        <w:rPr>
          <w:noProof/>
          <w:sz w:val="20"/>
          <w:lang w:eastAsia="en-GB"/>
        </w:rPr>
        <w:t>1.</w:t>
      </w:r>
      <w:r w:rsidR="00F109F7">
        <w:rPr>
          <w:noProof/>
          <w:sz w:val="20"/>
          <w:lang w:eastAsia="en-GB"/>
        </w:rPr>
        <w:t xml:space="preserve"> Last management letter issued on 29.04.2013    </w:t>
      </w:r>
      <w:r w:rsidRPr="00AF37E1">
        <w:rPr>
          <w:noProof/>
          <w:sz w:val="20"/>
          <w:lang w:eastAsia="en-GB"/>
        </w:rPr>
        <w:t>2. OIG Audit report issued on 21.12.2012</w:t>
      </w:r>
    </w:p>
    <w:p w14:paraId="7ACA9ECB" w14:textId="77777777" w:rsidR="00FB1B76" w:rsidRPr="00AF37E1" w:rsidRDefault="00FB1B76" w:rsidP="00FB1B76">
      <w:pPr>
        <w:rPr>
          <w:noProof/>
          <w:sz w:val="20"/>
          <w:lang w:eastAsia="en-GB"/>
        </w:rPr>
      </w:pPr>
    </w:p>
    <w:tbl>
      <w:tblPr>
        <w:tblStyle w:val="TableGrid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FB1B76" w:rsidRPr="00AF37E1" w14:paraId="22131E5C" w14:textId="77777777" w:rsidTr="00FB1B76">
        <w:tc>
          <w:tcPr>
            <w:tcW w:w="2093" w:type="dxa"/>
            <w:shd w:val="clear" w:color="auto" w:fill="00B050"/>
            <w:vAlign w:val="center"/>
          </w:tcPr>
          <w:p w14:paraId="4A3ABB8B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Program Management</w:t>
            </w:r>
          </w:p>
        </w:tc>
        <w:tc>
          <w:tcPr>
            <w:tcW w:w="7149" w:type="dxa"/>
            <w:vAlign w:val="center"/>
          </w:tcPr>
          <w:p w14:paraId="4A39AF9E" w14:textId="62A33629" w:rsidR="00FB1B76" w:rsidRPr="00AF37E1" w:rsidRDefault="00FB1B76" w:rsidP="00FB1B76">
            <w:pPr>
              <w:jc w:val="center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Satisfactory</w:t>
            </w:r>
          </w:p>
        </w:tc>
      </w:tr>
      <w:tr w:rsidR="00FB1B76" w:rsidRPr="00AF37E1" w14:paraId="2C298ACB" w14:textId="77777777" w:rsidTr="00FB1B76">
        <w:trPr>
          <w:trHeight w:val="937"/>
        </w:trPr>
        <w:tc>
          <w:tcPr>
            <w:tcW w:w="2093" w:type="dxa"/>
            <w:shd w:val="clear" w:color="auto" w:fill="FFFF00"/>
            <w:vAlign w:val="center"/>
          </w:tcPr>
          <w:p w14:paraId="528080B8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Monitoring and Evaluation</w:t>
            </w:r>
          </w:p>
        </w:tc>
        <w:tc>
          <w:tcPr>
            <w:tcW w:w="7149" w:type="dxa"/>
            <w:vAlign w:val="center"/>
          </w:tcPr>
          <w:p w14:paraId="26D6EFC2" w14:textId="77777777" w:rsidR="00FB1B76" w:rsidRPr="00AF37E1" w:rsidRDefault="00FB1B76" w:rsidP="00FB1B76">
            <w:pPr>
              <w:jc w:val="center"/>
              <w:rPr>
                <w:noProof/>
                <w:sz w:val="20"/>
                <w:lang w:eastAsia="en-GB"/>
              </w:rPr>
            </w:pPr>
            <w:r w:rsidRPr="00AF37E1">
              <w:rPr>
                <w:noProof/>
                <w:sz w:val="20"/>
                <w:lang w:eastAsia="en-GB"/>
              </w:rPr>
              <w:t xml:space="preserve">No systematic appraisal of the quality of TB surveillance data. </w:t>
            </w:r>
          </w:p>
          <w:p w14:paraId="1EB8A1F2" w14:textId="77777777" w:rsidR="00FB1B76" w:rsidRPr="00AF37E1" w:rsidRDefault="00FB1B76" w:rsidP="00FB1B76">
            <w:pPr>
              <w:jc w:val="center"/>
              <w:rPr>
                <w:noProof/>
                <w:sz w:val="20"/>
                <w:lang w:eastAsia="en-GB"/>
              </w:rPr>
            </w:pPr>
            <w:r w:rsidRPr="00AF37E1">
              <w:rPr>
                <w:noProof/>
                <w:sz w:val="20"/>
                <w:lang w:eastAsia="en-GB"/>
              </w:rPr>
              <w:t>Unc</w:t>
            </w:r>
            <w:r>
              <w:rPr>
                <w:noProof/>
                <w:sz w:val="20"/>
                <w:lang w:eastAsia="en-GB"/>
              </w:rPr>
              <w:t>ertaint</w:t>
            </w:r>
            <w:r w:rsidRPr="00AF37E1">
              <w:rPr>
                <w:noProof/>
                <w:sz w:val="20"/>
                <w:lang w:eastAsia="en-GB"/>
              </w:rPr>
              <w:t>ies about the representativeness of cases included in MDR-TB treatment cohort.</w:t>
            </w:r>
          </w:p>
        </w:tc>
      </w:tr>
      <w:tr w:rsidR="00FB1B76" w:rsidRPr="00AF37E1" w14:paraId="13A11432" w14:textId="77777777" w:rsidTr="00FB1B76">
        <w:tc>
          <w:tcPr>
            <w:tcW w:w="2093" w:type="dxa"/>
            <w:shd w:val="clear" w:color="auto" w:fill="FF0000"/>
            <w:vAlign w:val="center"/>
          </w:tcPr>
          <w:p w14:paraId="50BE6B55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Financial Management</w:t>
            </w:r>
          </w:p>
        </w:tc>
        <w:tc>
          <w:tcPr>
            <w:tcW w:w="7149" w:type="dxa"/>
            <w:vAlign w:val="center"/>
          </w:tcPr>
          <w:p w14:paraId="342870B3" w14:textId="77777777" w:rsidR="00FB1B76" w:rsidRDefault="00FB1B76" w:rsidP="00FB1B76">
            <w:pPr>
              <w:jc w:val="center"/>
              <w:rPr>
                <w:noProof/>
                <w:sz w:val="20"/>
                <w:lang w:eastAsia="en-GB"/>
              </w:rPr>
            </w:pPr>
            <w:r w:rsidRPr="00AF37E1">
              <w:rPr>
                <w:noProof/>
                <w:sz w:val="20"/>
                <w:lang w:eastAsia="en-GB"/>
              </w:rPr>
              <w:t>Poor quality of audit reports</w:t>
            </w:r>
          </w:p>
          <w:p w14:paraId="0E784E2F" w14:textId="77777777" w:rsidR="00FB1B76" w:rsidRPr="00AF37E1" w:rsidRDefault="00FB1B76" w:rsidP="00FB1B76">
            <w:pPr>
              <w:jc w:val="center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Procurement</w:t>
            </w:r>
          </w:p>
          <w:p w14:paraId="385C1BAB" w14:textId="77777777" w:rsidR="00FB1B76" w:rsidRPr="00AF37E1" w:rsidRDefault="00FB1B76" w:rsidP="00FB1B76">
            <w:pPr>
              <w:jc w:val="center"/>
              <w:rPr>
                <w:noProof/>
                <w:sz w:val="20"/>
                <w:lang w:eastAsia="en-GB"/>
              </w:rPr>
            </w:pPr>
            <w:r w:rsidRPr="00AF37E1">
              <w:rPr>
                <w:noProof/>
                <w:sz w:val="20"/>
                <w:lang w:eastAsia="en-GB"/>
              </w:rPr>
              <w:t>No inventory of assets</w:t>
            </w:r>
          </w:p>
          <w:p w14:paraId="409E4A9C" w14:textId="77777777" w:rsidR="00FB1B76" w:rsidRPr="00AF37E1" w:rsidRDefault="00FB1B76" w:rsidP="00FB1B76">
            <w:pPr>
              <w:jc w:val="center"/>
              <w:rPr>
                <w:noProof/>
                <w:sz w:val="20"/>
                <w:lang w:eastAsia="en-GB"/>
              </w:rPr>
            </w:pPr>
            <w:r w:rsidRPr="00AF37E1">
              <w:rPr>
                <w:noProof/>
                <w:sz w:val="20"/>
                <w:lang w:eastAsia="en-GB"/>
              </w:rPr>
              <w:t>Accounting software not used to its full capacity</w:t>
            </w:r>
          </w:p>
        </w:tc>
      </w:tr>
      <w:tr w:rsidR="00FB1B76" w:rsidRPr="00AF37E1" w14:paraId="5EA7F6B0" w14:textId="77777777" w:rsidTr="00FB1B76">
        <w:tc>
          <w:tcPr>
            <w:tcW w:w="2093" w:type="dxa"/>
            <w:shd w:val="clear" w:color="auto" w:fill="FF0000"/>
            <w:vAlign w:val="center"/>
          </w:tcPr>
          <w:p w14:paraId="25908D9E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Pharmaceutical and Health Product Management</w:t>
            </w:r>
          </w:p>
        </w:tc>
        <w:tc>
          <w:tcPr>
            <w:tcW w:w="7149" w:type="dxa"/>
            <w:vAlign w:val="center"/>
          </w:tcPr>
          <w:p w14:paraId="3595BCDE" w14:textId="77777777" w:rsidR="00FB1B76" w:rsidRPr="00AF37E1" w:rsidRDefault="00FB1B76" w:rsidP="00FB1B76">
            <w:pPr>
              <w:jc w:val="center"/>
              <w:rPr>
                <w:noProof/>
                <w:sz w:val="20"/>
                <w:lang w:eastAsia="en-GB"/>
              </w:rPr>
            </w:pPr>
            <w:r w:rsidRPr="00AF37E1">
              <w:rPr>
                <w:noProof/>
                <w:sz w:val="20"/>
                <w:lang w:eastAsia="en-GB"/>
              </w:rPr>
              <w:t>Lack of transparency and compettiveness in procurement</w:t>
            </w:r>
          </w:p>
          <w:p w14:paraId="4C7B5BA7" w14:textId="77777777" w:rsidR="00FB1B76" w:rsidRPr="00AF37E1" w:rsidRDefault="00FB1B76" w:rsidP="00FB1B76">
            <w:pPr>
              <w:jc w:val="center"/>
              <w:rPr>
                <w:noProof/>
                <w:sz w:val="20"/>
                <w:lang w:eastAsia="en-GB"/>
              </w:rPr>
            </w:pPr>
            <w:r w:rsidRPr="00AF37E1">
              <w:rPr>
                <w:noProof/>
                <w:sz w:val="20"/>
                <w:lang w:eastAsia="en-GB"/>
              </w:rPr>
              <w:t>Value for Money at risk</w:t>
            </w:r>
          </w:p>
          <w:p w14:paraId="3377E8B1" w14:textId="77777777" w:rsidR="00FB1B76" w:rsidRPr="00AF37E1" w:rsidRDefault="00FB1B76" w:rsidP="00FB1B76">
            <w:pPr>
              <w:jc w:val="center"/>
              <w:rPr>
                <w:noProof/>
                <w:sz w:val="20"/>
                <w:lang w:eastAsia="en-GB"/>
              </w:rPr>
            </w:pPr>
            <w:r w:rsidRPr="00AF37E1">
              <w:rPr>
                <w:noProof/>
                <w:sz w:val="20"/>
                <w:lang w:eastAsia="en-GB"/>
              </w:rPr>
              <w:t xml:space="preserve">Lack of compliance with Kazak </w:t>
            </w:r>
            <w:r>
              <w:rPr>
                <w:noProof/>
                <w:sz w:val="20"/>
                <w:lang w:eastAsia="en-GB"/>
              </w:rPr>
              <w:t xml:space="preserve">procurement </w:t>
            </w:r>
            <w:r w:rsidRPr="00AF37E1">
              <w:rPr>
                <w:noProof/>
                <w:sz w:val="20"/>
                <w:lang w:eastAsia="en-GB"/>
              </w:rPr>
              <w:t>law, Grant agreement and Global Fund requirements</w:t>
            </w:r>
            <w:r>
              <w:rPr>
                <w:noProof/>
                <w:sz w:val="20"/>
                <w:lang w:eastAsia="en-GB"/>
              </w:rPr>
              <w:t xml:space="preserve"> and procurement guidelines</w:t>
            </w:r>
          </w:p>
          <w:p w14:paraId="1A268BAB" w14:textId="77777777" w:rsidR="00FB1B76" w:rsidRPr="00AF37E1" w:rsidRDefault="00FB1B76" w:rsidP="00FB1B76">
            <w:pPr>
              <w:jc w:val="center"/>
              <w:rPr>
                <w:noProof/>
                <w:sz w:val="20"/>
                <w:lang w:eastAsia="en-GB"/>
              </w:rPr>
            </w:pPr>
            <w:r w:rsidRPr="00AF37E1">
              <w:rPr>
                <w:noProof/>
                <w:sz w:val="20"/>
                <w:lang w:eastAsia="en-GB"/>
              </w:rPr>
              <w:t xml:space="preserve">Lack of </w:t>
            </w:r>
            <w:r>
              <w:rPr>
                <w:noProof/>
                <w:sz w:val="20"/>
                <w:lang w:eastAsia="en-GB"/>
              </w:rPr>
              <w:t xml:space="preserve">supplier performance </w:t>
            </w:r>
            <w:r w:rsidRPr="00AF37E1">
              <w:rPr>
                <w:noProof/>
                <w:sz w:val="20"/>
                <w:lang w:eastAsia="en-GB"/>
              </w:rPr>
              <w:t xml:space="preserve">management </w:t>
            </w:r>
          </w:p>
          <w:p w14:paraId="53C8EFE5" w14:textId="77777777" w:rsidR="00FB1B76" w:rsidRPr="00AF37E1" w:rsidRDefault="00FB1B76" w:rsidP="00FB1B76">
            <w:pPr>
              <w:jc w:val="center"/>
              <w:rPr>
                <w:noProof/>
                <w:sz w:val="20"/>
                <w:lang w:eastAsia="en-GB"/>
              </w:rPr>
            </w:pPr>
            <w:r w:rsidRPr="00AF37E1">
              <w:rPr>
                <w:noProof/>
                <w:sz w:val="20"/>
                <w:lang w:eastAsia="en-GB"/>
              </w:rPr>
              <w:t>Lack of management information system</w:t>
            </w:r>
            <w:r>
              <w:rPr>
                <w:noProof/>
                <w:sz w:val="20"/>
                <w:lang w:eastAsia="en-GB"/>
              </w:rPr>
              <w:t>s, esp. for health products</w:t>
            </w:r>
          </w:p>
        </w:tc>
      </w:tr>
      <w:tr w:rsidR="00FB1B76" w:rsidRPr="00AF37E1" w14:paraId="7A2058EF" w14:textId="77777777" w:rsidTr="00FB1B76">
        <w:tc>
          <w:tcPr>
            <w:tcW w:w="2093" w:type="dxa"/>
            <w:shd w:val="clear" w:color="auto" w:fill="FFFF00"/>
            <w:vAlign w:val="center"/>
          </w:tcPr>
          <w:p w14:paraId="6CAF9740" w14:textId="77777777" w:rsidR="00FB1B76" w:rsidRPr="00AF37E1" w:rsidRDefault="00FB1B76" w:rsidP="00FB1B76">
            <w:pPr>
              <w:jc w:val="center"/>
              <w:rPr>
                <w:sz w:val="20"/>
              </w:rPr>
            </w:pPr>
            <w:r w:rsidRPr="00AF37E1">
              <w:rPr>
                <w:sz w:val="20"/>
              </w:rPr>
              <w:t>Governance and Oversight</w:t>
            </w:r>
          </w:p>
        </w:tc>
        <w:tc>
          <w:tcPr>
            <w:tcW w:w="7149" w:type="dxa"/>
            <w:vAlign w:val="center"/>
          </w:tcPr>
          <w:p w14:paraId="274A5FDF" w14:textId="77777777" w:rsidR="00FB1B76" w:rsidRPr="00AF37E1" w:rsidRDefault="00FB1B76" w:rsidP="00FB1B76">
            <w:pPr>
              <w:jc w:val="center"/>
              <w:rPr>
                <w:noProof/>
                <w:sz w:val="20"/>
                <w:lang w:eastAsia="en-GB"/>
              </w:rPr>
            </w:pPr>
            <w:r w:rsidRPr="00AF37E1">
              <w:rPr>
                <w:noProof/>
                <w:sz w:val="20"/>
                <w:lang w:eastAsia="en-GB"/>
              </w:rPr>
              <w:t>Lack of reactivity, anticipation and flexibility from finance and procurement departement</w:t>
            </w:r>
          </w:p>
          <w:p w14:paraId="6B4CBDF5" w14:textId="77777777" w:rsidR="00FB1B76" w:rsidRPr="00AF37E1" w:rsidRDefault="00FB1B76" w:rsidP="00FB1B76">
            <w:pPr>
              <w:jc w:val="center"/>
              <w:rPr>
                <w:noProof/>
                <w:sz w:val="20"/>
                <w:lang w:eastAsia="en-GB"/>
              </w:rPr>
            </w:pPr>
            <w:r w:rsidRPr="00AF37E1">
              <w:rPr>
                <w:noProof/>
                <w:sz w:val="20"/>
                <w:lang w:eastAsia="en-GB"/>
              </w:rPr>
              <w:t>Poor quality of financial and programmatic reporting</w:t>
            </w:r>
          </w:p>
        </w:tc>
      </w:tr>
    </w:tbl>
    <w:p w14:paraId="4600CF78" w14:textId="77777777" w:rsidR="00FB1B76" w:rsidRPr="00AF37E1" w:rsidRDefault="00FB1B76" w:rsidP="00FB1B76">
      <w:pPr>
        <w:rPr>
          <w:noProof/>
          <w:sz w:val="20"/>
          <w:lang w:eastAsia="en-GB"/>
        </w:rPr>
      </w:pPr>
    </w:p>
    <w:p w14:paraId="2824182B" w14:textId="58F4C86D" w:rsidR="00FB1B76" w:rsidRDefault="00FB1B76" w:rsidP="00FB1B76">
      <w:pPr>
        <w:rPr>
          <w:noProof/>
          <w:sz w:val="20"/>
          <w:lang w:eastAsia="en-GB"/>
        </w:rPr>
      </w:pPr>
      <w:r w:rsidRPr="00AF37E1">
        <w:rPr>
          <w:noProof/>
          <w:sz w:val="20"/>
          <w:lang w:eastAsia="en-GB"/>
        </w:rPr>
        <w:t xml:space="preserve">Worth noticing that the grant is currently under investigation and that OIG investigation report </w:t>
      </w:r>
      <w:r w:rsidR="004B306A">
        <w:rPr>
          <w:noProof/>
          <w:sz w:val="20"/>
          <w:lang w:eastAsia="en-GB"/>
        </w:rPr>
        <w:t>with</w:t>
      </w:r>
      <w:r>
        <w:rPr>
          <w:noProof/>
          <w:sz w:val="20"/>
          <w:lang w:eastAsia="en-GB"/>
        </w:rPr>
        <w:t xml:space="preserve"> recommendations is</w:t>
      </w:r>
      <w:r w:rsidRPr="00AF37E1">
        <w:rPr>
          <w:noProof/>
          <w:sz w:val="20"/>
          <w:lang w:eastAsia="en-GB"/>
        </w:rPr>
        <w:t xml:space="preserve"> expected</w:t>
      </w:r>
      <w:r>
        <w:rPr>
          <w:noProof/>
          <w:sz w:val="20"/>
          <w:lang w:eastAsia="en-GB"/>
        </w:rPr>
        <w:t xml:space="preserve"> soon</w:t>
      </w:r>
      <w:r w:rsidRPr="00AF37E1">
        <w:rPr>
          <w:noProof/>
          <w:sz w:val="20"/>
          <w:lang w:eastAsia="en-GB"/>
        </w:rPr>
        <w:t>.</w:t>
      </w:r>
    </w:p>
    <w:p w14:paraId="04660793" w14:textId="77777777" w:rsidR="00F109F7" w:rsidRPr="00AF37E1" w:rsidRDefault="00F109F7" w:rsidP="00FB1B76">
      <w:pPr>
        <w:rPr>
          <w:noProof/>
          <w:sz w:val="20"/>
          <w:lang w:eastAsia="en-GB"/>
        </w:rPr>
      </w:pPr>
    </w:p>
    <w:p w14:paraId="5FECFC10" w14:textId="529F3912" w:rsidR="00FB1B76" w:rsidRPr="00AF37E1" w:rsidRDefault="006D0C79" w:rsidP="006D0C79">
      <w:pPr>
        <w:rPr>
          <w:b/>
          <w:noProof/>
          <w:sz w:val="20"/>
          <w:lang w:eastAsia="en-GB"/>
        </w:rPr>
      </w:pPr>
      <w:r>
        <w:rPr>
          <w:b/>
          <w:noProof/>
          <w:sz w:val="20"/>
          <w:lang w:eastAsia="en-GB"/>
        </w:rPr>
        <w:lastRenderedPageBreak/>
        <w:t xml:space="preserve">5. Final </w:t>
      </w:r>
      <w:r w:rsidR="00FB1B76" w:rsidRPr="00AF37E1">
        <w:rPr>
          <w:b/>
          <w:noProof/>
          <w:sz w:val="20"/>
          <w:lang w:eastAsia="en-GB"/>
        </w:rPr>
        <w:t>Grant rating</w:t>
      </w:r>
      <w:r w:rsidR="0083362C">
        <w:rPr>
          <w:b/>
          <w:noProof/>
          <w:sz w:val="20"/>
          <w:lang w:eastAsia="en-GB"/>
        </w:rPr>
        <w:t xml:space="preserve"> </w:t>
      </w:r>
      <w:r w:rsidR="0083362C">
        <w:rPr>
          <w:rFonts w:cs="Arial"/>
          <w:b/>
          <w:sz w:val="20"/>
        </w:rPr>
        <w:t>KAZ-809-G04-T</w:t>
      </w:r>
    </w:p>
    <w:p w14:paraId="218EE85A" w14:textId="77777777" w:rsidR="00FB1B76" w:rsidRPr="00AF37E1" w:rsidRDefault="00FB1B76" w:rsidP="00FB1B76">
      <w:pPr>
        <w:rPr>
          <w:noProof/>
          <w:sz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B1B76" w:rsidRPr="00AF37E1" w14:paraId="2AE2AB86" w14:textId="77777777" w:rsidTr="00FB1B76">
        <w:tc>
          <w:tcPr>
            <w:tcW w:w="3080" w:type="dxa"/>
            <w:vAlign w:val="center"/>
          </w:tcPr>
          <w:p w14:paraId="027485D0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2011</w:t>
            </w:r>
          </w:p>
        </w:tc>
        <w:tc>
          <w:tcPr>
            <w:tcW w:w="6162" w:type="dxa"/>
            <w:gridSpan w:val="2"/>
            <w:vAlign w:val="center"/>
          </w:tcPr>
          <w:p w14:paraId="4B3E2A1E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2012</w:t>
            </w:r>
          </w:p>
        </w:tc>
      </w:tr>
      <w:tr w:rsidR="00FB1B76" w:rsidRPr="00AF37E1" w14:paraId="7EF74EF9" w14:textId="77777777" w:rsidTr="00FB1B76">
        <w:tc>
          <w:tcPr>
            <w:tcW w:w="3080" w:type="dxa"/>
            <w:vAlign w:val="center"/>
          </w:tcPr>
          <w:p w14:paraId="54DB105D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1 July – 31 December</w:t>
            </w:r>
          </w:p>
        </w:tc>
        <w:tc>
          <w:tcPr>
            <w:tcW w:w="3081" w:type="dxa"/>
            <w:vAlign w:val="center"/>
          </w:tcPr>
          <w:p w14:paraId="730FB412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1 January – 30 June</w:t>
            </w:r>
          </w:p>
        </w:tc>
        <w:tc>
          <w:tcPr>
            <w:tcW w:w="3081" w:type="dxa"/>
            <w:vAlign w:val="center"/>
          </w:tcPr>
          <w:p w14:paraId="3C7C1325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1 July – 31 December</w:t>
            </w:r>
          </w:p>
        </w:tc>
      </w:tr>
      <w:tr w:rsidR="00FB1B76" w:rsidRPr="00AF37E1" w14:paraId="238BB6B6" w14:textId="77777777" w:rsidTr="00FB1B76">
        <w:tc>
          <w:tcPr>
            <w:tcW w:w="3080" w:type="dxa"/>
            <w:shd w:val="clear" w:color="auto" w:fill="FFFF00"/>
            <w:vAlign w:val="center"/>
          </w:tcPr>
          <w:p w14:paraId="709DB32B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B1</w:t>
            </w:r>
          </w:p>
        </w:tc>
        <w:tc>
          <w:tcPr>
            <w:tcW w:w="3081" w:type="dxa"/>
            <w:shd w:val="clear" w:color="auto" w:fill="FFFF00"/>
            <w:vAlign w:val="center"/>
          </w:tcPr>
          <w:p w14:paraId="6CEF7D77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B1</w:t>
            </w:r>
          </w:p>
        </w:tc>
        <w:tc>
          <w:tcPr>
            <w:tcW w:w="3081" w:type="dxa"/>
            <w:shd w:val="clear" w:color="auto" w:fill="FFFF00"/>
            <w:vAlign w:val="center"/>
          </w:tcPr>
          <w:p w14:paraId="3AAD4062" w14:textId="77777777" w:rsidR="00FB1B76" w:rsidRPr="00AF37E1" w:rsidRDefault="00FB1B76" w:rsidP="00FB1B76">
            <w:pPr>
              <w:jc w:val="center"/>
              <w:rPr>
                <w:rFonts w:cs="Arial"/>
                <w:sz w:val="20"/>
              </w:rPr>
            </w:pPr>
            <w:r w:rsidRPr="00AF37E1">
              <w:rPr>
                <w:rFonts w:cs="Arial"/>
                <w:sz w:val="20"/>
              </w:rPr>
              <w:t>B1</w:t>
            </w:r>
          </w:p>
        </w:tc>
      </w:tr>
    </w:tbl>
    <w:p w14:paraId="48BA56C7" w14:textId="77777777" w:rsidR="005C347E" w:rsidRDefault="005C347E" w:rsidP="00FB1B76">
      <w:pPr>
        <w:rPr>
          <w:sz w:val="20"/>
        </w:rPr>
      </w:pPr>
    </w:p>
    <w:p w14:paraId="2F9FFF0A" w14:textId="77777777" w:rsidR="005C347E" w:rsidRDefault="005C347E" w:rsidP="00FB1B76">
      <w:pPr>
        <w:rPr>
          <w:sz w:val="20"/>
        </w:rPr>
      </w:pPr>
    </w:p>
    <w:p w14:paraId="27DA96B0" w14:textId="74354B09" w:rsidR="00FB1B76" w:rsidRDefault="006D0C79" w:rsidP="006D0C79">
      <w:pPr>
        <w:jc w:val="center"/>
        <w:rPr>
          <w:rFonts w:eastAsia="Adobe Fangsong Std R" w:cs="Aparajita"/>
          <w:b/>
          <w:color w:val="000000" w:themeColor="text1"/>
          <w:sz w:val="20"/>
          <w:szCs w:val="20"/>
        </w:rPr>
      </w:pPr>
      <w:r w:rsidRPr="00F109F7">
        <w:rPr>
          <w:rFonts w:eastAsia="Adobe Fangsong Std R" w:cs="Aparajita"/>
          <w:b/>
          <w:color w:val="000000" w:themeColor="text1"/>
          <w:sz w:val="20"/>
          <w:szCs w:val="20"/>
        </w:rPr>
        <w:t>Annexe</w:t>
      </w:r>
    </w:p>
    <w:p w14:paraId="6CCF43B2" w14:textId="77777777" w:rsidR="005C347E" w:rsidRPr="00F109F7" w:rsidRDefault="005C347E" w:rsidP="006D0C79">
      <w:pPr>
        <w:jc w:val="center"/>
        <w:rPr>
          <w:rFonts w:eastAsia="Adobe Fangsong Std R" w:cs="Aparajita"/>
          <w:b/>
          <w:color w:val="000000" w:themeColor="text1"/>
          <w:sz w:val="20"/>
          <w:szCs w:val="20"/>
        </w:rPr>
      </w:pPr>
    </w:p>
    <w:p w14:paraId="252B162E" w14:textId="77777777" w:rsidR="005C347E" w:rsidRPr="005C347E" w:rsidRDefault="005C347E" w:rsidP="005C347E">
      <w:pPr>
        <w:jc w:val="center"/>
        <w:rPr>
          <w:rFonts w:eastAsia="Adobe Fangsong Std R" w:cs="Aparajita"/>
          <w:b/>
          <w:sz w:val="20"/>
          <w:szCs w:val="20"/>
        </w:rPr>
      </w:pPr>
      <w:r w:rsidRPr="005C347E">
        <w:rPr>
          <w:rFonts w:eastAsia="Adobe Fangsong Std R" w:cs="Aparajita"/>
          <w:b/>
          <w:sz w:val="20"/>
          <w:szCs w:val="20"/>
        </w:rPr>
        <w:t>Kazakhstan – TB Program</w:t>
      </w:r>
    </w:p>
    <w:p w14:paraId="00FEB6A3" w14:textId="77777777" w:rsidR="005C347E" w:rsidRPr="00D23A32" w:rsidRDefault="005C347E" w:rsidP="005C347E">
      <w:pPr>
        <w:rPr>
          <w:rFonts w:ascii="Aparajita" w:eastAsia="Adobe Fangsong Std R" w:hAnsi="Aparajita" w:cs="Aparajita"/>
          <w:color w:val="002060"/>
          <w:sz w:val="20"/>
          <w:szCs w:val="20"/>
        </w:rPr>
      </w:pPr>
      <w:r w:rsidRPr="00D23A32">
        <w:rPr>
          <w:rFonts w:ascii="Aparajita" w:eastAsia="Adobe Fangsong Std R" w:hAnsi="Aparajita" w:cs="Aparajita"/>
          <w:color w:val="002060"/>
          <w:sz w:val="20"/>
          <w:szCs w:val="20"/>
        </w:rPr>
        <w:tab/>
      </w:r>
      <w:r w:rsidRPr="00D23A32">
        <w:rPr>
          <w:rFonts w:ascii="Aparajita" w:eastAsia="Adobe Fangsong Std R" w:hAnsi="Aparajita" w:cs="Aparajita"/>
          <w:color w:val="002060"/>
          <w:sz w:val="20"/>
          <w:szCs w:val="20"/>
        </w:rPr>
        <w:tab/>
      </w:r>
      <w:r w:rsidRPr="00D23A32">
        <w:rPr>
          <w:rFonts w:ascii="Aparajita" w:eastAsia="Adobe Fangsong Std R" w:hAnsi="Aparajita" w:cs="Aparajita"/>
          <w:color w:val="002060"/>
          <w:sz w:val="20"/>
          <w:szCs w:val="20"/>
        </w:rPr>
        <w:tab/>
      </w:r>
      <w:r w:rsidRPr="00D23A32">
        <w:rPr>
          <w:rFonts w:ascii="Aparajita" w:eastAsia="Adobe Fangsong Std R" w:hAnsi="Aparajita" w:cs="Aparajita"/>
          <w:color w:val="002060"/>
          <w:sz w:val="20"/>
          <w:szCs w:val="20"/>
        </w:rPr>
        <w:tab/>
      </w:r>
      <w:r w:rsidRPr="00D23A32">
        <w:rPr>
          <w:rFonts w:ascii="Aparajita" w:eastAsia="Adobe Fangsong Std R" w:hAnsi="Aparajita" w:cs="Aparajita"/>
          <w:color w:val="002060"/>
          <w:sz w:val="20"/>
          <w:szCs w:val="20"/>
        </w:rPr>
        <w:tab/>
      </w:r>
      <w:r w:rsidRPr="00D23A32">
        <w:rPr>
          <w:rFonts w:ascii="Aparajita" w:eastAsia="Adobe Fangsong Std R" w:hAnsi="Aparajita" w:cs="Aparajita"/>
          <w:color w:val="002060"/>
          <w:sz w:val="20"/>
          <w:szCs w:val="20"/>
        </w:rPr>
        <w:tab/>
        <w:t xml:space="preserve">           </w:t>
      </w:r>
      <w:r w:rsidRPr="00D23A32">
        <w:rPr>
          <w:rFonts w:ascii="Aparajita" w:eastAsia="Adobe Fangsong Std R" w:hAnsi="Aparajita" w:cs="Aparajita"/>
          <w:color w:val="002060"/>
          <w:sz w:val="20"/>
          <w:szCs w:val="20"/>
        </w:rPr>
        <w:tab/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5C347E" w:rsidRPr="005C347E" w14:paraId="5E1F5DCC" w14:textId="77777777" w:rsidTr="00213F29">
        <w:tc>
          <w:tcPr>
            <w:tcW w:w="4661" w:type="dxa"/>
            <w:tcBorders>
              <w:bottom w:val="dotted" w:sz="4" w:space="0" w:color="auto"/>
            </w:tcBorders>
            <w:shd w:val="clear" w:color="auto" w:fill="auto"/>
          </w:tcPr>
          <w:p w14:paraId="46B1291C" w14:textId="77777777" w:rsidR="005C347E" w:rsidRPr="005C347E" w:rsidRDefault="005C347E" w:rsidP="00213F29">
            <w:pPr>
              <w:rPr>
                <w:rFonts w:ascii="Adobe Fangsong Std R" w:eastAsia="Adobe Fangsong Std R" w:hAnsi="Adobe Fangsong Std R" w:cs="Aparajita"/>
                <w:b/>
                <w:sz w:val="20"/>
                <w:szCs w:val="20"/>
              </w:rPr>
            </w:pPr>
            <w:r w:rsidRPr="005C347E">
              <w:rPr>
                <w:rFonts w:ascii="Aparajita" w:eastAsia="Adobe Fangsong Std R" w:hAnsi="Aparajita" w:cs="Aparajita"/>
                <w:sz w:val="20"/>
                <w:szCs w:val="20"/>
              </w:rPr>
              <w:t>Upper middle income country</w:t>
            </w:r>
          </w:p>
        </w:tc>
        <w:tc>
          <w:tcPr>
            <w:tcW w:w="4661" w:type="dxa"/>
            <w:tcBorders>
              <w:bottom w:val="dotted" w:sz="4" w:space="0" w:color="auto"/>
            </w:tcBorders>
            <w:shd w:val="clear" w:color="auto" w:fill="auto"/>
          </w:tcPr>
          <w:p w14:paraId="15830339" w14:textId="77777777" w:rsidR="005C347E" w:rsidRPr="005C347E" w:rsidRDefault="005C347E" w:rsidP="00213F29">
            <w:pPr>
              <w:jc w:val="right"/>
              <w:rPr>
                <w:rFonts w:ascii="Adobe Fangsong Std R" w:eastAsia="Adobe Fangsong Std R" w:hAnsi="Adobe Fangsong Std R" w:cs="Aparajita"/>
                <w:b/>
                <w:sz w:val="20"/>
                <w:szCs w:val="20"/>
              </w:rPr>
            </w:pPr>
            <w:r w:rsidRPr="005C347E">
              <w:rPr>
                <w:rFonts w:ascii="Aparajita" w:eastAsia="Adobe Fangsong Std R" w:hAnsi="Aparajita" w:cs="Aparajita"/>
                <w:sz w:val="20"/>
                <w:szCs w:val="20"/>
              </w:rPr>
              <w:t xml:space="preserve"> High MDR-TB burden country</w:t>
            </w:r>
          </w:p>
        </w:tc>
      </w:tr>
      <w:tr w:rsidR="005C347E" w:rsidRPr="005C347E" w14:paraId="6104B333" w14:textId="77777777" w:rsidTr="00213F29">
        <w:tc>
          <w:tcPr>
            <w:tcW w:w="93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745E4EDF" w14:textId="77777777" w:rsidR="005C347E" w:rsidRPr="005C347E" w:rsidRDefault="005C347E" w:rsidP="00213F29">
            <w:pPr>
              <w:rPr>
                <w:rFonts w:ascii="Adobe Fangsong Std R" w:eastAsia="Adobe Fangsong Std R" w:hAnsi="Adobe Fangsong Std R" w:cs="Aparajita"/>
                <w:b/>
                <w:sz w:val="20"/>
                <w:szCs w:val="20"/>
              </w:rPr>
            </w:pPr>
            <w:r w:rsidRPr="005C347E">
              <w:rPr>
                <w:rFonts w:ascii="Adobe Fangsong Std R" w:eastAsia="Adobe Fangsong Std R" w:hAnsi="Adobe Fangsong Std R" w:cs="Aparajita"/>
                <w:b/>
                <w:sz w:val="20"/>
                <w:szCs w:val="20"/>
              </w:rPr>
              <w:t>1. Context</w:t>
            </w:r>
          </w:p>
        </w:tc>
      </w:tr>
      <w:tr w:rsidR="005C347E" w:rsidRPr="005C347E" w14:paraId="0FFE6160" w14:textId="77777777" w:rsidTr="00213F29">
        <w:tc>
          <w:tcPr>
            <w:tcW w:w="93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8597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8"/>
              <w:gridCol w:w="733"/>
              <w:gridCol w:w="1252"/>
              <w:gridCol w:w="1084"/>
            </w:tblGrid>
            <w:tr w:rsidR="005C347E" w:rsidRPr="005C347E" w14:paraId="51D5DB99" w14:textId="77777777" w:rsidTr="00213F29">
              <w:tc>
                <w:tcPr>
                  <w:tcW w:w="6261" w:type="dxa"/>
                  <w:gridSpan w:val="2"/>
                  <w:tcBorders>
                    <w:bottom w:val="dotted" w:sz="4" w:space="0" w:color="auto"/>
                  </w:tcBorders>
                </w:tcPr>
                <w:p w14:paraId="0C5BA4D7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tcBorders>
                    <w:bottom w:val="dotted" w:sz="4" w:space="0" w:color="auto"/>
                  </w:tcBorders>
                </w:tcPr>
                <w:p w14:paraId="32CF8281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16"/>
                      <w:szCs w:val="16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16"/>
                      <w:szCs w:val="16"/>
                    </w:rPr>
                    <w:t>Figure</w:t>
                  </w:r>
                </w:p>
              </w:tc>
              <w:tc>
                <w:tcPr>
                  <w:tcW w:w="1084" w:type="dxa"/>
                  <w:tcBorders>
                    <w:bottom w:val="dotted" w:sz="4" w:space="0" w:color="auto"/>
                  </w:tcBorders>
                </w:tcPr>
                <w:p w14:paraId="5DCE63C1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16"/>
                      <w:szCs w:val="16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16"/>
                      <w:szCs w:val="16"/>
                    </w:rPr>
                    <w:t>Year</w:t>
                  </w:r>
                </w:p>
              </w:tc>
            </w:tr>
            <w:tr w:rsidR="005C347E" w:rsidRPr="005C347E" w14:paraId="7E51D3D1" w14:textId="77777777" w:rsidTr="00213F29"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56596C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Total population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B139BC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16 million</w:t>
                  </w:r>
                </w:p>
              </w:tc>
              <w:tc>
                <w:tcPr>
                  <w:tcW w:w="10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00AF4C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2011</w:t>
                  </w:r>
                </w:p>
              </w:tc>
            </w:tr>
            <w:tr w:rsidR="005C347E" w:rsidRPr="005C347E" w14:paraId="546A0714" w14:textId="77777777" w:rsidTr="00213F29"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37F7A2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TB mortality (excludes  HIV+TB)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23BB53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2,200 (14 per 100, 000)</w:t>
                  </w:r>
                </w:p>
              </w:tc>
              <w:tc>
                <w:tcPr>
                  <w:tcW w:w="10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FD61ED6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2011</w:t>
                  </w:r>
                </w:p>
              </w:tc>
            </w:tr>
            <w:tr w:rsidR="005C347E" w:rsidRPr="005C347E" w14:paraId="13107104" w14:textId="77777777" w:rsidTr="00213F29"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9E768B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 xml:space="preserve">TB prevalence (includes HIV+TB)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3651AB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27,000 (168 per 100,000)</w:t>
                  </w:r>
                </w:p>
              </w:tc>
              <w:tc>
                <w:tcPr>
                  <w:tcW w:w="10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E7D62F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2011</w:t>
                  </w:r>
                </w:p>
              </w:tc>
            </w:tr>
            <w:tr w:rsidR="005C347E" w:rsidRPr="005C347E" w14:paraId="24B6266C" w14:textId="77777777" w:rsidTr="00213F29"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CC52CF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Incidence (includes HIV+TB)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191D46C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21,000 (129 per 100,000)</w:t>
                  </w:r>
                </w:p>
              </w:tc>
              <w:tc>
                <w:tcPr>
                  <w:tcW w:w="10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8F0B6C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2011</w:t>
                  </w:r>
                </w:p>
              </w:tc>
            </w:tr>
            <w:tr w:rsidR="005C347E" w:rsidRPr="005C347E" w14:paraId="268543A8" w14:textId="77777777" w:rsidTr="00213F29"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ECBE32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 xml:space="preserve">HIV/TB co-infection, incidence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497082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330 (2 per 100,000)</w:t>
                  </w:r>
                </w:p>
              </w:tc>
              <w:tc>
                <w:tcPr>
                  <w:tcW w:w="10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76E1E18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2011</w:t>
                  </w:r>
                </w:p>
              </w:tc>
            </w:tr>
            <w:tr w:rsidR="005C347E" w:rsidRPr="005C347E" w14:paraId="41E86C7F" w14:textId="77777777" w:rsidTr="00213F29"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813BB4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Case detection, all forms (%)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DC40A8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92%</w:t>
                  </w:r>
                </w:p>
              </w:tc>
              <w:tc>
                <w:tcPr>
                  <w:tcW w:w="10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A945D2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2011</w:t>
                  </w:r>
                </w:p>
              </w:tc>
            </w:tr>
            <w:tr w:rsidR="005C347E" w:rsidRPr="005C347E" w14:paraId="3818ACC4" w14:textId="77777777" w:rsidTr="00213F29"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970A7F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TB cases with MDR-TB: New (%)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97A731F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30%</w:t>
                  </w:r>
                </w:p>
              </w:tc>
              <w:tc>
                <w:tcPr>
                  <w:tcW w:w="10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9F1C98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2011</w:t>
                  </w:r>
                </w:p>
              </w:tc>
            </w:tr>
            <w:tr w:rsidR="005C347E" w:rsidRPr="005C347E" w14:paraId="4FAA28E8" w14:textId="77777777" w:rsidTr="00213F29"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A8A1DD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TB cases with MDR-TB: Retreatment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15659C6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51%</w:t>
                  </w:r>
                </w:p>
              </w:tc>
              <w:tc>
                <w:tcPr>
                  <w:tcW w:w="10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BEED7F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2011</w:t>
                  </w:r>
                </w:p>
              </w:tc>
            </w:tr>
            <w:tr w:rsidR="005C347E" w:rsidRPr="005C347E" w14:paraId="39787FFF" w14:textId="77777777" w:rsidTr="00213F29"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F02B37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Treatment success rate (new smear + or culture positive)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B6BC24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61%</w:t>
                  </w:r>
                </w:p>
              </w:tc>
              <w:tc>
                <w:tcPr>
                  <w:tcW w:w="10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5C7EC8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2010</w:t>
                  </w:r>
                </w:p>
              </w:tc>
            </w:tr>
            <w:tr w:rsidR="005C347E" w:rsidRPr="005C347E" w14:paraId="5110CDB8" w14:textId="77777777" w:rsidTr="00213F29"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D31C19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Rank in TB mortality (in absolute number)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E9C957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0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DDFBC7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2011</w:t>
                  </w:r>
                </w:p>
              </w:tc>
            </w:tr>
            <w:tr w:rsidR="005C347E" w:rsidRPr="005C347E" w14:paraId="1A0B4C7C" w14:textId="77777777" w:rsidTr="00213F29"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B0F02D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Rank in TB mortality (per 100,000)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FAAA23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0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5DFEF7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2011</w:t>
                  </w:r>
                </w:p>
              </w:tc>
            </w:tr>
          </w:tbl>
          <w:p w14:paraId="3E81E32D" w14:textId="77777777" w:rsidR="005C347E" w:rsidRPr="005C347E" w:rsidRDefault="005C347E" w:rsidP="00213F29"/>
          <w:tbl>
            <w:tblPr>
              <w:tblStyle w:val="TableGrid"/>
              <w:tblW w:w="8597" w:type="dxa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13"/>
              <w:gridCol w:w="1084"/>
            </w:tblGrid>
            <w:tr w:rsidR="005C347E" w:rsidRPr="005C347E" w14:paraId="7053BE91" w14:textId="77777777" w:rsidTr="00213F29">
              <w:tc>
                <w:tcPr>
                  <w:tcW w:w="75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7F4FCAF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Global Fund (GF) TB disbursement (cumulative, up to October 2012)</w:t>
                  </w:r>
                </w:p>
              </w:tc>
              <w:tc>
                <w:tcPr>
                  <w:tcW w:w="10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8E760E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$54 million</w:t>
                  </w:r>
                </w:p>
              </w:tc>
            </w:tr>
            <w:tr w:rsidR="005C347E" w:rsidRPr="005C347E" w14:paraId="2A5A966C" w14:textId="77777777" w:rsidTr="00213F29">
              <w:tc>
                <w:tcPr>
                  <w:tcW w:w="75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C2A574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Rank in GF TB disbursement across all years</w:t>
                  </w:r>
                </w:p>
              </w:tc>
              <w:tc>
                <w:tcPr>
                  <w:tcW w:w="10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5238D1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14</w:t>
                  </w:r>
                </w:p>
              </w:tc>
            </w:tr>
            <w:tr w:rsidR="005C347E" w:rsidRPr="005C347E" w14:paraId="60A8F0EA" w14:textId="77777777" w:rsidTr="00213F29">
              <w:tc>
                <w:tcPr>
                  <w:tcW w:w="75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4987AC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Rank in GF TB disbursement across all years, per estimated average number of new TB cases across same years</w:t>
                  </w:r>
                </w:p>
              </w:tc>
              <w:tc>
                <w:tcPr>
                  <w:tcW w:w="10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E6B48A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38</w:t>
                  </w:r>
                </w:p>
              </w:tc>
            </w:tr>
            <w:tr w:rsidR="005C347E" w:rsidRPr="005C347E" w14:paraId="35BC0CD9" w14:textId="77777777" w:rsidTr="00213F29">
              <w:tc>
                <w:tcPr>
                  <w:tcW w:w="75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2F3898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proofErr w:type="spellStart"/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Percent</w:t>
                  </w:r>
                  <w:proofErr w:type="spellEnd"/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 xml:space="preserve"> share of this country out of total GF TB disbursement across all years</w:t>
                  </w:r>
                </w:p>
              </w:tc>
              <w:tc>
                <w:tcPr>
                  <w:tcW w:w="10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9AF529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1.8%</w:t>
                  </w:r>
                </w:p>
              </w:tc>
            </w:tr>
            <w:tr w:rsidR="005C347E" w:rsidRPr="005C347E" w14:paraId="1BC2EDC2" w14:textId="77777777" w:rsidTr="00213F29">
              <w:tc>
                <w:tcPr>
                  <w:tcW w:w="75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45AA57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proofErr w:type="spellStart"/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Percent</w:t>
                  </w:r>
                  <w:proofErr w:type="spellEnd"/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 xml:space="preserve"> share of this country out of total estimated number of TB deaths across all countries</w:t>
                  </w:r>
                </w:p>
              </w:tc>
              <w:tc>
                <w:tcPr>
                  <w:tcW w:w="10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DA4865A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20"/>
                      <w:szCs w:val="20"/>
                    </w:rPr>
                    <w:t>0.2%</w:t>
                  </w:r>
                </w:p>
              </w:tc>
            </w:tr>
            <w:tr w:rsidR="005C347E" w:rsidRPr="005C347E" w14:paraId="37E582AE" w14:textId="77777777" w:rsidTr="00213F29">
              <w:tc>
                <w:tcPr>
                  <w:tcW w:w="8597" w:type="dxa"/>
                  <w:gridSpan w:val="2"/>
                  <w:vAlign w:val="center"/>
                </w:tcPr>
                <w:p w14:paraId="2027F4C2" w14:textId="77777777" w:rsidR="005C347E" w:rsidRPr="005C347E" w:rsidRDefault="005C347E" w:rsidP="00213F29">
                  <w:pPr>
                    <w:rPr>
                      <w:rFonts w:ascii="Aparajita" w:eastAsia="Adobe Fangsong Std R" w:hAnsi="Aparajita" w:cs="Aparajita"/>
                      <w:sz w:val="16"/>
                      <w:szCs w:val="16"/>
                    </w:rPr>
                  </w:pPr>
                  <w:r w:rsidRPr="005C347E">
                    <w:rPr>
                      <w:rFonts w:ascii="Aparajita" w:eastAsia="Adobe Fangsong Std R" w:hAnsi="Aparajita" w:cs="Aparajita"/>
                      <w:sz w:val="16"/>
                      <w:szCs w:val="16"/>
                    </w:rPr>
                    <w:t>Sources:  Global TB report and GMS</w:t>
                  </w:r>
                </w:p>
              </w:tc>
            </w:tr>
          </w:tbl>
          <w:p w14:paraId="7AD31CA2" w14:textId="77777777" w:rsidR="005C347E" w:rsidRPr="005C347E" w:rsidRDefault="005C347E" w:rsidP="00213F29">
            <w:pPr>
              <w:pStyle w:val="ListParagraph"/>
              <w:ind w:left="0"/>
              <w:rPr>
                <w:rFonts w:ascii="Aparajita" w:hAnsi="Aparajita" w:cs="Aparajita"/>
                <w:noProof/>
                <w:sz w:val="16"/>
                <w:szCs w:val="16"/>
              </w:rPr>
            </w:pPr>
          </w:p>
        </w:tc>
      </w:tr>
    </w:tbl>
    <w:p w14:paraId="2CEA505B" w14:textId="77777777" w:rsidR="005C347E" w:rsidRPr="005C347E" w:rsidRDefault="005C347E" w:rsidP="005C347E"/>
    <w:p w14:paraId="34197A8B" w14:textId="77777777" w:rsidR="005C347E" w:rsidRPr="005C347E" w:rsidRDefault="005C347E" w:rsidP="005C347E">
      <w:pPr>
        <w:spacing w:after="200" w:line="276" w:lineRule="auto"/>
        <w:rPr>
          <w:rFonts w:ascii="Aparajita" w:hAnsi="Aparajita" w:cs="Aparajita"/>
          <w:i/>
          <w:sz w:val="18"/>
          <w:szCs w:val="18"/>
        </w:rPr>
      </w:pPr>
    </w:p>
    <w:p w14:paraId="507EE4E9" w14:textId="77777777" w:rsidR="005C347E" w:rsidRPr="005C347E" w:rsidRDefault="005C347E" w:rsidP="005C347E">
      <w:pPr>
        <w:spacing w:after="200" w:line="276" w:lineRule="auto"/>
        <w:rPr>
          <w:rFonts w:ascii="Aparajita" w:hAnsi="Aparajita" w:cs="Aparajita"/>
          <w:i/>
          <w:sz w:val="18"/>
          <w:szCs w:val="18"/>
        </w:rPr>
      </w:pPr>
      <w:r w:rsidRPr="005C347E">
        <w:rPr>
          <w:rFonts w:ascii="Aparajita" w:hAnsi="Aparajita" w:cs="Aparajita"/>
          <w:i/>
          <w:sz w:val="18"/>
          <w:szCs w:val="18"/>
        </w:rPr>
        <w:br w:type="page"/>
      </w:r>
    </w:p>
    <w:p w14:paraId="2F20A440" w14:textId="77777777" w:rsidR="005C347E" w:rsidRPr="005C347E" w:rsidRDefault="005C347E" w:rsidP="005C347E"/>
    <w:tbl>
      <w:tblPr>
        <w:tblStyle w:val="TableGrid2"/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4838"/>
      </w:tblGrid>
      <w:tr w:rsidR="005C347E" w:rsidRPr="005C347E" w14:paraId="38B2C311" w14:textId="77777777" w:rsidTr="00213F29">
        <w:tc>
          <w:tcPr>
            <w:tcW w:w="9322" w:type="dxa"/>
            <w:gridSpan w:val="2"/>
            <w:shd w:val="clear" w:color="auto" w:fill="C6D9F1" w:themeFill="text2" w:themeFillTint="33"/>
          </w:tcPr>
          <w:p w14:paraId="1249EA6B" w14:textId="77777777" w:rsidR="005C347E" w:rsidRPr="005C347E" w:rsidRDefault="005C347E" w:rsidP="00213F29">
            <w:pPr>
              <w:rPr>
                <w:rFonts w:ascii="Adobe Fangsong Std R" w:eastAsia="Adobe Fangsong Std R" w:hAnsi="Adobe Fangsong Std R" w:cs="Aparajita"/>
                <w:b/>
                <w:sz w:val="20"/>
                <w:szCs w:val="20"/>
              </w:rPr>
            </w:pPr>
            <w:r w:rsidRPr="005C347E">
              <w:rPr>
                <w:rFonts w:ascii="Adobe Fangsong Std R" w:eastAsia="Adobe Fangsong Std R" w:hAnsi="Adobe Fangsong Std R" w:cs="Aparajita"/>
                <w:b/>
                <w:sz w:val="20"/>
                <w:szCs w:val="20"/>
              </w:rPr>
              <w:t>2. Impact profile</w:t>
            </w:r>
          </w:p>
        </w:tc>
      </w:tr>
      <w:tr w:rsidR="005C347E" w:rsidRPr="005C347E" w14:paraId="356EC4DE" w14:textId="77777777" w:rsidTr="00213F29">
        <w:tc>
          <w:tcPr>
            <w:tcW w:w="932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CF245DB" w14:textId="77777777" w:rsidR="005C347E" w:rsidRPr="005C347E" w:rsidRDefault="005C347E" w:rsidP="00213F29">
            <w:pPr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</w:tr>
      <w:tr w:rsidR="005C347E" w:rsidRPr="005C347E" w14:paraId="69480081" w14:textId="77777777" w:rsidTr="00213F29">
        <w:tc>
          <w:tcPr>
            <w:tcW w:w="4484" w:type="dxa"/>
            <w:tcBorders>
              <w:bottom w:val="dotted" w:sz="4" w:space="0" w:color="auto"/>
            </w:tcBorders>
            <w:shd w:val="clear" w:color="auto" w:fill="C6D9F1" w:themeFill="text2" w:themeFillTint="33"/>
          </w:tcPr>
          <w:p w14:paraId="7583381C" w14:textId="77777777" w:rsidR="005C347E" w:rsidRPr="005C347E" w:rsidRDefault="005C347E" w:rsidP="00213F29">
            <w:pPr>
              <w:rPr>
                <w:rFonts w:ascii="Adobe Fangsong Std R" w:eastAsia="Adobe Fangsong Std R" w:hAnsi="Adobe Fangsong Std R" w:cs="Aparajita"/>
                <w:b/>
                <w:sz w:val="20"/>
                <w:szCs w:val="20"/>
              </w:rPr>
            </w:pPr>
            <w:r w:rsidRPr="005C347E">
              <w:rPr>
                <w:rFonts w:ascii="Adobe Fangsong Std R" w:eastAsia="Adobe Fangsong Std R" w:hAnsi="Adobe Fangsong Std R" w:cs="Aparajita"/>
                <w:b/>
                <w:sz w:val="20"/>
                <w:szCs w:val="20"/>
              </w:rPr>
              <w:t xml:space="preserve">2.1 Impact rating: </w:t>
            </w:r>
          </w:p>
        </w:tc>
        <w:tc>
          <w:tcPr>
            <w:tcW w:w="4838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60C849B" w14:textId="77777777" w:rsidR="005C347E" w:rsidRPr="005C347E" w:rsidRDefault="005C347E" w:rsidP="00213F29">
            <w:pPr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5C347E">
              <w:rPr>
                <w:rFonts w:ascii="Aparajita" w:hAnsi="Aparajita" w:cs="Aparajita"/>
                <w:b/>
                <w:sz w:val="20"/>
                <w:szCs w:val="20"/>
              </w:rPr>
              <w:t>Progress towards impact</w:t>
            </w:r>
          </w:p>
        </w:tc>
      </w:tr>
    </w:tbl>
    <w:tbl>
      <w:tblPr>
        <w:tblStyle w:val="TableGrid"/>
        <w:tblW w:w="9322" w:type="dxa"/>
        <w:tblBorders>
          <w:top w:val="none" w:sz="0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5C347E" w:rsidRPr="005C347E" w14:paraId="0FB2CFDE" w14:textId="77777777" w:rsidTr="00213F29">
        <w:trPr>
          <w:trHeight w:val="66"/>
        </w:trPr>
        <w:tc>
          <w:tcPr>
            <w:tcW w:w="9322" w:type="dxa"/>
            <w:gridSpan w:val="3"/>
            <w:shd w:val="clear" w:color="auto" w:fill="FFFFFF" w:themeFill="background1"/>
          </w:tcPr>
          <w:p w14:paraId="0A4838AC" w14:textId="77777777" w:rsidR="005C347E" w:rsidRPr="005C347E" w:rsidRDefault="005C347E" w:rsidP="00213F29">
            <w:pPr>
              <w:rPr>
                <w:rFonts w:ascii="Adobe Fangsong Std R" w:eastAsia="Adobe Fangsong Std R" w:hAnsi="Adobe Fangsong Std R" w:cs="Aparajita"/>
                <w:b/>
                <w:sz w:val="16"/>
                <w:szCs w:val="16"/>
              </w:rPr>
            </w:pPr>
          </w:p>
        </w:tc>
      </w:tr>
      <w:tr w:rsidR="005C347E" w:rsidRPr="005C347E" w14:paraId="13147016" w14:textId="77777777" w:rsidTr="00213F29">
        <w:tc>
          <w:tcPr>
            <w:tcW w:w="9322" w:type="dxa"/>
            <w:gridSpan w:val="3"/>
            <w:shd w:val="clear" w:color="auto" w:fill="C6D9F1" w:themeFill="text2" w:themeFillTint="33"/>
          </w:tcPr>
          <w:p w14:paraId="59DD1FA9" w14:textId="77777777" w:rsidR="005C347E" w:rsidRPr="005C347E" w:rsidRDefault="005C347E" w:rsidP="00213F29">
            <w:pPr>
              <w:rPr>
                <w:rFonts w:ascii="Adobe Fangsong Std R" w:eastAsia="Adobe Fangsong Std R" w:hAnsi="Adobe Fangsong Std R" w:cs="Aparajita"/>
                <w:b/>
                <w:sz w:val="20"/>
                <w:szCs w:val="20"/>
              </w:rPr>
            </w:pPr>
            <w:r w:rsidRPr="005C347E">
              <w:rPr>
                <w:rFonts w:ascii="Adobe Fangsong Std R" w:eastAsia="Adobe Fangsong Std R" w:hAnsi="Adobe Fangsong Std R" w:cs="Aparajita"/>
                <w:b/>
                <w:sz w:val="20"/>
                <w:szCs w:val="20"/>
              </w:rPr>
              <w:t>Trends in disease morbidity and mortality</w:t>
            </w:r>
            <w:r w:rsidRPr="005C347E" w:rsidDel="005529A9">
              <w:rPr>
                <w:rFonts w:ascii="Adobe Fangsong Std R" w:eastAsia="Adobe Fangsong Std R" w:hAnsi="Adobe Fangsong Std R" w:cs="Aparajita"/>
                <w:b/>
                <w:sz w:val="20"/>
                <w:szCs w:val="20"/>
              </w:rPr>
              <w:t xml:space="preserve"> </w:t>
            </w:r>
            <w:r w:rsidRPr="005C347E">
              <w:rPr>
                <w:rFonts w:ascii="Adobe Fangsong Std R" w:eastAsia="Adobe Fangsong Std R" w:hAnsi="Adobe Fangsong Std R" w:cs="Aparajita"/>
                <w:b/>
                <w:sz w:val="20"/>
                <w:szCs w:val="20"/>
              </w:rPr>
              <w:t>(</w:t>
            </w:r>
            <w:r w:rsidRPr="005C347E">
              <w:rPr>
                <w:rFonts w:ascii="Adobe Fangsong Std R" w:eastAsia="Adobe Fangsong Std R" w:hAnsi="Adobe Fangsong Std R" w:cs="Aparajita"/>
                <w:sz w:val="16"/>
                <w:szCs w:val="16"/>
              </w:rPr>
              <w:t xml:space="preserve">Has there been a </w:t>
            </w:r>
            <w:proofErr w:type="spellStart"/>
            <w:r w:rsidRPr="005C347E">
              <w:rPr>
                <w:rFonts w:ascii="Adobe Fangsong Std R" w:eastAsia="Adobe Fangsong Std R" w:hAnsi="Adobe Fangsong Std R" w:cs="Aparajita"/>
                <w:sz w:val="16"/>
                <w:szCs w:val="16"/>
              </w:rPr>
              <w:t>favorable</w:t>
            </w:r>
            <w:proofErr w:type="spellEnd"/>
            <w:r w:rsidRPr="005C347E">
              <w:rPr>
                <w:rFonts w:ascii="Adobe Fangsong Std R" w:eastAsia="Adobe Fangsong Std R" w:hAnsi="Adobe Fangsong Std R" w:cs="Aparajita"/>
                <w:sz w:val="16"/>
                <w:szCs w:val="16"/>
              </w:rPr>
              <w:t xml:space="preserve"> change in disease mortality and/or morbidity in line with the increase in coverage of key intervention services and/or improvement of services quality and outcome)?</w:t>
            </w:r>
          </w:p>
        </w:tc>
      </w:tr>
      <w:tr w:rsidR="005C347E" w:rsidRPr="005C347E" w14:paraId="47FE7277" w14:textId="77777777" w:rsidTr="00213F29">
        <w:tc>
          <w:tcPr>
            <w:tcW w:w="9322" w:type="dxa"/>
            <w:gridSpan w:val="3"/>
            <w:shd w:val="clear" w:color="auto" w:fill="FFFFFF" w:themeFill="background1"/>
          </w:tcPr>
          <w:p w14:paraId="121CBFBB" w14:textId="77777777" w:rsidR="005C347E" w:rsidRPr="005C347E" w:rsidRDefault="005C347E" w:rsidP="00213F29">
            <w:pPr>
              <w:rPr>
                <w:rFonts w:ascii="Aparajita" w:hAnsi="Aparajita" w:cs="Aparajita"/>
                <w:sz w:val="20"/>
                <w:szCs w:val="20"/>
              </w:rPr>
            </w:pPr>
          </w:p>
          <w:p w14:paraId="73F42433" w14:textId="77777777" w:rsidR="005C347E" w:rsidRPr="005C347E" w:rsidRDefault="005C347E" w:rsidP="00213F29">
            <w:pPr>
              <w:rPr>
                <w:rFonts w:ascii="Aparajita" w:hAnsi="Aparajita" w:cs="Aparajita"/>
                <w:sz w:val="20"/>
                <w:szCs w:val="20"/>
              </w:rPr>
            </w:pPr>
            <w:r w:rsidRPr="005C347E">
              <w:rPr>
                <w:rFonts w:ascii="Aparajita" w:hAnsi="Aparajita" w:cs="Aparajita"/>
                <w:sz w:val="20"/>
                <w:szCs w:val="20"/>
              </w:rPr>
              <w:t xml:space="preserve">Kazakhstan is a high MDR-TB burden country with an estimated MDR-TB prevalence of 30% in new cases and 51% in previously treated cases. The country had witnessed a major upsurge in TB incidence and mortality in 90s following the breakdown of soviet union. </w:t>
            </w:r>
          </w:p>
          <w:p w14:paraId="781DAC5D" w14:textId="77777777" w:rsidR="005C347E" w:rsidRPr="005C347E" w:rsidRDefault="005C347E" w:rsidP="00213F29">
            <w:pPr>
              <w:rPr>
                <w:rFonts w:ascii="Aparajita" w:hAnsi="Aparajita" w:cs="Aparajita"/>
                <w:sz w:val="20"/>
                <w:szCs w:val="20"/>
              </w:rPr>
            </w:pPr>
          </w:p>
          <w:p w14:paraId="256A64F2" w14:textId="77777777" w:rsidR="005C347E" w:rsidRPr="005C347E" w:rsidRDefault="005C347E" w:rsidP="00213F29">
            <w:pPr>
              <w:rPr>
                <w:rFonts w:ascii="Aparajita" w:hAnsi="Aparajita" w:cs="Aparajita"/>
                <w:sz w:val="20"/>
                <w:szCs w:val="20"/>
              </w:rPr>
            </w:pPr>
            <w:r w:rsidRPr="005C347E">
              <w:rPr>
                <w:rFonts w:ascii="Aparajita" w:hAnsi="Aparajita" w:cs="Aparajita"/>
                <w:sz w:val="20"/>
                <w:szCs w:val="20"/>
              </w:rPr>
              <w:t>Early 2000 saw a rapid scale-up of TB control efforts, with improvements in case notification and treatment outcomes. The case detection rate in 2011 is estimated at 92%. High MDR TB rates, have kept the treatment success rate at around 65%, being even lower among co-infected.</w:t>
            </w:r>
          </w:p>
          <w:p w14:paraId="7DAF66CF" w14:textId="77777777" w:rsidR="005C347E" w:rsidRPr="005C347E" w:rsidRDefault="005C347E" w:rsidP="00213F29">
            <w:pPr>
              <w:rPr>
                <w:rFonts w:ascii="Aparajita" w:hAnsi="Aparajita" w:cs="Aparajita"/>
                <w:sz w:val="20"/>
                <w:szCs w:val="20"/>
              </w:rPr>
            </w:pPr>
          </w:p>
          <w:p w14:paraId="4D081DAB" w14:textId="77777777" w:rsidR="005C347E" w:rsidRPr="005C347E" w:rsidRDefault="005C347E" w:rsidP="00213F29">
            <w:pPr>
              <w:rPr>
                <w:rFonts w:ascii="Aparajita" w:hAnsi="Aparajita" w:cs="Aparajita"/>
                <w:sz w:val="20"/>
                <w:szCs w:val="20"/>
              </w:rPr>
            </w:pPr>
            <w:r w:rsidRPr="005C347E">
              <w:rPr>
                <w:rFonts w:ascii="Aparajita" w:hAnsi="Aparajita" w:cs="Aparajita"/>
                <w:sz w:val="20"/>
                <w:szCs w:val="20"/>
              </w:rPr>
              <w:t xml:space="preserve">The current trends in TB incidence, prevalence and mortality demonstrate substantive reductions in burden (68%, 79% and 67% respectively) compared to the peak in 1998. The program has rapidly scaled up MDR-TB interventions, and has relatively one of the better treatment outcomes for MDR (73% treatment success rate), where defaults are maintained at around 5%, deaths (7%) and failures (7%) being the main adverse outcomes.  </w:t>
            </w:r>
          </w:p>
          <w:p w14:paraId="4B66F65F" w14:textId="77777777" w:rsidR="005C347E" w:rsidRPr="005C347E" w:rsidRDefault="005C347E" w:rsidP="00213F29">
            <w:pPr>
              <w:rPr>
                <w:rFonts w:ascii="Aparajita" w:hAnsi="Aparajita" w:cs="Aparajita"/>
                <w:sz w:val="20"/>
                <w:szCs w:val="20"/>
              </w:rPr>
            </w:pPr>
          </w:p>
          <w:p w14:paraId="48067EC4" w14:textId="77777777" w:rsidR="005C347E" w:rsidRPr="005C347E" w:rsidRDefault="005C347E" w:rsidP="00213F29">
            <w:pPr>
              <w:rPr>
                <w:rFonts w:ascii="Aparajita" w:hAnsi="Aparajita" w:cs="Aparajita"/>
                <w:sz w:val="20"/>
                <w:szCs w:val="20"/>
              </w:rPr>
            </w:pPr>
            <w:r w:rsidRPr="005C347E">
              <w:rPr>
                <w:rFonts w:ascii="Aparajita" w:hAnsi="Aparajita" w:cs="Aparajita"/>
                <w:sz w:val="20"/>
                <w:szCs w:val="20"/>
              </w:rPr>
              <w:t>Over 85% of TB cases are being screened for HIV, but less than 10% of co-infected are initiated on ART.</w:t>
            </w:r>
          </w:p>
          <w:p w14:paraId="3C3A0064" w14:textId="77777777" w:rsidR="005C347E" w:rsidRPr="005C347E" w:rsidRDefault="005C347E" w:rsidP="00213F29">
            <w:pPr>
              <w:rPr>
                <w:rFonts w:ascii="Aparajita" w:hAnsi="Aparajita" w:cs="Aparajita"/>
                <w:sz w:val="20"/>
                <w:szCs w:val="20"/>
              </w:rPr>
            </w:pPr>
          </w:p>
          <w:p w14:paraId="182DD858" w14:textId="77777777" w:rsidR="005C347E" w:rsidRPr="005C347E" w:rsidRDefault="005C347E" w:rsidP="00213F29">
            <w:pPr>
              <w:rPr>
                <w:rFonts w:ascii="Aparajita" w:hAnsi="Aparajita" w:cs="Aparajita"/>
                <w:sz w:val="20"/>
                <w:szCs w:val="20"/>
              </w:rPr>
            </w:pPr>
            <w:r w:rsidRPr="005C347E">
              <w:rPr>
                <w:rFonts w:ascii="Aparajita" w:hAnsi="Aparajita" w:cs="Aparajita"/>
                <w:sz w:val="20"/>
                <w:szCs w:val="20"/>
              </w:rPr>
              <w:t>Based on the above, the country is making Progress towards impact, with good progress on scaling up PMDT and sub-optimal progress in initiating co-infected on ART. The country has a potential for impact, if it successfully bridges the gap for MDR screening and treatment initiation, and ensuring all co-infected are initiated on ART and TB treatment.</w:t>
            </w:r>
          </w:p>
          <w:p w14:paraId="31D15D8B" w14:textId="77777777" w:rsidR="005C347E" w:rsidRPr="005C347E" w:rsidRDefault="005C347E" w:rsidP="00213F29">
            <w:pPr>
              <w:rPr>
                <w:rFonts w:ascii="Aparajita" w:hAnsi="Aparajita" w:cs="Aparajita"/>
                <w:sz w:val="18"/>
                <w:szCs w:val="18"/>
              </w:rPr>
            </w:pPr>
          </w:p>
        </w:tc>
      </w:tr>
      <w:tr w:rsidR="005C347E" w:rsidRPr="005C347E" w14:paraId="5D0B247B" w14:textId="77777777" w:rsidTr="00213F29">
        <w:tc>
          <w:tcPr>
            <w:tcW w:w="3107" w:type="dxa"/>
            <w:shd w:val="clear" w:color="auto" w:fill="FFFFFF" w:themeFill="background1"/>
          </w:tcPr>
          <w:p w14:paraId="077A1853" w14:textId="77777777" w:rsidR="005C347E" w:rsidRPr="005C347E" w:rsidRDefault="005C347E" w:rsidP="00213F29">
            <w:pPr>
              <w:jc w:val="both"/>
              <w:rPr>
                <w:rFonts w:cs="Arial"/>
                <w:i/>
                <w:noProof/>
                <w:sz w:val="16"/>
                <w:szCs w:val="16"/>
              </w:rPr>
            </w:pPr>
          </w:p>
          <w:p w14:paraId="7203DA80" w14:textId="77777777" w:rsidR="005C347E" w:rsidRPr="005C347E" w:rsidRDefault="005C347E" w:rsidP="00213F29">
            <w:pPr>
              <w:jc w:val="both"/>
              <w:rPr>
                <w:rFonts w:cs="Arial"/>
                <w:i/>
                <w:noProof/>
                <w:sz w:val="16"/>
                <w:szCs w:val="16"/>
              </w:rPr>
            </w:pPr>
          </w:p>
          <w:p w14:paraId="18E2631A" w14:textId="77777777" w:rsidR="005C347E" w:rsidRPr="005C347E" w:rsidRDefault="005C347E" w:rsidP="00213F29">
            <w:pPr>
              <w:jc w:val="both"/>
              <w:rPr>
                <w:rFonts w:cs="Arial"/>
                <w:i/>
                <w:sz w:val="16"/>
                <w:szCs w:val="16"/>
              </w:rPr>
            </w:pPr>
            <w:r w:rsidRPr="005C347E">
              <w:rPr>
                <w:rFonts w:cs="Arial"/>
                <w:i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7057454" wp14:editId="174C8539">
                  <wp:extent cx="1882254" cy="1806855"/>
                  <wp:effectExtent l="0" t="0" r="3810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443" cy="18070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00A700" w14:textId="77777777" w:rsidR="005C347E" w:rsidRPr="005C347E" w:rsidRDefault="005C347E" w:rsidP="00213F29">
            <w:pPr>
              <w:rPr>
                <w:rFonts w:cs="Arial"/>
                <w:i/>
                <w:sz w:val="16"/>
                <w:szCs w:val="16"/>
              </w:rPr>
            </w:pPr>
          </w:p>
          <w:p w14:paraId="74137A92" w14:textId="77777777" w:rsidR="005C347E" w:rsidRPr="005C347E" w:rsidRDefault="005C347E" w:rsidP="00213F29">
            <w:pPr>
              <w:rPr>
                <w:rFonts w:ascii="Aparajita" w:hAnsi="Aparajita" w:cs="Aparajita"/>
                <w:i/>
                <w:sz w:val="16"/>
                <w:szCs w:val="16"/>
              </w:rPr>
            </w:pPr>
          </w:p>
        </w:tc>
        <w:tc>
          <w:tcPr>
            <w:tcW w:w="3107" w:type="dxa"/>
            <w:shd w:val="clear" w:color="auto" w:fill="FFFFFF" w:themeFill="background1"/>
          </w:tcPr>
          <w:p w14:paraId="2A522F7F" w14:textId="77777777" w:rsidR="005C347E" w:rsidRPr="005C347E" w:rsidRDefault="005C347E" w:rsidP="00213F29">
            <w:pPr>
              <w:rPr>
                <w:rFonts w:cs="Arial"/>
                <w:i/>
                <w:sz w:val="16"/>
                <w:szCs w:val="16"/>
              </w:rPr>
            </w:pPr>
          </w:p>
          <w:p w14:paraId="2DF4E9BD" w14:textId="77777777" w:rsidR="005C347E" w:rsidRPr="005C347E" w:rsidRDefault="005C347E" w:rsidP="00213F29">
            <w:pPr>
              <w:rPr>
                <w:rFonts w:cs="Arial"/>
                <w:i/>
                <w:sz w:val="16"/>
                <w:szCs w:val="16"/>
              </w:rPr>
            </w:pPr>
          </w:p>
          <w:p w14:paraId="27B7BFE5" w14:textId="77777777" w:rsidR="005C347E" w:rsidRPr="005C347E" w:rsidRDefault="005C347E" w:rsidP="00213F29">
            <w:pPr>
              <w:rPr>
                <w:rFonts w:cs="Arial"/>
                <w:i/>
                <w:noProof/>
                <w:sz w:val="16"/>
                <w:szCs w:val="16"/>
              </w:rPr>
            </w:pPr>
          </w:p>
          <w:p w14:paraId="4F496B90" w14:textId="77777777" w:rsidR="005C347E" w:rsidRPr="005C347E" w:rsidRDefault="005C347E" w:rsidP="00213F29">
            <w:pPr>
              <w:rPr>
                <w:rFonts w:cs="Arial"/>
                <w:i/>
                <w:sz w:val="16"/>
                <w:szCs w:val="16"/>
              </w:rPr>
            </w:pPr>
            <w:r w:rsidRPr="005C347E">
              <w:rPr>
                <w:rFonts w:cs="Arial"/>
                <w:i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D9F92DA" wp14:editId="1DD1A969">
                  <wp:extent cx="1862426" cy="14923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120" cy="14928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dxa"/>
            <w:shd w:val="clear" w:color="auto" w:fill="FFFFFF" w:themeFill="background1"/>
          </w:tcPr>
          <w:p w14:paraId="4EB05611" w14:textId="77777777" w:rsidR="005C347E" w:rsidRPr="005C347E" w:rsidRDefault="005C347E" w:rsidP="00213F29">
            <w:pPr>
              <w:rPr>
                <w:rFonts w:cs="Arial"/>
                <w:i/>
                <w:sz w:val="16"/>
                <w:szCs w:val="16"/>
              </w:rPr>
            </w:pPr>
          </w:p>
          <w:p w14:paraId="5DE2B373" w14:textId="77777777" w:rsidR="005C347E" w:rsidRPr="005C347E" w:rsidRDefault="005C347E" w:rsidP="00213F29">
            <w:pPr>
              <w:rPr>
                <w:rFonts w:cs="Arial"/>
                <w:i/>
                <w:sz w:val="16"/>
                <w:szCs w:val="16"/>
              </w:rPr>
            </w:pPr>
            <w:r w:rsidRPr="005C347E">
              <w:rPr>
                <w:rFonts w:cs="Arial"/>
                <w:i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F5CF07F" wp14:editId="7B82F952">
                  <wp:extent cx="1853230" cy="1616544"/>
                  <wp:effectExtent l="0" t="0" r="0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43" cy="16168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47E" w:rsidRPr="005C347E" w14:paraId="2028AADC" w14:textId="77777777" w:rsidTr="00213F29">
        <w:tc>
          <w:tcPr>
            <w:tcW w:w="9322" w:type="dxa"/>
            <w:gridSpan w:val="3"/>
            <w:shd w:val="clear" w:color="auto" w:fill="FFFFFF" w:themeFill="background1"/>
          </w:tcPr>
          <w:p w14:paraId="0F837D7F" w14:textId="77777777" w:rsidR="005C347E" w:rsidRPr="005C347E" w:rsidRDefault="005C347E" w:rsidP="00213F29">
            <w:pPr>
              <w:rPr>
                <w:rFonts w:ascii="Aparajita" w:hAnsi="Aparajita" w:cs="Aparajita"/>
                <w:sz w:val="20"/>
                <w:szCs w:val="20"/>
              </w:rPr>
            </w:pPr>
          </w:p>
          <w:p w14:paraId="42721973" w14:textId="77777777" w:rsidR="005C347E" w:rsidRPr="005C347E" w:rsidRDefault="005C347E" w:rsidP="00213F29">
            <w:pPr>
              <w:rPr>
                <w:rFonts w:ascii="Aparajita" w:hAnsi="Aparajita" w:cs="Aparajita"/>
                <w:sz w:val="20"/>
                <w:szCs w:val="20"/>
              </w:rPr>
            </w:pPr>
            <w:r w:rsidRPr="005C347E">
              <w:rPr>
                <w:rFonts w:ascii="Aparajita" w:hAnsi="Aparajita" w:cs="Aparajita"/>
                <w:sz w:val="20"/>
                <w:szCs w:val="20"/>
              </w:rPr>
              <w:t xml:space="preserve">Incidence: The estimated TB incidence (per 100,000 </w:t>
            </w:r>
            <w:proofErr w:type="gramStart"/>
            <w:r w:rsidRPr="005C347E">
              <w:rPr>
                <w:rFonts w:ascii="Aparajita" w:hAnsi="Aparajita" w:cs="Aparajita"/>
                <w:sz w:val="20"/>
                <w:szCs w:val="20"/>
              </w:rPr>
              <w:t>population</w:t>
            </w:r>
            <w:proofErr w:type="gramEnd"/>
            <w:r w:rsidRPr="005C347E">
              <w:rPr>
                <w:rFonts w:ascii="Aparajita" w:hAnsi="Aparajita" w:cs="Aparajita"/>
                <w:sz w:val="20"/>
                <w:szCs w:val="20"/>
              </w:rPr>
              <w:t xml:space="preserve">) rose rapidly in the 90s from 79 in 1990 to 403 in 1998, following the breakdown of the soviet republic. Since then there has been over 68% decline in TB incidence, and currently stands at 129 or 21,000 new </w:t>
            </w:r>
            <w:r w:rsidRPr="005C347E">
              <w:rPr>
                <w:rFonts w:ascii="Aparajita" w:hAnsi="Aparajita" w:cs="Aparajita"/>
                <w:sz w:val="20"/>
                <w:szCs w:val="20"/>
              </w:rPr>
              <w:lastRenderedPageBreak/>
              <w:t xml:space="preserve">infections annually. </w:t>
            </w:r>
          </w:p>
          <w:p w14:paraId="2E471FFA" w14:textId="77777777" w:rsidR="005C347E" w:rsidRPr="005C347E" w:rsidRDefault="005C347E" w:rsidP="00213F29">
            <w:pPr>
              <w:rPr>
                <w:rFonts w:ascii="Aparajita" w:hAnsi="Aparajita" w:cs="Aparajita"/>
                <w:sz w:val="20"/>
                <w:szCs w:val="20"/>
              </w:rPr>
            </w:pPr>
          </w:p>
          <w:p w14:paraId="79A2936E" w14:textId="77777777" w:rsidR="005C347E" w:rsidRPr="005C347E" w:rsidRDefault="005C347E" w:rsidP="00213F29">
            <w:pPr>
              <w:rPr>
                <w:rFonts w:ascii="Aparajita" w:hAnsi="Aparajita" w:cs="Aparajita"/>
                <w:sz w:val="20"/>
                <w:szCs w:val="20"/>
              </w:rPr>
            </w:pPr>
            <w:r w:rsidRPr="005C347E">
              <w:rPr>
                <w:rFonts w:ascii="Aparajita" w:hAnsi="Aparajita" w:cs="Aparajita"/>
                <w:sz w:val="20"/>
                <w:szCs w:val="20"/>
              </w:rPr>
              <w:t>The TB case notification did not increase at the same rate as incidence in the 90s, but saw sizeable improvements in early and mid-2000, followed by decline aligned to trends in incidence. The CDR of all forms of TB was 92% in 2011.</w:t>
            </w:r>
          </w:p>
          <w:p w14:paraId="6CFEEC74" w14:textId="77777777" w:rsidR="005C347E" w:rsidRPr="005C347E" w:rsidRDefault="005C347E" w:rsidP="00213F29">
            <w:pPr>
              <w:rPr>
                <w:rFonts w:ascii="Aparajita" w:hAnsi="Aparajita" w:cs="Aparajita"/>
                <w:sz w:val="20"/>
                <w:szCs w:val="20"/>
              </w:rPr>
            </w:pPr>
          </w:p>
          <w:p w14:paraId="0AC203F9" w14:textId="77777777" w:rsidR="005C347E" w:rsidRPr="005C347E" w:rsidRDefault="005C347E" w:rsidP="00213F29">
            <w:pPr>
              <w:rPr>
                <w:rFonts w:ascii="Aparajita" w:hAnsi="Aparajita" w:cs="Aparajita"/>
                <w:sz w:val="20"/>
                <w:szCs w:val="20"/>
              </w:rPr>
            </w:pPr>
            <w:r w:rsidRPr="005C347E">
              <w:rPr>
                <w:rFonts w:ascii="Aparajita" w:hAnsi="Aparajita" w:cs="Aparajita"/>
                <w:sz w:val="20"/>
                <w:szCs w:val="20"/>
              </w:rPr>
              <w:t>Prevalence: As with incidence, prevalence saw a peak in 1998-99 (819) followed by 79% decline to 167 in 2011.</w:t>
            </w:r>
          </w:p>
          <w:p w14:paraId="501F153D" w14:textId="77777777" w:rsidR="005C347E" w:rsidRPr="005C347E" w:rsidRDefault="005C347E" w:rsidP="00213F29">
            <w:pPr>
              <w:rPr>
                <w:rFonts w:ascii="Aparajita" w:hAnsi="Aparajita" w:cs="Aparajita"/>
                <w:sz w:val="20"/>
                <w:szCs w:val="20"/>
              </w:rPr>
            </w:pPr>
          </w:p>
          <w:p w14:paraId="537E9E53" w14:textId="77777777" w:rsidR="005C347E" w:rsidRPr="005C347E" w:rsidRDefault="005C347E" w:rsidP="00213F29">
            <w:pPr>
              <w:rPr>
                <w:rFonts w:ascii="Aparajita" w:hAnsi="Aparajita" w:cs="Aparajita"/>
                <w:sz w:val="20"/>
                <w:szCs w:val="20"/>
              </w:rPr>
            </w:pPr>
            <w:r w:rsidRPr="005C347E">
              <w:rPr>
                <w:rFonts w:ascii="Aparajita" w:hAnsi="Aparajita" w:cs="Aparajita"/>
                <w:sz w:val="20"/>
                <w:szCs w:val="20"/>
              </w:rPr>
              <w:t xml:space="preserve">Mortality: TB accounts for 2200 deaths annually (14 per 100,000 </w:t>
            </w:r>
            <w:proofErr w:type="gramStart"/>
            <w:r w:rsidRPr="005C347E">
              <w:rPr>
                <w:rFonts w:ascii="Aparajita" w:hAnsi="Aparajita" w:cs="Aparajita"/>
                <w:sz w:val="20"/>
                <w:szCs w:val="20"/>
              </w:rPr>
              <w:t>population</w:t>
            </w:r>
            <w:proofErr w:type="gramEnd"/>
            <w:r w:rsidRPr="005C347E">
              <w:rPr>
                <w:rFonts w:ascii="Aparajita" w:hAnsi="Aparajita" w:cs="Aparajita"/>
                <w:sz w:val="20"/>
                <w:szCs w:val="20"/>
              </w:rPr>
              <w:t>) and is rapidly declining.</w:t>
            </w:r>
          </w:p>
          <w:p w14:paraId="3B8CB5D6" w14:textId="77777777" w:rsidR="005C347E" w:rsidRPr="005C347E" w:rsidRDefault="005C347E" w:rsidP="00213F29">
            <w:pPr>
              <w:rPr>
                <w:rFonts w:ascii="Aparajita" w:hAnsi="Aparajita" w:cs="Aparajita"/>
                <w:sz w:val="20"/>
                <w:szCs w:val="20"/>
              </w:rPr>
            </w:pPr>
          </w:p>
        </w:tc>
      </w:tr>
    </w:tbl>
    <w:p w14:paraId="2CC0CDD9" w14:textId="77777777" w:rsidR="005C347E" w:rsidRDefault="005C347E" w:rsidP="005C347E"/>
    <w:p w14:paraId="25EC66D8" w14:textId="77777777" w:rsidR="005C347E" w:rsidRPr="005C347E" w:rsidRDefault="005C347E" w:rsidP="005C347E"/>
    <w:tbl>
      <w:tblPr>
        <w:tblStyle w:val="TableGrid"/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5C347E" w:rsidRPr="005C347E" w14:paraId="22D7241A" w14:textId="77777777" w:rsidTr="00213F29">
        <w:tc>
          <w:tcPr>
            <w:tcW w:w="9322" w:type="dxa"/>
            <w:gridSpan w:val="3"/>
            <w:shd w:val="clear" w:color="auto" w:fill="C6D9F1" w:themeFill="text2" w:themeFillTint="33"/>
          </w:tcPr>
          <w:p w14:paraId="7BA5CDDA" w14:textId="77777777" w:rsidR="005C347E" w:rsidRPr="005C347E" w:rsidRDefault="005C347E" w:rsidP="00213F29">
            <w:pPr>
              <w:rPr>
                <w:rFonts w:ascii="Adobe Fangsong Std R" w:eastAsia="Adobe Fangsong Std R" w:hAnsi="Adobe Fangsong Std R" w:cs="Aparajita"/>
                <w:b/>
                <w:sz w:val="20"/>
                <w:szCs w:val="20"/>
              </w:rPr>
            </w:pPr>
            <w:r w:rsidRPr="005C347E">
              <w:rPr>
                <w:rFonts w:ascii="Adobe Fangsong Std R" w:eastAsia="Adobe Fangsong Std R" w:hAnsi="Adobe Fangsong Std R" w:cs="Aparajita"/>
                <w:b/>
                <w:sz w:val="20"/>
                <w:szCs w:val="20"/>
              </w:rPr>
              <w:t xml:space="preserve">2.2 Outcome &amp; services quality </w:t>
            </w:r>
            <w:r w:rsidRPr="005C347E">
              <w:rPr>
                <w:rFonts w:ascii="Adobe Fangsong Std R" w:eastAsia="Adobe Fangsong Std R" w:hAnsi="Adobe Fangsong Std R" w:cs="Aparajita"/>
                <w:sz w:val="16"/>
                <w:szCs w:val="16"/>
              </w:rPr>
              <w:t>(Has there been an improvement in outcome of the key intervention services?)</w:t>
            </w:r>
          </w:p>
        </w:tc>
      </w:tr>
      <w:tr w:rsidR="005C347E" w:rsidRPr="005C347E" w14:paraId="4FC1A5AC" w14:textId="77777777" w:rsidTr="00213F29">
        <w:tc>
          <w:tcPr>
            <w:tcW w:w="3107" w:type="dxa"/>
            <w:shd w:val="clear" w:color="auto" w:fill="FFFFFF" w:themeFill="background1"/>
          </w:tcPr>
          <w:p w14:paraId="3290AF52" w14:textId="77777777" w:rsidR="005C347E" w:rsidRPr="005C347E" w:rsidRDefault="005C347E" w:rsidP="00213F29">
            <w:pPr>
              <w:rPr>
                <w:rFonts w:ascii="Aparajita" w:hAnsi="Aparajita" w:cs="Aparajita"/>
                <w:b/>
                <w:sz w:val="18"/>
                <w:szCs w:val="18"/>
              </w:rPr>
            </w:pPr>
            <w:r w:rsidRPr="005C347E">
              <w:rPr>
                <w:rFonts w:ascii="Aparajita" w:hAnsi="Aparajita" w:cs="Aparajita"/>
                <w:b/>
                <w:sz w:val="18"/>
                <w:szCs w:val="18"/>
              </w:rPr>
              <w:t>TB case notification by type</w:t>
            </w:r>
          </w:p>
          <w:p w14:paraId="73A2A744" w14:textId="77777777" w:rsidR="005C347E" w:rsidRPr="005C347E" w:rsidRDefault="005C347E" w:rsidP="00213F29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</w:p>
          <w:p w14:paraId="41F7CAAC" w14:textId="77777777" w:rsidR="005C347E" w:rsidRPr="005C347E" w:rsidRDefault="005C347E" w:rsidP="00213F29">
            <w:pPr>
              <w:rPr>
                <w:rFonts w:ascii="Aparajita" w:hAnsi="Aparajita" w:cs="Aparajita"/>
                <w:sz w:val="18"/>
                <w:szCs w:val="18"/>
              </w:rPr>
            </w:pPr>
            <w:r w:rsidRPr="005C347E">
              <w:rPr>
                <w:rFonts w:ascii="Aparajita" w:hAnsi="Aparajita" w:cs="Aparajita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6AA3C00A" wp14:editId="270B2636">
                  <wp:extent cx="1821485" cy="2168647"/>
                  <wp:effectExtent l="0" t="0" r="7620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776" cy="2170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  <w:shd w:val="clear" w:color="auto" w:fill="FFFFFF" w:themeFill="background1"/>
          </w:tcPr>
          <w:p w14:paraId="5A2702C6" w14:textId="77777777" w:rsidR="005C347E" w:rsidRPr="005C347E" w:rsidRDefault="005C347E" w:rsidP="00213F29">
            <w:pPr>
              <w:rPr>
                <w:rFonts w:ascii="Aparajita" w:hAnsi="Aparajita" w:cs="Aparajita"/>
                <w:b/>
                <w:sz w:val="18"/>
                <w:szCs w:val="18"/>
              </w:rPr>
            </w:pPr>
            <w:r w:rsidRPr="005C347E">
              <w:rPr>
                <w:rFonts w:ascii="Aparajita" w:hAnsi="Aparajita" w:cs="Aparajita"/>
                <w:b/>
                <w:sz w:val="18"/>
                <w:szCs w:val="18"/>
              </w:rPr>
              <w:t>New smear-positive treatment outcomes</w:t>
            </w:r>
          </w:p>
          <w:p w14:paraId="25A23B0D" w14:textId="77777777" w:rsidR="005C347E" w:rsidRPr="005C347E" w:rsidRDefault="005C347E" w:rsidP="00213F29">
            <w:pPr>
              <w:rPr>
                <w:rFonts w:ascii="Aparajita" w:hAnsi="Aparajita" w:cs="Aparajita"/>
                <w:sz w:val="18"/>
                <w:szCs w:val="18"/>
              </w:rPr>
            </w:pPr>
            <w:r w:rsidRPr="005C347E">
              <w:rPr>
                <w:rFonts w:ascii="Aparajita" w:hAnsi="Aparajita" w:cs="Aparajita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1C5B2A4" wp14:editId="4863334A">
                  <wp:extent cx="1850394" cy="1945843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165" cy="1945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dxa"/>
            <w:shd w:val="clear" w:color="auto" w:fill="FFFFFF" w:themeFill="background1"/>
          </w:tcPr>
          <w:p w14:paraId="5BC02262" w14:textId="77777777" w:rsidR="005C347E" w:rsidRPr="005C347E" w:rsidRDefault="005C347E" w:rsidP="00213F29">
            <w:pPr>
              <w:rPr>
                <w:rFonts w:ascii="Aparajita" w:hAnsi="Aparajita" w:cs="Aparajita"/>
                <w:b/>
                <w:sz w:val="18"/>
                <w:szCs w:val="18"/>
              </w:rPr>
            </w:pPr>
            <w:r w:rsidRPr="005C347E">
              <w:rPr>
                <w:rFonts w:ascii="Aparajita" w:hAnsi="Aparajita" w:cs="Aparajita"/>
                <w:b/>
                <w:sz w:val="18"/>
                <w:szCs w:val="18"/>
              </w:rPr>
              <w:t>Treatment success rate by case type (%)</w:t>
            </w:r>
          </w:p>
          <w:p w14:paraId="74F4006F" w14:textId="77777777" w:rsidR="005C347E" w:rsidRPr="005C347E" w:rsidRDefault="005C347E" w:rsidP="00213F29">
            <w:pPr>
              <w:rPr>
                <w:rFonts w:ascii="Aparajita" w:hAnsi="Aparajita" w:cs="Aparajita"/>
                <w:sz w:val="18"/>
                <w:szCs w:val="18"/>
              </w:rPr>
            </w:pPr>
            <w:r w:rsidRPr="005C347E">
              <w:rPr>
                <w:rFonts w:ascii="Aparajita" w:hAnsi="Aparajita" w:cs="Aparajita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0B38583" wp14:editId="2215AE16">
                  <wp:extent cx="1843430" cy="2275164"/>
                  <wp:effectExtent l="0" t="0" r="444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3" cy="2280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47E" w:rsidRPr="005C347E" w14:paraId="0A76ADA7" w14:textId="77777777" w:rsidTr="00213F29">
        <w:tc>
          <w:tcPr>
            <w:tcW w:w="9322" w:type="dxa"/>
            <w:gridSpan w:val="3"/>
            <w:shd w:val="clear" w:color="auto" w:fill="FFFFFF" w:themeFill="background1"/>
          </w:tcPr>
          <w:p w14:paraId="52FDA15B" w14:textId="77777777" w:rsidR="005C347E" w:rsidRPr="005C347E" w:rsidRDefault="005C347E" w:rsidP="00213F29">
            <w:pPr>
              <w:rPr>
                <w:rFonts w:ascii="Aparajita" w:hAnsi="Aparajita" w:cs="Aparajita"/>
                <w:sz w:val="20"/>
                <w:szCs w:val="20"/>
              </w:rPr>
            </w:pPr>
          </w:p>
          <w:p w14:paraId="67241325" w14:textId="77777777" w:rsidR="005C347E" w:rsidRPr="005C347E" w:rsidRDefault="005C347E" w:rsidP="00213F29">
            <w:pPr>
              <w:rPr>
                <w:rFonts w:ascii="Aparajita" w:hAnsi="Aparajita" w:cs="Aparajita"/>
                <w:sz w:val="20"/>
                <w:szCs w:val="20"/>
              </w:rPr>
            </w:pPr>
            <w:r w:rsidRPr="005C347E">
              <w:rPr>
                <w:rFonts w:ascii="Aparajita" w:hAnsi="Aparajita" w:cs="Aparajita"/>
                <w:sz w:val="20"/>
                <w:szCs w:val="20"/>
              </w:rPr>
              <w:t xml:space="preserve">Case notification: TB case notification peaked in early 2000, following the increase in incidence in the 1990s. This phase has been followed by steady decline in notification rates and in 2011 </w:t>
            </w:r>
            <w:proofErr w:type="gramStart"/>
            <w:r w:rsidRPr="005C347E">
              <w:rPr>
                <w:rFonts w:ascii="Aparajita" w:hAnsi="Aparajita" w:cs="Aparajita"/>
                <w:sz w:val="20"/>
                <w:szCs w:val="20"/>
              </w:rPr>
              <w:t>was</w:t>
            </w:r>
            <w:proofErr w:type="gramEnd"/>
            <w:r w:rsidRPr="005C347E">
              <w:rPr>
                <w:rFonts w:ascii="Aparajita" w:hAnsi="Aparajita" w:cs="Aparajita"/>
                <w:sz w:val="20"/>
                <w:szCs w:val="20"/>
              </w:rPr>
              <w:t xml:space="preserve"> 112.6 per 100,000 population (92% of estimated incidence).  86% of the notified cases were pulmonary and 14% extra-pulmonary. Among new pulmonary cases, only 35% were smear-positive, and rest classified as smear negative. Male to female ratio was 1.2 (1.6 for NSP, 1.1 for NSN and 0.6 for EP TB), and </w:t>
            </w:r>
            <w:proofErr w:type="spellStart"/>
            <w:r w:rsidRPr="005C347E">
              <w:rPr>
                <w:rFonts w:ascii="Aparajita" w:hAnsi="Aparajita" w:cs="Aparajita"/>
                <w:sz w:val="20"/>
                <w:szCs w:val="20"/>
              </w:rPr>
              <w:t>pediatric</w:t>
            </w:r>
            <w:proofErr w:type="spellEnd"/>
            <w:r w:rsidRPr="005C347E">
              <w:rPr>
                <w:rFonts w:ascii="Aparajita" w:hAnsi="Aparajita" w:cs="Aparajita"/>
                <w:sz w:val="20"/>
                <w:szCs w:val="20"/>
              </w:rPr>
              <w:t xml:space="preserve"> TB accounted for just 0.5% of notified NSP cases.</w:t>
            </w:r>
          </w:p>
          <w:p w14:paraId="6DFF72A4" w14:textId="77777777" w:rsidR="005C347E" w:rsidRPr="005C347E" w:rsidRDefault="005C347E" w:rsidP="00213F29">
            <w:pPr>
              <w:rPr>
                <w:rFonts w:ascii="Aparajita" w:hAnsi="Aparajita" w:cs="Aparajita"/>
                <w:sz w:val="20"/>
                <w:szCs w:val="20"/>
              </w:rPr>
            </w:pPr>
          </w:p>
          <w:p w14:paraId="7BDDF59C" w14:textId="77777777" w:rsidR="005C347E" w:rsidRPr="005C347E" w:rsidRDefault="005C347E" w:rsidP="00213F29">
            <w:pPr>
              <w:rPr>
                <w:rFonts w:ascii="Aparajita" w:hAnsi="Aparajita" w:cs="Aparajita"/>
                <w:sz w:val="20"/>
                <w:szCs w:val="20"/>
              </w:rPr>
            </w:pPr>
            <w:r w:rsidRPr="005C347E">
              <w:rPr>
                <w:rFonts w:ascii="Aparajita" w:hAnsi="Aparajita" w:cs="Aparajita"/>
                <w:sz w:val="20"/>
                <w:szCs w:val="20"/>
              </w:rPr>
              <w:t>New smear-positive treatment outcomes: Smear positive treatment success rate is low at 61%, and is primarily due to high MDR-TB prevalence. Failure rate was around 7%, default and death rates are less than 5%; 27% of cases were categorized as not evaluated for 2010 cohort (2% in 2009 and 2008). Treatment success rate among TB/HIV co-infected was even lower - 35% for HIV+ new smear positive TB and 54% among HIV positive smear negative or extra-pulmonary cases. Treatment success rate among MDR cases was 73% with deaths and failures accounting for 7% each and defaults 5%.</w:t>
            </w:r>
          </w:p>
          <w:p w14:paraId="0D24616E" w14:textId="77777777" w:rsidR="005C347E" w:rsidRPr="005C347E" w:rsidRDefault="005C347E" w:rsidP="00213F29">
            <w:pPr>
              <w:rPr>
                <w:rFonts w:ascii="Aparajita" w:hAnsi="Aparajita" w:cs="Aparajita"/>
                <w:sz w:val="20"/>
                <w:szCs w:val="20"/>
              </w:rPr>
            </w:pPr>
          </w:p>
          <w:p w14:paraId="47BA60E6" w14:textId="77777777" w:rsidR="005C347E" w:rsidRPr="005C347E" w:rsidRDefault="005C347E" w:rsidP="00213F29">
            <w:pPr>
              <w:rPr>
                <w:rFonts w:ascii="Aparajita" w:hAnsi="Aparajita" w:cs="Aparajita"/>
                <w:sz w:val="20"/>
                <w:szCs w:val="20"/>
              </w:rPr>
            </w:pPr>
            <w:r w:rsidRPr="005C347E">
              <w:rPr>
                <w:rFonts w:ascii="Aparajita" w:hAnsi="Aparajita" w:cs="Aparajita"/>
                <w:sz w:val="20"/>
                <w:szCs w:val="20"/>
              </w:rPr>
              <w:t>Other case types treatment outcomes: Treatment outcome among smear negative/EPTB was high at 85%, but was 47% for  retreatment cases which could be partly due to high rates of MDR (505 among previously treated)</w:t>
            </w:r>
          </w:p>
          <w:p w14:paraId="54242A46" w14:textId="77777777" w:rsidR="005C347E" w:rsidRPr="005C347E" w:rsidRDefault="005C347E" w:rsidP="00213F29">
            <w:pPr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5C347E" w:rsidRPr="005C347E" w14:paraId="7A66574F" w14:textId="77777777" w:rsidTr="00213F29">
        <w:tc>
          <w:tcPr>
            <w:tcW w:w="9322" w:type="dxa"/>
            <w:gridSpan w:val="3"/>
            <w:shd w:val="clear" w:color="auto" w:fill="C6D9F1" w:themeFill="text2" w:themeFillTint="33"/>
          </w:tcPr>
          <w:p w14:paraId="05F09A91" w14:textId="77777777" w:rsidR="005C347E" w:rsidRPr="005C347E" w:rsidRDefault="005C347E" w:rsidP="00213F29">
            <w:pPr>
              <w:rPr>
                <w:rFonts w:ascii="Adobe Fangsong Std R" w:eastAsia="Adobe Fangsong Std R" w:hAnsi="Adobe Fangsong Std R" w:cs="Aparajita"/>
                <w:b/>
                <w:sz w:val="20"/>
                <w:szCs w:val="20"/>
              </w:rPr>
            </w:pPr>
            <w:r w:rsidRPr="005C347E">
              <w:rPr>
                <w:rFonts w:ascii="Adobe Fangsong Std R" w:eastAsia="Adobe Fangsong Std R" w:hAnsi="Adobe Fangsong Std R" w:cs="Aparajita"/>
                <w:b/>
                <w:sz w:val="20"/>
                <w:szCs w:val="20"/>
              </w:rPr>
              <w:t>2.3 Service coverage</w:t>
            </w:r>
            <w:r w:rsidRPr="005C347E">
              <w:rPr>
                <w:rFonts w:ascii="Adobe Fangsong Std R" w:eastAsia="Adobe Fangsong Std R" w:hAnsi="Adobe Fangsong Std R" w:cs="Aparajita"/>
                <w:sz w:val="16"/>
                <w:szCs w:val="16"/>
              </w:rPr>
              <w:t xml:space="preserve"> (Has there been an increase in coverage of key intervention services including reaching high risk groups?)</w:t>
            </w:r>
          </w:p>
        </w:tc>
      </w:tr>
      <w:tr w:rsidR="005C347E" w:rsidRPr="005C347E" w14:paraId="354864AE" w14:textId="77777777" w:rsidTr="00213F29">
        <w:tc>
          <w:tcPr>
            <w:tcW w:w="3107" w:type="dxa"/>
            <w:shd w:val="clear" w:color="auto" w:fill="FFFFFF" w:themeFill="background1"/>
          </w:tcPr>
          <w:p w14:paraId="4330591A" w14:textId="77777777" w:rsidR="005C347E" w:rsidRPr="005C347E" w:rsidRDefault="005C347E" w:rsidP="00213F29">
            <w:pPr>
              <w:pStyle w:val="ListParagraph"/>
              <w:ind w:left="0"/>
              <w:rPr>
                <w:rFonts w:ascii="Aparajita" w:hAnsi="Aparajita" w:cs="Aparajita"/>
                <w:b/>
                <w:sz w:val="18"/>
                <w:szCs w:val="18"/>
              </w:rPr>
            </w:pPr>
          </w:p>
          <w:p w14:paraId="30D70766" w14:textId="77777777" w:rsidR="005C347E" w:rsidRPr="005C347E" w:rsidRDefault="005C347E" w:rsidP="00213F29">
            <w:pPr>
              <w:pStyle w:val="ListParagraph"/>
              <w:ind w:left="0"/>
              <w:rPr>
                <w:rFonts w:ascii="Aparajita" w:hAnsi="Aparajita" w:cs="Aparajita"/>
                <w:b/>
                <w:sz w:val="18"/>
                <w:szCs w:val="18"/>
              </w:rPr>
            </w:pPr>
            <w:r w:rsidRPr="005C347E">
              <w:rPr>
                <w:rFonts w:ascii="Aparajita" w:hAnsi="Aparajita" w:cs="Aparajita"/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34C43E03" wp14:editId="678BBF85">
                  <wp:extent cx="1846736" cy="1697126"/>
                  <wp:effectExtent l="0" t="0" r="127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987" cy="16973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  <w:shd w:val="clear" w:color="auto" w:fill="FFFFFF" w:themeFill="background1"/>
          </w:tcPr>
          <w:p w14:paraId="44439C6F" w14:textId="77777777" w:rsidR="005C347E" w:rsidRPr="005C347E" w:rsidRDefault="005C347E" w:rsidP="00213F29">
            <w:pPr>
              <w:pStyle w:val="ListParagraph"/>
              <w:ind w:left="0"/>
              <w:rPr>
                <w:rFonts w:ascii="Aparajita" w:hAnsi="Aparajita" w:cs="Aparajita"/>
                <w:b/>
                <w:sz w:val="18"/>
                <w:szCs w:val="18"/>
              </w:rPr>
            </w:pPr>
          </w:p>
          <w:p w14:paraId="70D539FE" w14:textId="77777777" w:rsidR="005C347E" w:rsidRPr="005C347E" w:rsidRDefault="005C347E" w:rsidP="00213F29">
            <w:pPr>
              <w:pStyle w:val="ListParagraph"/>
              <w:ind w:left="0"/>
              <w:rPr>
                <w:rFonts w:ascii="Aparajita" w:hAnsi="Aparajita" w:cs="Aparajita"/>
                <w:b/>
                <w:sz w:val="18"/>
                <w:szCs w:val="18"/>
              </w:rPr>
            </w:pPr>
            <w:r w:rsidRPr="005C347E">
              <w:rPr>
                <w:rFonts w:ascii="Aparajita" w:hAnsi="Aparajita" w:cs="Aparajita"/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73F47A0" wp14:editId="51ABBE0F">
                  <wp:extent cx="1862683" cy="1543508"/>
                  <wp:effectExtent l="0" t="0" r="444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659" cy="1542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dxa"/>
            <w:shd w:val="clear" w:color="auto" w:fill="FFFFFF" w:themeFill="background1"/>
          </w:tcPr>
          <w:p w14:paraId="3F1EC627" w14:textId="77777777" w:rsidR="005C347E" w:rsidRPr="005C347E" w:rsidRDefault="005C347E" w:rsidP="00213F29">
            <w:pPr>
              <w:pStyle w:val="ListParagraph"/>
              <w:ind w:left="0"/>
              <w:rPr>
                <w:rFonts w:ascii="Aparajita" w:hAnsi="Aparajita" w:cs="Aparajita"/>
                <w:b/>
                <w:sz w:val="18"/>
                <w:szCs w:val="18"/>
              </w:rPr>
            </w:pPr>
          </w:p>
          <w:p w14:paraId="1AA489D5" w14:textId="77777777" w:rsidR="005C347E" w:rsidRPr="005C347E" w:rsidRDefault="005C347E" w:rsidP="00213F29">
            <w:pPr>
              <w:pStyle w:val="ListParagraph"/>
              <w:ind w:left="0"/>
              <w:jc w:val="center"/>
              <w:rPr>
                <w:rFonts w:ascii="Aparajita" w:hAnsi="Aparajita" w:cs="Aparajita"/>
                <w:b/>
                <w:sz w:val="18"/>
                <w:szCs w:val="18"/>
              </w:rPr>
            </w:pPr>
            <w:r w:rsidRPr="005C347E">
              <w:rPr>
                <w:rFonts w:ascii="Aparajita" w:hAnsi="Aparajita" w:cs="Aparajita"/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44A725BB" wp14:editId="5B5F606E">
                  <wp:extent cx="1745714" cy="1664104"/>
                  <wp:effectExtent l="0" t="0" r="698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586" cy="16687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47E" w:rsidRPr="005C347E" w14:paraId="3B3C82B1" w14:textId="77777777" w:rsidTr="00213F29">
        <w:tc>
          <w:tcPr>
            <w:tcW w:w="9322" w:type="dxa"/>
            <w:gridSpan w:val="3"/>
            <w:shd w:val="clear" w:color="auto" w:fill="FFFFFF" w:themeFill="background1"/>
          </w:tcPr>
          <w:p w14:paraId="354B38CF" w14:textId="77777777" w:rsidR="005C347E" w:rsidRPr="005C347E" w:rsidRDefault="005C347E" w:rsidP="00213F29">
            <w:pPr>
              <w:pStyle w:val="ListParagraph"/>
              <w:ind w:left="0"/>
              <w:rPr>
                <w:rFonts w:ascii="Aparajita" w:hAnsi="Aparajita" w:cs="Aparajita"/>
                <w:sz w:val="20"/>
                <w:szCs w:val="20"/>
              </w:rPr>
            </w:pPr>
          </w:p>
          <w:p w14:paraId="21CF2F9F" w14:textId="77777777" w:rsidR="005C347E" w:rsidRPr="005C347E" w:rsidRDefault="005C347E" w:rsidP="00213F29">
            <w:pPr>
              <w:pStyle w:val="ListParagraph"/>
              <w:ind w:left="0"/>
              <w:rPr>
                <w:rFonts w:ascii="Aparajita" w:hAnsi="Aparajita" w:cs="Aparajita"/>
                <w:sz w:val="20"/>
                <w:szCs w:val="20"/>
              </w:rPr>
            </w:pPr>
            <w:r w:rsidRPr="005C347E">
              <w:rPr>
                <w:rFonts w:ascii="Aparajita" w:hAnsi="Aparajita" w:cs="Aparajita"/>
                <w:sz w:val="20"/>
                <w:szCs w:val="20"/>
              </w:rPr>
              <w:t>Case detection rate: In 2011, the case detection rate is estimated at 92% and been steadily increasing - indicating that majority of incident TB cases are being notified through the national TB surveillance system, irrespective of point of care.</w:t>
            </w:r>
          </w:p>
          <w:p w14:paraId="2462B91C" w14:textId="77777777" w:rsidR="005C347E" w:rsidRPr="005C347E" w:rsidRDefault="005C347E" w:rsidP="00213F29">
            <w:pPr>
              <w:pStyle w:val="ListParagraph"/>
              <w:ind w:left="0"/>
              <w:rPr>
                <w:rFonts w:ascii="Aparajita" w:hAnsi="Aparajita" w:cs="Aparajita"/>
                <w:sz w:val="20"/>
                <w:szCs w:val="20"/>
              </w:rPr>
            </w:pPr>
          </w:p>
          <w:p w14:paraId="7A64328C" w14:textId="77777777" w:rsidR="005C347E" w:rsidRPr="005C347E" w:rsidRDefault="005C347E" w:rsidP="00213F29">
            <w:pPr>
              <w:pStyle w:val="ListParagraph"/>
              <w:ind w:left="0"/>
              <w:rPr>
                <w:rFonts w:ascii="Aparajita" w:hAnsi="Aparajita" w:cs="Aparajita"/>
                <w:sz w:val="20"/>
                <w:szCs w:val="20"/>
              </w:rPr>
            </w:pPr>
            <w:r w:rsidRPr="005C347E">
              <w:rPr>
                <w:rFonts w:ascii="Aparajita" w:hAnsi="Aparajita" w:cs="Aparajita"/>
                <w:sz w:val="20"/>
                <w:szCs w:val="20"/>
              </w:rPr>
              <w:t xml:space="preserve">TB/HIV: Although the country has a concentrated HIV epidemic, over 85% of TB cases were tested for HIV, when only 2% were found to be HIV positive. However, among the co-infected only 20% were initiated on CPT and less than 10% on ART. </w:t>
            </w:r>
          </w:p>
          <w:p w14:paraId="70F41AB8" w14:textId="77777777" w:rsidR="005C347E" w:rsidRPr="005C347E" w:rsidRDefault="005C347E" w:rsidP="00213F29">
            <w:pPr>
              <w:pStyle w:val="ListParagraph"/>
              <w:ind w:left="0"/>
              <w:rPr>
                <w:rFonts w:ascii="Aparajita" w:hAnsi="Aparajita" w:cs="Aparajita"/>
                <w:sz w:val="20"/>
                <w:szCs w:val="20"/>
              </w:rPr>
            </w:pPr>
          </w:p>
          <w:p w14:paraId="5FB1FA68" w14:textId="77777777" w:rsidR="005C347E" w:rsidRPr="005C347E" w:rsidRDefault="005C347E" w:rsidP="00213F29">
            <w:pPr>
              <w:pStyle w:val="ListParagraph"/>
              <w:ind w:left="0"/>
              <w:rPr>
                <w:rFonts w:ascii="Aparajita" w:hAnsi="Aparajita" w:cs="Aparajita"/>
                <w:sz w:val="20"/>
                <w:szCs w:val="20"/>
              </w:rPr>
            </w:pPr>
            <w:r w:rsidRPr="005C347E">
              <w:rPr>
                <w:rFonts w:ascii="Aparajita" w:hAnsi="Aparajita" w:cs="Aparajita"/>
                <w:sz w:val="20"/>
                <w:szCs w:val="20"/>
              </w:rPr>
              <w:t>MDR-TB: 83% of new and 80% of retreatment bacteriologically confirmed cases have been tested for MDR-TB. Of the confirmed MDR-TB cases 63% have been initiated second-line treatment. Treatment success rate among MDR cases for 2009 cohort was 73% with deaths and failures accounting for 7% each and defaults 5%.</w:t>
            </w:r>
          </w:p>
          <w:p w14:paraId="49E04178" w14:textId="77777777" w:rsidR="005C347E" w:rsidRPr="005C347E" w:rsidRDefault="005C347E" w:rsidP="00213F29">
            <w:pPr>
              <w:pStyle w:val="ListParagraph"/>
              <w:ind w:left="0"/>
              <w:rPr>
                <w:rFonts w:ascii="Aparajita" w:hAnsi="Aparajita" w:cs="Aparajita"/>
                <w:sz w:val="18"/>
                <w:szCs w:val="18"/>
              </w:rPr>
            </w:pPr>
          </w:p>
        </w:tc>
      </w:tr>
      <w:tr w:rsidR="005C347E" w:rsidRPr="005C347E" w14:paraId="7E471B4C" w14:textId="77777777" w:rsidTr="00213F29">
        <w:tblPrEx>
          <w:tblBorders>
            <w:insideV w:val="none" w:sz="0" w:space="0" w:color="auto"/>
          </w:tblBorders>
        </w:tblPrEx>
        <w:tc>
          <w:tcPr>
            <w:tcW w:w="9322" w:type="dxa"/>
            <w:gridSpan w:val="3"/>
            <w:shd w:val="clear" w:color="auto" w:fill="C6D9F1" w:themeFill="text2" w:themeFillTint="33"/>
          </w:tcPr>
          <w:p w14:paraId="1B6EA1EF" w14:textId="77777777" w:rsidR="005C347E" w:rsidRPr="005C347E" w:rsidRDefault="005C347E" w:rsidP="00213F29">
            <w:pPr>
              <w:rPr>
                <w:rFonts w:ascii="Adobe Fangsong Std R" w:eastAsia="Adobe Fangsong Std R" w:hAnsi="Adobe Fangsong Std R" w:cs="Aparajita"/>
                <w:b/>
                <w:sz w:val="20"/>
                <w:szCs w:val="20"/>
              </w:rPr>
            </w:pPr>
            <w:r w:rsidRPr="005C347E">
              <w:rPr>
                <w:rFonts w:ascii="Adobe Fangsong Std R" w:eastAsia="Adobe Fangsong Std R" w:hAnsi="Adobe Fangsong Std R" w:cs="Aparajita"/>
                <w:b/>
                <w:sz w:val="20"/>
                <w:szCs w:val="20"/>
              </w:rPr>
              <w:t>2.4 Resources</w:t>
            </w:r>
            <w:r w:rsidRPr="005C347E">
              <w:rPr>
                <w:rFonts w:ascii="Adobe Fangsong Std R" w:eastAsia="Adobe Fangsong Std R" w:hAnsi="Adobe Fangsong Std R" w:cs="Aparajita"/>
                <w:sz w:val="16"/>
                <w:szCs w:val="16"/>
              </w:rPr>
              <w:t xml:space="preserve"> : Government and partners contributions and resource gaps</w:t>
            </w:r>
          </w:p>
        </w:tc>
      </w:tr>
    </w:tbl>
    <w:p w14:paraId="08EF2BC6" w14:textId="77777777" w:rsidR="005C347E" w:rsidRPr="005C347E" w:rsidRDefault="005C347E" w:rsidP="005C347E">
      <w:pPr>
        <w:rPr>
          <w:rFonts w:ascii="Trebuchet MS" w:hAnsi="Trebuchet MS"/>
          <w:b/>
        </w:rPr>
      </w:pPr>
    </w:p>
    <w:p w14:paraId="5A6EF377" w14:textId="77777777" w:rsidR="005C347E" w:rsidRPr="005C347E" w:rsidRDefault="005C347E" w:rsidP="005C347E">
      <w:pPr>
        <w:rPr>
          <w:rFonts w:ascii="Trebuchet MS" w:hAnsi="Trebuchet MS"/>
          <w:b/>
        </w:rPr>
      </w:pPr>
      <w:r w:rsidRPr="005C347E">
        <w:rPr>
          <w:rFonts w:ascii="Trebuchet MS" w:hAnsi="Trebuchet MS"/>
          <w:b/>
        </w:rPr>
        <w:t>Available Trends in Program Financing</w:t>
      </w:r>
    </w:p>
    <w:p w14:paraId="6D7F0055" w14:textId="77777777" w:rsidR="005C347E" w:rsidRPr="005C347E" w:rsidRDefault="005C347E" w:rsidP="005C347E">
      <w:pPr>
        <w:spacing w:before="120"/>
        <w:rPr>
          <w:rFonts w:ascii="Trebuchet MS" w:hAnsi="Trebuchet MS"/>
          <w:sz w:val="18"/>
        </w:rPr>
      </w:pPr>
      <w:r w:rsidRPr="005C347E">
        <w:rPr>
          <w:noProof/>
          <w:lang w:eastAsia="en-GB"/>
        </w:rPr>
        <w:drawing>
          <wp:inline distT="0" distB="0" distL="0" distR="0" wp14:anchorId="75035292" wp14:editId="1B83997C">
            <wp:extent cx="4969510" cy="88265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CB07E" w14:textId="77777777" w:rsidR="005C347E" w:rsidRPr="005C347E" w:rsidRDefault="005C347E" w:rsidP="005C347E">
      <w:pPr>
        <w:spacing w:before="120"/>
        <w:rPr>
          <w:rFonts w:ascii="Trebuchet MS" w:hAnsi="Trebuchet MS"/>
          <w:sz w:val="18"/>
        </w:rPr>
      </w:pPr>
      <w:r w:rsidRPr="005C347E">
        <w:rPr>
          <w:rFonts w:ascii="Trebuchet MS" w:hAnsi="Trebuchet MS"/>
          <w:sz w:val="18"/>
        </w:rPr>
        <w:t>Source: OECD, WHO TB review, CCM</w:t>
      </w:r>
    </w:p>
    <w:p w14:paraId="7F4BB619" w14:textId="77777777" w:rsidR="005C347E" w:rsidRPr="005C347E" w:rsidRDefault="005C347E" w:rsidP="005C347E">
      <w:pPr>
        <w:spacing w:before="120"/>
        <w:rPr>
          <w:rFonts w:ascii="Trebuchet MS" w:hAnsi="Trebuchet MS"/>
          <w:sz w:val="18"/>
        </w:rPr>
      </w:pPr>
      <w:r w:rsidRPr="005C347E">
        <w:rPr>
          <w:rFonts w:ascii="Trebuchet MS" w:hAnsi="Trebuchet MS"/>
          <w:noProof/>
          <w:sz w:val="18"/>
          <w:lang w:eastAsia="en-GB"/>
        </w:rPr>
        <w:drawing>
          <wp:inline distT="0" distB="0" distL="0" distR="0" wp14:anchorId="22A3F9D9" wp14:editId="07B4BE78">
            <wp:extent cx="4580255" cy="2703195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5E59B" w14:textId="77777777" w:rsidR="005C347E" w:rsidRPr="005C347E" w:rsidRDefault="005C347E" w:rsidP="005C347E"/>
    <w:p w14:paraId="0F961CD7" w14:textId="77777777" w:rsidR="005C347E" w:rsidRPr="005C347E" w:rsidRDefault="005C347E" w:rsidP="005C347E"/>
    <w:tbl>
      <w:tblPr>
        <w:tblStyle w:val="TableGrid"/>
        <w:tblW w:w="9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2"/>
      </w:tblGrid>
      <w:tr w:rsidR="005C347E" w:rsidRPr="005C347E" w14:paraId="193D5C89" w14:textId="77777777" w:rsidTr="00213F29">
        <w:tc>
          <w:tcPr>
            <w:tcW w:w="9242" w:type="dxa"/>
            <w:shd w:val="clear" w:color="auto" w:fill="C6D9F1" w:themeFill="text2" w:themeFillTint="33"/>
          </w:tcPr>
          <w:p w14:paraId="0CDD1A0F" w14:textId="77777777" w:rsidR="005C347E" w:rsidRPr="005C347E" w:rsidRDefault="005C347E" w:rsidP="00213F29">
            <w:pPr>
              <w:rPr>
                <w:rFonts w:ascii="Adobe Fangsong Std R" w:eastAsia="Adobe Fangsong Std R" w:hAnsi="Adobe Fangsong Std R" w:cs="Aparajita"/>
                <w:b/>
                <w:sz w:val="20"/>
                <w:szCs w:val="20"/>
              </w:rPr>
            </w:pPr>
            <w:r w:rsidRPr="005C347E">
              <w:lastRenderedPageBreak/>
              <w:br w:type="page"/>
            </w:r>
            <w:r w:rsidRPr="005C347E">
              <w:br w:type="page"/>
            </w:r>
            <w:r w:rsidRPr="005C347E">
              <w:rPr>
                <w:rFonts w:ascii="Adobe Fangsong Std R" w:eastAsia="Adobe Fangsong Std R" w:hAnsi="Adobe Fangsong Std R" w:cs="Aparajita"/>
                <w:b/>
                <w:sz w:val="20"/>
                <w:szCs w:val="20"/>
              </w:rPr>
              <w:t xml:space="preserve">3. Comparison with other countries and Global targets </w:t>
            </w:r>
            <w:r w:rsidRPr="005C347E">
              <w:rPr>
                <w:rFonts w:ascii="Adobe Fangsong Std R" w:eastAsia="Adobe Fangsong Std R" w:hAnsi="Adobe Fangsong Std R" w:cs="Aparajita"/>
                <w:sz w:val="16"/>
                <w:szCs w:val="16"/>
              </w:rPr>
              <w:t>[How does the country compare with other countries AELAC-EECA Region and Global targets on key areas of the TB program?</w:t>
            </w:r>
          </w:p>
        </w:tc>
      </w:tr>
    </w:tbl>
    <w:p w14:paraId="6213B841" w14:textId="77777777" w:rsidR="005C347E" w:rsidRPr="005C347E" w:rsidRDefault="005C347E" w:rsidP="005C347E"/>
    <w:p w14:paraId="29907034" w14:textId="77777777" w:rsidR="005C347E" w:rsidRPr="005C347E" w:rsidRDefault="005C347E" w:rsidP="005C347E">
      <w:pPr>
        <w:pStyle w:val="ListParagraph"/>
        <w:ind w:left="0"/>
        <w:rPr>
          <w:rFonts w:ascii="Aparajita" w:hAnsi="Aparajita" w:cs="Aparajita"/>
          <w:sz w:val="20"/>
          <w:szCs w:val="20"/>
        </w:rPr>
      </w:pPr>
      <w:r w:rsidRPr="005C347E">
        <w:rPr>
          <w:rFonts w:ascii="Aparajita" w:hAnsi="Aparajita" w:cs="Aparajita"/>
          <w:sz w:val="20"/>
          <w:szCs w:val="20"/>
        </w:rPr>
        <w:t>As compared to Global targets and countries in AELAC-EECA regions, Kazakhstan is performing well on case detection  (92%, all forms) and HIV testing among notified TB cases (85%). Area that require specific attention for include: improving treatment success rate (currently at 61%), enrolling TB/HIV co-infected patients on ART (currently only at 9%), and enrolling MDR-TB diagnosed patients on treatment (currently at 63%).</w:t>
      </w:r>
    </w:p>
    <w:p w14:paraId="252D4585" w14:textId="77777777" w:rsidR="005C347E" w:rsidRPr="005C347E" w:rsidRDefault="005C347E" w:rsidP="005C347E">
      <w:pPr>
        <w:pStyle w:val="ListParagraph"/>
        <w:ind w:left="0"/>
        <w:rPr>
          <w:rFonts w:ascii="Aparajita" w:hAnsi="Aparajita" w:cs="Aparajita"/>
          <w:sz w:val="20"/>
          <w:szCs w:val="20"/>
        </w:rPr>
      </w:pPr>
    </w:p>
    <w:p w14:paraId="54D0D5DC" w14:textId="77777777" w:rsidR="005C347E" w:rsidRPr="005C347E" w:rsidRDefault="005C347E" w:rsidP="005C347E">
      <w:r w:rsidRPr="005C347E">
        <w:rPr>
          <w:noProof/>
          <w:lang w:eastAsia="en-GB"/>
        </w:rPr>
        <w:drawing>
          <wp:inline distT="0" distB="0" distL="0" distR="0" wp14:anchorId="3BFBC3C2" wp14:editId="4491ABDD">
            <wp:extent cx="5812403" cy="3729162"/>
            <wp:effectExtent l="0" t="0" r="17145" b="2413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AA92AE4" w14:textId="77777777" w:rsidR="005C347E" w:rsidRPr="005C347E" w:rsidRDefault="005C347E" w:rsidP="005C347E"/>
    <w:p w14:paraId="76DF6216" w14:textId="77777777" w:rsidR="005C347E" w:rsidRPr="005C347E" w:rsidRDefault="005C347E" w:rsidP="005C347E"/>
    <w:p w14:paraId="72C2F075" w14:textId="77777777" w:rsidR="005C347E" w:rsidRPr="005C347E" w:rsidRDefault="005C347E" w:rsidP="005C347E"/>
    <w:p w14:paraId="3B8FAC1E" w14:textId="77777777" w:rsidR="005C347E" w:rsidRPr="005C347E" w:rsidRDefault="005C347E" w:rsidP="005C347E">
      <w:r w:rsidRPr="005C347E">
        <w:rPr>
          <w:noProof/>
          <w:lang w:eastAsia="en-GB"/>
        </w:rPr>
        <w:lastRenderedPageBreak/>
        <w:drawing>
          <wp:inline distT="0" distB="0" distL="0" distR="0" wp14:anchorId="237B1494" wp14:editId="43D13CB2">
            <wp:extent cx="5731510" cy="3947149"/>
            <wp:effectExtent l="0" t="0" r="21590" b="1587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1CADF3B" w14:textId="77777777" w:rsidR="005C347E" w:rsidRPr="005C347E" w:rsidRDefault="005C347E" w:rsidP="005C347E"/>
    <w:p w14:paraId="2EE2963A" w14:textId="77777777" w:rsidR="005C347E" w:rsidRPr="005C347E" w:rsidRDefault="005C347E" w:rsidP="005C347E">
      <w:r w:rsidRPr="005C347E">
        <w:rPr>
          <w:noProof/>
          <w:lang w:eastAsia="en-GB"/>
        </w:rPr>
        <w:drawing>
          <wp:inline distT="0" distB="0" distL="0" distR="0" wp14:anchorId="4D1244B7" wp14:editId="50E30855">
            <wp:extent cx="5731510" cy="3598727"/>
            <wp:effectExtent l="0" t="0" r="21590" b="2095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45AA06F6" w14:textId="77777777" w:rsidR="005C347E" w:rsidRPr="005C347E" w:rsidRDefault="005C347E" w:rsidP="005C347E"/>
    <w:p w14:paraId="26D9E7AE" w14:textId="77777777" w:rsidR="005C347E" w:rsidRPr="005C347E" w:rsidRDefault="005C347E" w:rsidP="005C347E"/>
    <w:p w14:paraId="1099CFA9" w14:textId="77777777" w:rsidR="005C347E" w:rsidRPr="005C347E" w:rsidRDefault="005C347E" w:rsidP="005C347E">
      <w:r w:rsidRPr="005C347E">
        <w:rPr>
          <w:noProof/>
          <w:lang w:eastAsia="en-GB"/>
        </w:rPr>
        <w:lastRenderedPageBreak/>
        <w:drawing>
          <wp:inline distT="0" distB="0" distL="0" distR="0" wp14:anchorId="30C37547" wp14:editId="5576FACF">
            <wp:extent cx="5731510" cy="3339094"/>
            <wp:effectExtent l="0" t="0" r="21590" b="1397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47C0CA6C" w14:textId="77777777" w:rsidR="005C347E" w:rsidRPr="005C347E" w:rsidRDefault="005C347E" w:rsidP="00213F29">
      <w:pPr>
        <w:rPr>
          <w:rFonts w:eastAsia="Adobe Fangsong Std R" w:cs="Aparajita"/>
          <w:b/>
          <w:sz w:val="20"/>
          <w:szCs w:val="20"/>
        </w:rPr>
      </w:pPr>
    </w:p>
    <w:p w14:paraId="4A227736" w14:textId="77777777" w:rsidR="005C347E" w:rsidRPr="005C347E" w:rsidRDefault="005C347E" w:rsidP="006D0C79">
      <w:pPr>
        <w:jc w:val="center"/>
        <w:rPr>
          <w:rFonts w:eastAsia="Adobe Fangsong Std R" w:cs="Aparajita"/>
          <w:b/>
          <w:sz w:val="20"/>
          <w:szCs w:val="20"/>
        </w:rPr>
      </w:pPr>
    </w:p>
    <w:p w14:paraId="274434A0" w14:textId="307B6070" w:rsidR="005C347E" w:rsidRPr="00F109F7" w:rsidRDefault="005C347E" w:rsidP="006D0C79">
      <w:pPr>
        <w:jc w:val="center"/>
        <w:rPr>
          <w:rFonts w:eastAsia="Adobe Fangsong Std R" w:cs="Aparajita"/>
          <w:b/>
          <w:color w:val="000000" w:themeColor="text1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082F8620" wp14:editId="22394082">
            <wp:extent cx="5731510" cy="3220913"/>
            <wp:effectExtent l="0" t="0" r="21590" b="1778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sectPr w:rsidR="005C347E" w:rsidRPr="00F109F7" w:rsidSect="000B3F29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type w:val="continuous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A3161" w14:textId="77777777" w:rsidR="00213F29" w:rsidRDefault="00213F29" w:rsidP="00274ED0">
      <w:r>
        <w:separator/>
      </w:r>
    </w:p>
  </w:endnote>
  <w:endnote w:type="continuationSeparator" w:id="0">
    <w:p w14:paraId="69E44301" w14:textId="77777777" w:rsidR="00213F29" w:rsidRDefault="00213F29" w:rsidP="00274ED0">
      <w:r>
        <w:continuationSeparator/>
      </w:r>
    </w:p>
  </w:endnote>
  <w:endnote w:type="continuationNotice" w:id="1">
    <w:p w14:paraId="62BCB907" w14:textId="77777777" w:rsidR="00213F29" w:rsidRDefault="00213F2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63B94" w14:textId="77777777" w:rsidR="00213F29" w:rsidRDefault="00213F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63B95" w14:textId="77777777" w:rsidR="00213F29" w:rsidRPr="00CD5002" w:rsidRDefault="00213F29" w:rsidP="00CD5002">
    <w:pPr>
      <w:pStyle w:val="Footer"/>
      <w:ind w:right="-1390"/>
    </w:pPr>
    <w:r>
      <w:rPr>
        <w:noProof/>
        <w:lang w:eastAsia="en-GB"/>
      </w:rPr>
      <w:drawing>
        <wp:inline distT="0" distB="0" distL="0" distR="0" wp14:anchorId="0A363B98" wp14:editId="0A363B99">
          <wp:extent cx="6768000" cy="183600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000" cy="18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63B97" w14:textId="77777777" w:rsidR="00213F29" w:rsidRPr="00A1327F" w:rsidRDefault="00213F29" w:rsidP="00FD1F5F">
    <w:pPr>
      <w:pStyle w:val="Footer"/>
      <w:ind w:right="-1390"/>
    </w:pPr>
    <w:r>
      <w:rPr>
        <w:noProof/>
        <w:lang w:eastAsia="en-GB"/>
      </w:rPr>
      <w:drawing>
        <wp:inline distT="0" distB="0" distL="0" distR="0" wp14:anchorId="0A363B9C" wp14:editId="0A363B9D">
          <wp:extent cx="6768000" cy="183600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000" cy="18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9099B" w14:textId="77777777" w:rsidR="00213F29" w:rsidRDefault="00213F29" w:rsidP="00274ED0">
      <w:r>
        <w:separator/>
      </w:r>
    </w:p>
  </w:footnote>
  <w:footnote w:type="continuationSeparator" w:id="0">
    <w:p w14:paraId="22597C2C" w14:textId="77777777" w:rsidR="00213F29" w:rsidRDefault="00213F29" w:rsidP="00274ED0">
      <w:r>
        <w:continuationSeparator/>
      </w:r>
    </w:p>
  </w:footnote>
  <w:footnote w:type="continuationNotice" w:id="1">
    <w:p w14:paraId="4E1046DF" w14:textId="77777777" w:rsidR="00213F29" w:rsidRDefault="00213F29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63B92" w14:textId="77777777" w:rsidR="00213F29" w:rsidRDefault="00213F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63B93" w14:textId="77777777" w:rsidR="00213F29" w:rsidRPr="00E37B2C" w:rsidRDefault="00213F29" w:rsidP="00902DDD">
    <w:pPr>
      <w:pStyle w:val="Header"/>
    </w:pPr>
    <w:r w:rsidRPr="00E37B2C">
      <w:fldChar w:fldCharType="begin"/>
    </w:r>
    <w:r w:rsidRPr="00E37B2C">
      <w:instrText xml:space="preserve"> PAGE   \* MERGEFORMAT </w:instrText>
    </w:r>
    <w:r w:rsidRPr="00E37B2C">
      <w:fldChar w:fldCharType="separate"/>
    </w:r>
    <w:r w:rsidR="00350376">
      <w:rPr>
        <w:noProof/>
      </w:rPr>
      <w:t>1</w:t>
    </w:r>
    <w:r w:rsidRPr="00E37B2C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63B96" w14:textId="77777777" w:rsidR="00213F29" w:rsidRPr="004202AB" w:rsidRDefault="00213F29" w:rsidP="00B74481">
    <w:pPr>
      <w:pStyle w:val="Header"/>
      <w:ind w:right="-1390"/>
    </w:pPr>
    <w:r>
      <w:rPr>
        <w:noProof/>
        <w:lang w:eastAsia="en-GB"/>
      </w:rPr>
      <w:drawing>
        <wp:inline distT="0" distB="0" distL="0" distR="0" wp14:anchorId="0A363B9A" wp14:editId="0A363B9B">
          <wp:extent cx="6772275" cy="1231200"/>
          <wp:effectExtent l="19050" t="0" r="9525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EN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275" cy="123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10A5"/>
    <w:multiLevelType w:val="hybridMultilevel"/>
    <w:tmpl w:val="A75289D4"/>
    <w:lvl w:ilvl="0" w:tplc="90C0C2A4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B2A12"/>
    <w:multiLevelType w:val="hybridMultilevel"/>
    <w:tmpl w:val="E5AA4C94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B1BDA"/>
    <w:multiLevelType w:val="hybridMultilevel"/>
    <w:tmpl w:val="6DB4245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2759A7"/>
    <w:multiLevelType w:val="hybridMultilevel"/>
    <w:tmpl w:val="1968E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423D7"/>
    <w:multiLevelType w:val="hybridMultilevel"/>
    <w:tmpl w:val="B6964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279EF"/>
    <w:multiLevelType w:val="hybridMultilevel"/>
    <w:tmpl w:val="72661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A7060"/>
    <w:multiLevelType w:val="hybridMultilevel"/>
    <w:tmpl w:val="DC403C9C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C434D1D"/>
    <w:multiLevelType w:val="hybridMultilevel"/>
    <w:tmpl w:val="A31E30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7720B"/>
    <w:multiLevelType w:val="hybridMultilevel"/>
    <w:tmpl w:val="94946F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702C9"/>
    <w:multiLevelType w:val="hybridMultilevel"/>
    <w:tmpl w:val="1B76E3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03785A"/>
    <w:multiLevelType w:val="hybridMultilevel"/>
    <w:tmpl w:val="29F63FB4"/>
    <w:lvl w:ilvl="0" w:tplc="EEB4384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478460B4"/>
    <w:multiLevelType w:val="hybridMultilevel"/>
    <w:tmpl w:val="1968E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C47E8"/>
    <w:multiLevelType w:val="hybridMultilevel"/>
    <w:tmpl w:val="95323C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AC77FA"/>
    <w:multiLevelType w:val="hybridMultilevel"/>
    <w:tmpl w:val="EF508CD8"/>
    <w:lvl w:ilvl="0" w:tplc="2C8C42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04857FD"/>
    <w:multiLevelType w:val="hybridMultilevel"/>
    <w:tmpl w:val="9370953C"/>
    <w:lvl w:ilvl="0" w:tplc="EEB43846">
      <w:start w:val="1"/>
      <w:numFmt w:val="decimal"/>
      <w:lvlText w:val="%1."/>
      <w:lvlJc w:val="left"/>
      <w:pPr>
        <w:ind w:left="29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538408A"/>
    <w:multiLevelType w:val="hybridMultilevel"/>
    <w:tmpl w:val="5706D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383910"/>
    <w:multiLevelType w:val="hybridMultilevel"/>
    <w:tmpl w:val="824C18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50AD14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BA6380"/>
    <w:multiLevelType w:val="hybridMultilevel"/>
    <w:tmpl w:val="56C06F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14"/>
  </w:num>
  <w:num w:numId="9">
    <w:abstractNumId w:val="0"/>
  </w:num>
  <w:num w:numId="10">
    <w:abstractNumId w:val="5"/>
  </w:num>
  <w:num w:numId="11">
    <w:abstractNumId w:val="17"/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  <w:num w:numId="17">
    <w:abstractNumId w:val="4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LockTheme/>
  <w:styleLockQFSet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CD"/>
    <w:rsid w:val="00007D17"/>
    <w:rsid w:val="0002048A"/>
    <w:rsid w:val="000205E2"/>
    <w:rsid w:val="00041DE8"/>
    <w:rsid w:val="000579BF"/>
    <w:rsid w:val="000852C6"/>
    <w:rsid w:val="00094C56"/>
    <w:rsid w:val="000A7BB4"/>
    <w:rsid w:val="000B0DA9"/>
    <w:rsid w:val="000B3F29"/>
    <w:rsid w:val="000D1A70"/>
    <w:rsid w:val="000D5F99"/>
    <w:rsid w:val="000D6719"/>
    <w:rsid w:val="000F1AD4"/>
    <w:rsid w:val="000F2E28"/>
    <w:rsid w:val="00111C3B"/>
    <w:rsid w:val="001567F5"/>
    <w:rsid w:val="001569A5"/>
    <w:rsid w:val="0016368E"/>
    <w:rsid w:val="00163CEF"/>
    <w:rsid w:val="00163FE6"/>
    <w:rsid w:val="00164FB5"/>
    <w:rsid w:val="001716E7"/>
    <w:rsid w:val="00174C49"/>
    <w:rsid w:val="00180386"/>
    <w:rsid w:val="001B2748"/>
    <w:rsid w:val="001B4896"/>
    <w:rsid w:val="001B5A8A"/>
    <w:rsid w:val="001D2BA3"/>
    <w:rsid w:val="001E1050"/>
    <w:rsid w:val="001E193C"/>
    <w:rsid w:val="001F216B"/>
    <w:rsid w:val="001F753E"/>
    <w:rsid w:val="00200901"/>
    <w:rsid w:val="00213F29"/>
    <w:rsid w:val="0023314E"/>
    <w:rsid w:val="002333D3"/>
    <w:rsid w:val="0025356C"/>
    <w:rsid w:val="00274ED0"/>
    <w:rsid w:val="00274F24"/>
    <w:rsid w:val="00297ADD"/>
    <w:rsid w:val="002A33E2"/>
    <w:rsid w:val="002A6F93"/>
    <w:rsid w:val="002C02C6"/>
    <w:rsid w:val="002C14E6"/>
    <w:rsid w:val="002C4517"/>
    <w:rsid w:val="002D7BEB"/>
    <w:rsid w:val="002E68F4"/>
    <w:rsid w:val="002F4BF8"/>
    <w:rsid w:val="00301454"/>
    <w:rsid w:val="00306431"/>
    <w:rsid w:val="00321B63"/>
    <w:rsid w:val="00333281"/>
    <w:rsid w:val="00350376"/>
    <w:rsid w:val="00357315"/>
    <w:rsid w:val="00376B3C"/>
    <w:rsid w:val="003852F1"/>
    <w:rsid w:val="0038582B"/>
    <w:rsid w:val="00386500"/>
    <w:rsid w:val="003A3CFC"/>
    <w:rsid w:val="003C0F40"/>
    <w:rsid w:val="003D0102"/>
    <w:rsid w:val="003D6F7F"/>
    <w:rsid w:val="003E5FEF"/>
    <w:rsid w:val="004202AB"/>
    <w:rsid w:val="00420701"/>
    <w:rsid w:val="00460423"/>
    <w:rsid w:val="00465FCA"/>
    <w:rsid w:val="00472624"/>
    <w:rsid w:val="0047764F"/>
    <w:rsid w:val="004923DB"/>
    <w:rsid w:val="004939DD"/>
    <w:rsid w:val="004A270A"/>
    <w:rsid w:val="004A3AF0"/>
    <w:rsid w:val="004B306A"/>
    <w:rsid w:val="004B39CD"/>
    <w:rsid w:val="004B6620"/>
    <w:rsid w:val="004E4BC1"/>
    <w:rsid w:val="004E7549"/>
    <w:rsid w:val="00511404"/>
    <w:rsid w:val="00537EB9"/>
    <w:rsid w:val="005522CD"/>
    <w:rsid w:val="00560DEF"/>
    <w:rsid w:val="00570E82"/>
    <w:rsid w:val="00581EF8"/>
    <w:rsid w:val="00582715"/>
    <w:rsid w:val="00591C6B"/>
    <w:rsid w:val="005924F1"/>
    <w:rsid w:val="00597A15"/>
    <w:rsid w:val="005B264D"/>
    <w:rsid w:val="005B2A63"/>
    <w:rsid w:val="005C347E"/>
    <w:rsid w:val="006015AB"/>
    <w:rsid w:val="00642873"/>
    <w:rsid w:val="00654659"/>
    <w:rsid w:val="00675E1D"/>
    <w:rsid w:val="00685263"/>
    <w:rsid w:val="00694ACB"/>
    <w:rsid w:val="006A32E0"/>
    <w:rsid w:val="006B7201"/>
    <w:rsid w:val="006C6D8D"/>
    <w:rsid w:val="006D0C79"/>
    <w:rsid w:val="006E48F0"/>
    <w:rsid w:val="006F5DF2"/>
    <w:rsid w:val="0070563E"/>
    <w:rsid w:val="00726DFE"/>
    <w:rsid w:val="00730A90"/>
    <w:rsid w:val="00752D32"/>
    <w:rsid w:val="00767FE5"/>
    <w:rsid w:val="00770EC3"/>
    <w:rsid w:val="0077359B"/>
    <w:rsid w:val="00773E8F"/>
    <w:rsid w:val="007B6131"/>
    <w:rsid w:val="007B6D77"/>
    <w:rsid w:val="007C1E2F"/>
    <w:rsid w:val="007C61BB"/>
    <w:rsid w:val="00806B09"/>
    <w:rsid w:val="00821843"/>
    <w:rsid w:val="0083362C"/>
    <w:rsid w:val="008437A4"/>
    <w:rsid w:val="00862983"/>
    <w:rsid w:val="00865A88"/>
    <w:rsid w:val="0089320A"/>
    <w:rsid w:val="00895F94"/>
    <w:rsid w:val="0089666D"/>
    <w:rsid w:val="008B1831"/>
    <w:rsid w:val="008C00F2"/>
    <w:rsid w:val="008D655A"/>
    <w:rsid w:val="008F164D"/>
    <w:rsid w:val="00902DDD"/>
    <w:rsid w:val="00920C0A"/>
    <w:rsid w:val="00922B0F"/>
    <w:rsid w:val="00923B01"/>
    <w:rsid w:val="00934A8E"/>
    <w:rsid w:val="009634AF"/>
    <w:rsid w:val="00981EB3"/>
    <w:rsid w:val="0098448D"/>
    <w:rsid w:val="009A3E89"/>
    <w:rsid w:val="009A703D"/>
    <w:rsid w:val="009B05B9"/>
    <w:rsid w:val="009C669F"/>
    <w:rsid w:val="00A11C13"/>
    <w:rsid w:val="00A1327F"/>
    <w:rsid w:val="00A16545"/>
    <w:rsid w:val="00A34194"/>
    <w:rsid w:val="00A34EFB"/>
    <w:rsid w:val="00A351D5"/>
    <w:rsid w:val="00A35CF5"/>
    <w:rsid w:val="00A42DF5"/>
    <w:rsid w:val="00A73D2A"/>
    <w:rsid w:val="00A746F7"/>
    <w:rsid w:val="00A772B2"/>
    <w:rsid w:val="00A77C83"/>
    <w:rsid w:val="00A83155"/>
    <w:rsid w:val="00A8474B"/>
    <w:rsid w:val="00A854A9"/>
    <w:rsid w:val="00AD2035"/>
    <w:rsid w:val="00AF78CF"/>
    <w:rsid w:val="00B03F95"/>
    <w:rsid w:val="00B06C9B"/>
    <w:rsid w:val="00B16D99"/>
    <w:rsid w:val="00B60B24"/>
    <w:rsid w:val="00B74481"/>
    <w:rsid w:val="00B9797A"/>
    <w:rsid w:val="00BA64F1"/>
    <w:rsid w:val="00BC47D9"/>
    <w:rsid w:val="00BF2566"/>
    <w:rsid w:val="00C201CD"/>
    <w:rsid w:val="00C335F5"/>
    <w:rsid w:val="00C43CD6"/>
    <w:rsid w:val="00C50993"/>
    <w:rsid w:val="00C865D4"/>
    <w:rsid w:val="00C94977"/>
    <w:rsid w:val="00C95866"/>
    <w:rsid w:val="00CB0943"/>
    <w:rsid w:val="00CB1499"/>
    <w:rsid w:val="00CC4DFC"/>
    <w:rsid w:val="00CC66D4"/>
    <w:rsid w:val="00CC7653"/>
    <w:rsid w:val="00CD12A2"/>
    <w:rsid w:val="00CD5002"/>
    <w:rsid w:val="00CD7162"/>
    <w:rsid w:val="00CD76E5"/>
    <w:rsid w:val="00CF3B4C"/>
    <w:rsid w:val="00D04272"/>
    <w:rsid w:val="00D113BE"/>
    <w:rsid w:val="00D137D2"/>
    <w:rsid w:val="00D20C70"/>
    <w:rsid w:val="00D210AE"/>
    <w:rsid w:val="00D62488"/>
    <w:rsid w:val="00D73690"/>
    <w:rsid w:val="00D80924"/>
    <w:rsid w:val="00D81409"/>
    <w:rsid w:val="00D96828"/>
    <w:rsid w:val="00DA29F6"/>
    <w:rsid w:val="00DF72CF"/>
    <w:rsid w:val="00E02E88"/>
    <w:rsid w:val="00E134C5"/>
    <w:rsid w:val="00E25BD9"/>
    <w:rsid w:val="00E31192"/>
    <w:rsid w:val="00E36AE0"/>
    <w:rsid w:val="00E37B2C"/>
    <w:rsid w:val="00E41706"/>
    <w:rsid w:val="00E5067C"/>
    <w:rsid w:val="00E70207"/>
    <w:rsid w:val="00E76000"/>
    <w:rsid w:val="00E92ACE"/>
    <w:rsid w:val="00EC7C6C"/>
    <w:rsid w:val="00ED3AF1"/>
    <w:rsid w:val="00ED6A4F"/>
    <w:rsid w:val="00EE1871"/>
    <w:rsid w:val="00EE769F"/>
    <w:rsid w:val="00EF1872"/>
    <w:rsid w:val="00F00CE5"/>
    <w:rsid w:val="00F109F7"/>
    <w:rsid w:val="00F21E03"/>
    <w:rsid w:val="00F24111"/>
    <w:rsid w:val="00F26BA5"/>
    <w:rsid w:val="00F30898"/>
    <w:rsid w:val="00F5517A"/>
    <w:rsid w:val="00F600D8"/>
    <w:rsid w:val="00F63D86"/>
    <w:rsid w:val="00F6636B"/>
    <w:rsid w:val="00F677AA"/>
    <w:rsid w:val="00F806B6"/>
    <w:rsid w:val="00F809F9"/>
    <w:rsid w:val="00F85B27"/>
    <w:rsid w:val="00F949B7"/>
    <w:rsid w:val="00FA2132"/>
    <w:rsid w:val="00FA7422"/>
    <w:rsid w:val="00FB1B76"/>
    <w:rsid w:val="00FB291E"/>
    <w:rsid w:val="00FB2AA0"/>
    <w:rsid w:val="00FC59FA"/>
    <w:rsid w:val="00FD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A363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semiHidden="0" w:uiPriority="9" w:unhideWhenUsed="0" w:qFormat="1"/>
    <w:lsdException w:name="heading 5" w:locked="0" w:uiPriority="9" w:unhideWhenUsed="0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 w:qFormat="1"/>
    <w:lsdException w:name="footer" w:locked="0" w:qFormat="1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iPriority="1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uiPriority="22" w:unhideWhenUsed="0" w:qFormat="1"/>
    <w:lsdException w:name="Emphasis" w:locked="0" w:uiPriority="20" w:unhideWhenUs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uiPriority="34" w:unhideWhenUsed="0" w:qFormat="1"/>
    <w:lsdException w:name="Quote" w:locked="0" w:uiPriority="29" w:unhideWhenUsed="0"/>
    <w:lsdException w:name="Intense Quote" w:locked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iPriority="19" w:unhideWhenUsed="0" w:qFormat="1"/>
    <w:lsdException w:name="Intense Emphasis" w:locked="0" w:uiPriority="21" w:unhideWhenUsed="0"/>
    <w:lsdException w:name="Subtle Reference" w:locked="0" w:uiPriority="31" w:unhideWhenUsed="0"/>
    <w:lsdException w:name="Intense Reference" w:locked="0" w:uiPriority="32" w:unhideWhenUsed="0"/>
    <w:lsdException w:name="Book Title" w:locked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5517A"/>
    <w:pPr>
      <w:spacing w:after="120" w:line="240" w:lineRule="auto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D86"/>
    <w:pPr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D86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3D86"/>
    <w:p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3D86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5517A"/>
    <w:pPr>
      <w:tabs>
        <w:tab w:val="center" w:pos="4513"/>
        <w:tab w:val="right" w:pos="9026"/>
      </w:tabs>
      <w:ind w:left="-1474" w:right="-1474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F5517A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qFormat/>
    <w:rsid w:val="00F5517A"/>
    <w:pPr>
      <w:tabs>
        <w:tab w:val="center" w:pos="4513"/>
        <w:tab w:val="right" w:pos="9026"/>
      </w:tabs>
      <w:spacing w:after="0"/>
      <w:ind w:left="-1474" w:right="-1474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F5517A"/>
    <w:rPr>
      <w:rFonts w:ascii="Georgia" w:hAnsi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0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E76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63D86"/>
    <w:rPr>
      <w:rFonts w:ascii="Georgia" w:hAnsi="Georgia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3D86"/>
    <w:rPr>
      <w:rFonts w:ascii="Georgia" w:hAnsi="Georgia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63D86"/>
    <w:rPr>
      <w:rFonts w:ascii="Georgia" w:hAnsi="Georgia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3D86"/>
    <w:rPr>
      <w:rFonts w:ascii="Georgia" w:hAnsi="Georgia"/>
    </w:rPr>
  </w:style>
  <w:style w:type="paragraph" w:styleId="TOC1">
    <w:name w:val="toc 1"/>
    <w:basedOn w:val="Normal"/>
    <w:next w:val="Normal"/>
    <w:autoRedefine/>
    <w:uiPriority w:val="39"/>
    <w:unhideWhenUsed/>
    <w:rsid w:val="00F63D86"/>
    <w:pPr>
      <w:tabs>
        <w:tab w:val="right" w:leader="dot" w:pos="8948"/>
      </w:tabs>
      <w:spacing w:before="120" w:after="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221"/>
    </w:pPr>
    <w:rPr>
      <w:noProof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442"/>
    </w:pPr>
    <w:rPr>
      <w:noProof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658"/>
    </w:pPr>
  </w:style>
  <w:style w:type="character" w:styleId="Hyperlink">
    <w:name w:val="Hyperlink"/>
    <w:basedOn w:val="DefaultParagraphFont"/>
    <w:uiPriority w:val="99"/>
    <w:unhideWhenUsed/>
    <w:rsid w:val="00F63D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3F2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11C3B"/>
    <w:pPr>
      <w:spacing w:after="0"/>
    </w:pPr>
    <w:rPr>
      <w:rFonts w:ascii="Calibri" w:eastAsia="Calibri" w:hAnsi="Calibri" w:cs="Times New Roman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1C3B"/>
    <w:rPr>
      <w:rFonts w:ascii="Calibri" w:eastAsia="Calibri" w:hAnsi="Calibri" w:cs="Times New Roman"/>
      <w:szCs w:val="21"/>
      <w:lang w:val="x-none"/>
    </w:rPr>
  </w:style>
  <w:style w:type="paragraph" w:customStyle="1" w:styleId="Block">
    <w:name w:val="Block"/>
    <w:basedOn w:val="Normal"/>
    <w:link w:val="BlockChar"/>
    <w:rsid w:val="002C4517"/>
    <w:pPr>
      <w:tabs>
        <w:tab w:val="left" w:pos="360"/>
      </w:tabs>
      <w:spacing w:after="0"/>
      <w:ind w:left="36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lockChar">
    <w:name w:val="Block Char"/>
    <w:link w:val="Block"/>
    <w:rsid w:val="002C4517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8437A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41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7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706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706"/>
    <w:rPr>
      <w:rFonts w:ascii="Georgia" w:hAnsi="Georgia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535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113BE"/>
    <w:rPr>
      <w:b/>
      <w:bCs/>
    </w:rPr>
  </w:style>
  <w:style w:type="table" w:customStyle="1" w:styleId="TableGrid2">
    <w:name w:val="Table Grid2"/>
    <w:basedOn w:val="TableNormal"/>
    <w:next w:val="TableGrid"/>
    <w:uiPriority w:val="59"/>
    <w:rsid w:val="00FB1B7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semiHidden="0" w:uiPriority="9" w:unhideWhenUsed="0" w:qFormat="1"/>
    <w:lsdException w:name="heading 5" w:locked="0" w:uiPriority="9" w:unhideWhenUsed="0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 w:qFormat="1"/>
    <w:lsdException w:name="footer" w:locked="0" w:qFormat="1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iPriority="1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uiPriority="22" w:unhideWhenUsed="0" w:qFormat="1"/>
    <w:lsdException w:name="Emphasis" w:locked="0" w:uiPriority="20" w:unhideWhenUs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uiPriority="34" w:unhideWhenUsed="0" w:qFormat="1"/>
    <w:lsdException w:name="Quote" w:locked="0" w:uiPriority="29" w:unhideWhenUsed="0"/>
    <w:lsdException w:name="Intense Quote" w:locked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iPriority="19" w:unhideWhenUsed="0" w:qFormat="1"/>
    <w:lsdException w:name="Intense Emphasis" w:locked="0" w:uiPriority="21" w:unhideWhenUsed="0"/>
    <w:lsdException w:name="Subtle Reference" w:locked="0" w:uiPriority="31" w:unhideWhenUsed="0"/>
    <w:lsdException w:name="Intense Reference" w:locked="0" w:uiPriority="32" w:unhideWhenUsed="0"/>
    <w:lsdException w:name="Book Title" w:locked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5517A"/>
    <w:pPr>
      <w:spacing w:after="120" w:line="240" w:lineRule="auto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D86"/>
    <w:pPr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D86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3D86"/>
    <w:p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3D86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5517A"/>
    <w:pPr>
      <w:tabs>
        <w:tab w:val="center" w:pos="4513"/>
        <w:tab w:val="right" w:pos="9026"/>
      </w:tabs>
      <w:ind w:left="-1474" w:right="-1474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F5517A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qFormat/>
    <w:rsid w:val="00F5517A"/>
    <w:pPr>
      <w:tabs>
        <w:tab w:val="center" w:pos="4513"/>
        <w:tab w:val="right" w:pos="9026"/>
      </w:tabs>
      <w:spacing w:after="0"/>
      <w:ind w:left="-1474" w:right="-1474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F5517A"/>
    <w:rPr>
      <w:rFonts w:ascii="Georgia" w:hAnsi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0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E76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63D86"/>
    <w:rPr>
      <w:rFonts w:ascii="Georgia" w:hAnsi="Georgia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3D86"/>
    <w:rPr>
      <w:rFonts w:ascii="Georgia" w:hAnsi="Georgia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63D86"/>
    <w:rPr>
      <w:rFonts w:ascii="Georgia" w:hAnsi="Georgia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3D86"/>
    <w:rPr>
      <w:rFonts w:ascii="Georgia" w:hAnsi="Georgia"/>
    </w:rPr>
  </w:style>
  <w:style w:type="paragraph" w:styleId="TOC1">
    <w:name w:val="toc 1"/>
    <w:basedOn w:val="Normal"/>
    <w:next w:val="Normal"/>
    <w:autoRedefine/>
    <w:uiPriority w:val="39"/>
    <w:unhideWhenUsed/>
    <w:rsid w:val="00F63D86"/>
    <w:pPr>
      <w:tabs>
        <w:tab w:val="right" w:leader="dot" w:pos="8948"/>
      </w:tabs>
      <w:spacing w:before="120" w:after="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221"/>
    </w:pPr>
    <w:rPr>
      <w:noProof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442"/>
    </w:pPr>
    <w:rPr>
      <w:noProof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658"/>
    </w:pPr>
  </w:style>
  <w:style w:type="character" w:styleId="Hyperlink">
    <w:name w:val="Hyperlink"/>
    <w:basedOn w:val="DefaultParagraphFont"/>
    <w:uiPriority w:val="99"/>
    <w:unhideWhenUsed/>
    <w:rsid w:val="00F63D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3F2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11C3B"/>
    <w:pPr>
      <w:spacing w:after="0"/>
    </w:pPr>
    <w:rPr>
      <w:rFonts w:ascii="Calibri" w:eastAsia="Calibri" w:hAnsi="Calibri" w:cs="Times New Roman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1C3B"/>
    <w:rPr>
      <w:rFonts w:ascii="Calibri" w:eastAsia="Calibri" w:hAnsi="Calibri" w:cs="Times New Roman"/>
      <w:szCs w:val="21"/>
      <w:lang w:val="x-none"/>
    </w:rPr>
  </w:style>
  <w:style w:type="paragraph" w:customStyle="1" w:styleId="Block">
    <w:name w:val="Block"/>
    <w:basedOn w:val="Normal"/>
    <w:link w:val="BlockChar"/>
    <w:rsid w:val="002C4517"/>
    <w:pPr>
      <w:tabs>
        <w:tab w:val="left" w:pos="360"/>
      </w:tabs>
      <w:spacing w:after="0"/>
      <w:ind w:left="36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lockChar">
    <w:name w:val="Block Char"/>
    <w:link w:val="Block"/>
    <w:rsid w:val="002C4517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8437A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41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7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706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706"/>
    <w:rPr>
      <w:rFonts w:ascii="Georgia" w:hAnsi="Georgia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535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113BE"/>
    <w:rPr>
      <w:b/>
      <w:bCs/>
    </w:rPr>
  </w:style>
  <w:style w:type="table" w:customStyle="1" w:styleId="TableGrid2">
    <w:name w:val="Table Grid2"/>
    <w:basedOn w:val="TableNormal"/>
    <w:next w:val="TableGrid"/>
    <w:uiPriority w:val="59"/>
    <w:rsid w:val="00FB1B7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214">
          <w:marLeft w:val="90"/>
          <w:marRight w:val="75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chart" Target="charts/chart3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chart" Target="charts/chart2.xm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chart" Target="charts/chart1.xm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chart" Target="charts/chart5.xm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emf"/><Relationship Id="rId27" Type="http://schemas.openxmlformats.org/officeDocument/2006/relationships/chart" Target="charts/chart4.xm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rodmeteorfs.gf.theglobalfund.org\UserDocuments\NWorkneh\Documents\GF_Nibretie\Countries\0PerformanceTeam\Performance%20profile\PIP\ImpactDB\HIV,%20TB%20and%20malaria%20data2011_from%20ImpactDB_v9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prodmeteorfs.gf.theglobalfund.org\UserDocuments\NWorkneh\documents\GF_Nibretie\Countries\0PerformanceTeam\Performance%20profile\PIP\ImpactDB\HIV,%20TB%20and%20malaria%20data2011_from%20ImpactDB_v91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prodmeteorfs.gf.theglobalfund.org\UserDocuments\NWorkneh\Documents\GF_Nibretie\Countries\0PerformanceTeam\Performance%20profile\PIP\ImpactDB\HIV,%20TB%20and%20malaria%20data2011_from%20ImpactDB_v91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prodmeteorfs.gf.theglobalfund.org\UserDocuments\NWorkneh\documents\GF_Nibretie\Countries\0PerformanceTeam\Performance%20profile\PIP\ImpactDB\HIV,%20TB%20and%20malaria%20data2011_from%20ImpactDB_v91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prodmeteorfs.gf.theglobalfund.org\UserDocuments\NWorkneh\documents\GF_Nibretie\Countries\0PerformanceTeam\Performance%20profile\PIP\ImpactDB\HIV,%20TB%20and%20malaria%20data2011_from%20ImpactDB_v9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[HIV, TB and malaria data2011_from ImpactDB_v910.xlsx]TBCompareCountries!PivotTable2</c:name>
    <c:fmtId val="-1"/>
  </c:pivotSource>
  <c:chart>
    <c:title>
      <c:tx>
        <c:strRef>
          <c:f>TBCompareCountries!$A$48</c:f>
          <c:strCache>
            <c:ptCount val="1"/>
            <c:pt idx="0">
              <c:v>% of estimated all forms of TB reported</c:v>
            </c:pt>
          </c:strCache>
        </c:strRef>
      </c:tx>
      <c:overlay val="0"/>
      <c:txPr>
        <a:bodyPr/>
        <a:lstStyle/>
        <a:p>
          <a:pPr>
            <a:defRPr sz="1100" i="1"/>
          </a:pPr>
          <a:endParaRPr lang="en-US"/>
        </a:p>
      </c:txPr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1"/>
        <c:spPr>
          <a:solidFill>
            <a:srgbClr val="00B050"/>
          </a:solidFill>
        </c:spPr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3"/>
        <c:spPr>
          <a:solidFill>
            <a:srgbClr val="00B050"/>
          </a:solidFill>
        </c:spPr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5"/>
        <c:spPr>
          <a:solidFill>
            <a:srgbClr val="00B050"/>
          </a:solidFill>
        </c:spPr>
      </c:pivotFmt>
      <c:pivotFmt>
        <c:idx val="6"/>
        <c:spPr>
          <a:solidFill>
            <a:srgbClr val="FFC000"/>
          </a:solidFill>
        </c:spPr>
      </c:pivotFmt>
      <c:pivotFmt>
        <c:idx val="7"/>
        <c:spPr>
          <a:solidFill>
            <a:srgbClr val="FFC000"/>
          </a:solidFill>
        </c:spPr>
      </c:pivotFmt>
      <c:pivotFmt>
        <c:idx val="8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9"/>
        <c:spPr>
          <a:solidFill>
            <a:srgbClr val="FFC000"/>
          </a:solidFill>
        </c:spPr>
      </c:pivotFmt>
      <c:pivotFmt>
        <c:idx val="10"/>
        <c:spPr>
          <a:solidFill>
            <a:srgbClr val="00B050"/>
          </a:solidFill>
        </c:spPr>
      </c:pivotFmt>
      <c:pivotFmt>
        <c:idx val="1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12"/>
        <c:spPr>
          <a:solidFill>
            <a:srgbClr val="FFC000"/>
          </a:solidFill>
        </c:spPr>
      </c:pivotFmt>
      <c:pivotFmt>
        <c:idx val="13"/>
        <c:spPr>
          <a:solidFill>
            <a:srgbClr val="00B050"/>
          </a:solidFill>
        </c:spPr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TBCompareCountries!$A$48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Pt>
            <c:idx val="1"/>
            <c:invertIfNegative val="0"/>
            <c:bubble3D val="0"/>
          </c:dPt>
          <c:dPt>
            <c:idx val="12"/>
            <c:invertIfNegative val="0"/>
            <c:bubble3D val="0"/>
          </c:dPt>
          <c:dPt>
            <c:idx val="16"/>
            <c:invertIfNegative val="0"/>
            <c:bubble3D val="0"/>
          </c:dPt>
          <c:dPt>
            <c:idx val="17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18"/>
            <c:invertIfNegative val="0"/>
            <c:bubble3D val="0"/>
            <c:spPr>
              <a:solidFill>
                <a:srgbClr val="00B050"/>
              </a:solidFill>
            </c:spPr>
          </c:dPt>
          <c:cat>
            <c:strRef>
              <c:f>TBCompareCountries!$A$48</c:f>
              <c:strCache>
                <c:ptCount val="20"/>
                <c:pt idx="0">
                  <c:v>Tajikistan</c:v>
                </c:pt>
                <c:pt idx="1">
                  <c:v>Uzbekistan</c:v>
                </c:pt>
                <c:pt idx="2">
                  <c:v>Azerbaijan</c:v>
                </c:pt>
                <c:pt idx="3">
                  <c:v>Belarus</c:v>
                </c:pt>
                <c:pt idx="4">
                  <c:v>Republic of Moldova</c:v>
                </c:pt>
                <c:pt idx="5">
                  <c:v>Bosnia and Herzegovina</c:v>
                </c:pt>
                <c:pt idx="6">
                  <c:v>Armenia</c:v>
                </c:pt>
                <c:pt idx="7">
                  <c:v>Romania</c:v>
                </c:pt>
                <c:pt idx="8">
                  <c:v>Kyrgyzstan</c:v>
                </c:pt>
                <c:pt idx="9">
                  <c:v>Russian Federation</c:v>
                </c:pt>
                <c:pt idx="10">
                  <c:v>Croatia</c:v>
                </c:pt>
                <c:pt idx="11">
                  <c:v>The Former Yugoslav Republic of Macedonia</c:v>
                </c:pt>
                <c:pt idx="12">
                  <c:v>Bulgaria</c:v>
                </c:pt>
                <c:pt idx="13">
                  <c:v>Georgia</c:v>
                </c:pt>
                <c:pt idx="14">
                  <c:v>Turkey</c:v>
                </c:pt>
                <c:pt idx="15">
                  <c:v>Ukraine</c:v>
                </c:pt>
                <c:pt idx="16">
                  <c:v>Estonia</c:v>
                </c:pt>
                <c:pt idx="17">
                  <c:v>Kazakhstan</c:v>
                </c:pt>
                <c:pt idx="18">
                  <c:v>Global Target (by 2015)</c:v>
                </c:pt>
                <c:pt idx="19">
                  <c:v>Albania</c:v>
                </c:pt>
              </c:strCache>
            </c:strRef>
          </c:cat>
          <c:val>
            <c:numRef>
              <c:f>TBCompareCountries!$A$48</c:f>
              <c:numCache>
                <c:formatCode>_-* #,##0_-;\-* #,##0_-;_-* "-"??_-;_-@_-</c:formatCode>
                <c:ptCount val="20"/>
                <c:pt idx="0">
                  <c:v>46.650168999999998</c:v>
                </c:pt>
                <c:pt idx="1">
                  <c:v>51.598820000000003</c:v>
                </c:pt>
                <c:pt idx="2">
                  <c:v>62.028759000000001</c:v>
                </c:pt>
                <c:pt idx="3">
                  <c:v>70.113372999999996</c:v>
                </c:pt>
                <c:pt idx="4">
                  <c:v>73.737922999999995</c:v>
                </c:pt>
                <c:pt idx="5">
                  <c:v>73.875107</c:v>
                </c:pt>
                <c:pt idx="6">
                  <c:v>74.369872999999998</c:v>
                </c:pt>
                <c:pt idx="7">
                  <c:v>78.159142000000003</c:v>
                </c:pt>
                <c:pt idx="8">
                  <c:v>79.896629000000004</c:v>
                </c:pt>
                <c:pt idx="9">
                  <c:v>81.123894000000007</c:v>
                </c:pt>
                <c:pt idx="10">
                  <c:v>81.728049999999996</c:v>
                </c:pt>
                <c:pt idx="11">
                  <c:v>82.505439999999993</c:v>
                </c:pt>
                <c:pt idx="12">
                  <c:v>83.483886999999996</c:v>
                </c:pt>
                <c:pt idx="13">
                  <c:v>83.718010000000007</c:v>
                </c:pt>
                <c:pt idx="14">
                  <c:v>85.214340000000007</c:v>
                </c:pt>
                <c:pt idx="15">
                  <c:v>85.511298999999994</c:v>
                </c:pt>
                <c:pt idx="16">
                  <c:v>89.174369999999996</c:v>
                </c:pt>
                <c:pt idx="17">
                  <c:v>92</c:v>
                </c:pt>
                <c:pt idx="18">
                  <c:v>100</c:v>
                </c:pt>
                <c:pt idx="19">
                  <c:v>100.51039900000001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3775104"/>
        <c:axId val="23776640"/>
      </c:barChart>
      <c:catAx>
        <c:axId val="23775104"/>
        <c:scaling>
          <c:orientation val="minMax"/>
        </c:scaling>
        <c:delete val="0"/>
        <c:axPos val="l"/>
        <c:majorTickMark val="none"/>
        <c:minorTickMark val="none"/>
        <c:tickLblPos val="nextTo"/>
        <c:crossAx val="23776640"/>
        <c:crosses val="autoZero"/>
        <c:auto val="1"/>
        <c:lblAlgn val="ctr"/>
        <c:lblOffset val="100"/>
        <c:noMultiLvlLbl val="0"/>
      </c:catAx>
      <c:valAx>
        <c:axId val="23776640"/>
        <c:scaling>
          <c:orientation val="minMax"/>
        </c:scaling>
        <c:delete val="1"/>
        <c:axPos val="b"/>
        <c:numFmt formatCode="_-* #,##0_-;\-* #,##0_-;_-* &quot;-&quot;??_-;_-@_-" sourceLinked="1"/>
        <c:majorTickMark val="none"/>
        <c:minorTickMark val="none"/>
        <c:tickLblPos val="nextTo"/>
        <c:crossAx val="237751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[HIV, TB and malaria data2011_from ImpactDB_v910.xlsx]TBCompareCountries!PivotTable17</c:name>
    <c:fmtId val="-1"/>
  </c:pivotSource>
  <c:chart>
    <c:title>
      <c:tx>
        <c:strRef>
          <c:f>TBCompareCountries!$A$85</c:f>
          <c:strCache>
            <c:ptCount val="1"/>
            <c:pt idx="0">
              <c:v>Treatment success rate, smear positive (%)</c:v>
            </c:pt>
          </c:strCache>
        </c:strRef>
      </c:tx>
      <c:overlay val="0"/>
      <c:txPr>
        <a:bodyPr/>
        <a:lstStyle/>
        <a:p>
          <a:pPr>
            <a:defRPr sz="1100" i="1"/>
          </a:pPr>
          <a:endParaRPr lang="en-US"/>
        </a:p>
      </c:txPr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1"/>
        <c:spPr>
          <a:solidFill>
            <a:srgbClr val="00B050"/>
          </a:solidFill>
        </c:spPr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3"/>
        <c:spPr>
          <a:solidFill>
            <a:srgbClr val="00B050"/>
          </a:solidFill>
        </c:spPr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5"/>
        <c:spPr>
          <a:solidFill>
            <a:srgbClr val="00B050"/>
          </a:solidFill>
        </c:spPr>
      </c:pivotFmt>
      <c:pivotFmt>
        <c:idx val="6"/>
        <c:spPr>
          <a:solidFill>
            <a:srgbClr val="FFC000"/>
          </a:solidFill>
        </c:spPr>
      </c:pivotFmt>
      <c:pivotFmt>
        <c:idx val="7"/>
        <c:spPr>
          <a:solidFill>
            <a:srgbClr val="FFC000"/>
          </a:solidFill>
        </c:spPr>
      </c:pivotFmt>
      <c:pivotFmt>
        <c:idx val="8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9"/>
        <c:spPr>
          <a:solidFill>
            <a:srgbClr val="FFC000"/>
          </a:solidFill>
        </c:spPr>
      </c:pivotFmt>
      <c:pivotFmt>
        <c:idx val="10"/>
        <c:spPr>
          <a:solidFill>
            <a:srgbClr val="00B050"/>
          </a:solidFill>
        </c:spPr>
      </c:pivotFmt>
      <c:pivotFmt>
        <c:idx val="1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12"/>
        <c:spPr>
          <a:solidFill>
            <a:srgbClr val="FFC000"/>
          </a:solidFill>
        </c:spPr>
      </c:pivotFmt>
      <c:pivotFmt>
        <c:idx val="13"/>
        <c:spPr>
          <a:solidFill>
            <a:srgbClr val="00B050"/>
          </a:solidFill>
        </c:spPr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TBCompareCountries!$A$85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Pt>
            <c:idx val="5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12"/>
            <c:invertIfNegative val="0"/>
            <c:bubble3D val="0"/>
          </c:dPt>
          <c:dPt>
            <c:idx val="16"/>
            <c:invertIfNegative val="0"/>
            <c:bubble3D val="0"/>
            <c:spPr>
              <a:solidFill>
                <a:srgbClr val="00B050"/>
              </a:solidFill>
            </c:spPr>
          </c:dPt>
          <c:cat>
            <c:strRef>
              <c:f>TBCompareCountries!$A$85</c:f>
              <c:strCache>
                <c:ptCount val="21"/>
                <c:pt idx="0">
                  <c:v>Kyrgyzstan</c:v>
                </c:pt>
                <c:pt idx="1">
                  <c:v>Turkmenistan</c:v>
                </c:pt>
                <c:pt idx="2">
                  <c:v>Russian Federation</c:v>
                </c:pt>
                <c:pt idx="3">
                  <c:v>Republic of Moldova</c:v>
                </c:pt>
                <c:pt idx="4">
                  <c:v>Ukraine</c:v>
                </c:pt>
                <c:pt idx="5">
                  <c:v>Kazakhstan</c:v>
                </c:pt>
                <c:pt idx="6">
                  <c:v>Belarus</c:v>
                </c:pt>
                <c:pt idx="7">
                  <c:v>Estonia</c:v>
                </c:pt>
                <c:pt idx="8">
                  <c:v>Armenia</c:v>
                </c:pt>
                <c:pt idx="9">
                  <c:v>Croatia</c:v>
                </c:pt>
                <c:pt idx="10">
                  <c:v>Georgia</c:v>
                </c:pt>
                <c:pt idx="11">
                  <c:v>Azerbaijan</c:v>
                </c:pt>
                <c:pt idx="12">
                  <c:v>Tajikistan</c:v>
                </c:pt>
                <c:pt idx="13">
                  <c:v>Uzbekistan</c:v>
                </c:pt>
                <c:pt idx="14">
                  <c:v>Romania</c:v>
                </c:pt>
                <c:pt idx="15">
                  <c:v>Bulgaria</c:v>
                </c:pt>
                <c:pt idx="16">
                  <c:v>Global Target (by 2015)</c:v>
                </c:pt>
                <c:pt idx="17">
                  <c:v>The Former Yugoslav Republic of Macedonia</c:v>
                </c:pt>
                <c:pt idx="18">
                  <c:v>Albania</c:v>
                </c:pt>
                <c:pt idx="19">
                  <c:v>Turkey</c:v>
                </c:pt>
                <c:pt idx="20">
                  <c:v>Bosnia and Herzegovina</c:v>
                </c:pt>
              </c:strCache>
            </c:strRef>
          </c:cat>
          <c:val>
            <c:numRef>
              <c:f>TBCompareCountries!$A$85</c:f>
              <c:numCache>
                <c:formatCode>General</c:formatCode>
                <c:ptCount val="21"/>
                <c:pt idx="2">
                  <c:v>53</c:v>
                </c:pt>
                <c:pt idx="3">
                  <c:v>57</c:v>
                </c:pt>
                <c:pt idx="4">
                  <c:v>60</c:v>
                </c:pt>
                <c:pt idx="5">
                  <c:v>61</c:v>
                </c:pt>
                <c:pt idx="6">
                  <c:v>66</c:v>
                </c:pt>
                <c:pt idx="7">
                  <c:v>68</c:v>
                </c:pt>
                <c:pt idx="8">
                  <c:v>72</c:v>
                </c:pt>
                <c:pt idx="9">
                  <c:v>75</c:v>
                </c:pt>
                <c:pt idx="10">
                  <c:v>76</c:v>
                </c:pt>
                <c:pt idx="11">
                  <c:v>77</c:v>
                </c:pt>
                <c:pt idx="12">
                  <c:v>80</c:v>
                </c:pt>
                <c:pt idx="13">
                  <c:v>81</c:v>
                </c:pt>
                <c:pt idx="14">
                  <c:v>84</c:v>
                </c:pt>
                <c:pt idx="15">
                  <c:v>86</c:v>
                </c:pt>
                <c:pt idx="16">
                  <c:v>90</c:v>
                </c:pt>
                <c:pt idx="17">
                  <c:v>90</c:v>
                </c:pt>
                <c:pt idx="18">
                  <c:v>91</c:v>
                </c:pt>
                <c:pt idx="19">
                  <c:v>91</c:v>
                </c:pt>
                <c:pt idx="20">
                  <c:v>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4939776"/>
        <c:axId val="94941568"/>
      </c:barChart>
      <c:catAx>
        <c:axId val="94939776"/>
        <c:scaling>
          <c:orientation val="minMax"/>
        </c:scaling>
        <c:delete val="0"/>
        <c:axPos val="l"/>
        <c:majorTickMark val="out"/>
        <c:minorTickMark val="none"/>
        <c:tickLblPos val="nextTo"/>
        <c:crossAx val="94941568"/>
        <c:crosses val="autoZero"/>
        <c:auto val="1"/>
        <c:lblAlgn val="ctr"/>
        <c:lblOffset val="100"/>
        <c:noMultiLvlLbl val="0"/>
      </c:catAx>
      <c:valAx>
        <c:axId val="94941568"/>
        <c:scaling>
          <c:orientation val="minMax"/>
        </c:scaling>
        <c:delete val="1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94939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[HIV, TB and malaria data2011_from ImpactDB_v910.xlsx]TBCompareCountries!PivotTable5</c:name>
    <c:fmtId val="-1"/>
  </c:pivotSource>
  <c:chart>
    <c:title>
      <c:tx>
        <c:strRef>
          <c:f>TBCompareCountries!$A$221</c:f>
          <c:strCache>
            <c:ptCount val="1"/>
            <c:pt idx="0">
              <c:v>% of notified TB cases (new &amp; retreatment) tested for HIV</c:v>
            </c:pt>
          </c:strCache>
        </c:strRef>
      </c:tx>
      <c:overlay val="0"/>
      <c:txPr>
        <a:bodyPr/>
        <a:lstStyle/>
        <a:p>
          <a:pPr>
            <a:defRPr sz="1100" i="1"/>
          </a:pPr>
          <a:endParaRPr lang="en-US"/>
        </a:p>
      </c:txPr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1"/>
        <c:spPr>
          <a:solidFill>
            <a:srgbClr val="00B050"/>
          </a:solidFill>
        </c:spPr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3"/>
        <c:spPr>
          <a:solidFill>
            <a:srgbClr val="00B050"/>
          </a:solidFill>
        </c:spPr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5"/>
        <c:spPr>
          <a:solidFill>
            <a:srgbClr val="00B050"/>
          </a:solidFill>
        </c:spPr>
      </c:pivotFmt>
      <c:pivotFmt>
        <c:idx val="6"/>
        <c:spPr>
          <a:solidFill>
            <a:srgbClr val="FFC000"/>
          </a:solidFill>
        </c:spPr>
      </c:pivotFmt>
      <c:pivotFmt>
        <c:idx val="7"/>
        <c:spPr>
          <a:solidFill>
            <a:srgbClr val="FFC000"/>
          </a:solidFill>
        </c:spPr>
      </c:pivotFmt>
      <c:pivotFmt>
        <c:idx val="8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9"/>
        <c:spPr>
          <a:solidFill>
            <a:srgbClr val="FFC000"/>
          </a:solidFill>
        </c:spPr>
      </c:pivotFmt>
      <c:pivotFmt>
        <c:idx val="10"/>
        <c:spPr>
          <a:solidFill>
            <a:srgbClr val="00B050"/>
          </a:solidFill>
        </c:spPr>
      </c:pivotFmt>
      <c:pivotFmt>
        <c:idx val="1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12"/>
        <c:spPr>
          <a:solidFill>
            <a:srgbClr val="FFC000"/>
          </a:solidFill>
        </c:spPr>
      </c:pivotFmt>
      <c:pivotFmt>
        <c:idx val="13"/>
        <c:spPr>
          <a:solidFill>
            <a:srgbClr val="00B050"/>
          </a:solidFill>
        </c:spPr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TBCompareCountries!$A$221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Pt>
            <c:idx val="5"/>
            <c:invertIfNegative val="0"/>
            <c:bubble3D val="0"/>
          </c:dPt>
          <c:dPt>
            <c:idx val="11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12"/>
            <c:invertIfNegative val="0"/>
            <c:bubble3D val="0"/>
          </c:dPt>
          <c:dPt>
            <c:idx val="15"/>
            <c:invertIfNegative val="0"/>
            <c:bubble3D val="0"/>
          </c:dPt>
          <c:dPt>
            <c:idx val="17"/>
            <c:invertIfNegative val="0"/>
            <c:bubble3D val="0"/>
            <c:spPr>
              <a:solidFill>
                <a:srgbClr val="00B050"/>
              </a:solidFill>
            </c:spPr>
          </c:dPt>
          <c:cat>
            <c:strRef>
              <c:f>TBCompareCountries!$A$221</c:f>
              <c:strCache>
                <c:ptCount val="18"/>
                <c:pt idx="0">
                  <c:v>Bosnia and Herzegovina</c:v>
                </c:pt>
                <c:pt idx="1">
                  <c:v>Kyrgyzstan</c:v>
                </c:pt>
                <c:pt idx="2">
                  <c:v>The Former Yugoslav Republic of Macedonia</c:v>
                </c:pt>
                <c:pt idx="3">
                  <c:v>Albania</c:v>
                </c:pt>
                <c:pt idx="4">
                  <c:v>Georgia</c:v>
                </c:pt>
                <c:pt idx="5">
                  <c:v>Romania</c:v>
                </c:pt>
                <c:pt idx="6">
                  <c:v>Turkey</c:v>
                </c:pt>
                <c:pt idx="7">
                  <c:v>Russian Federation</c:v>
                </c:pt>
                <c:pt idx="8">
                  <c:v>Bulgaria</c:v>
                </c:pt>
                <c:pt idx="9">
                  <c:v>Ukraine</c:v>
                </c:pt>
                <c:pt idx="10">
                  <c:v>Tajikistan</c:v>
                </c:pt>
                <c:pt idx="11">
                  <c:v>Kazakhstan</c:v>
                </c:pt>
                <c:pt idx="12">
                  <c:v>Estonia</c:v>
                </c:pt>
                <c:pt idx="13">
                  <c:v>Belarus</c:v>
                </c:pt>
                <c:pt idx="14">
                  <c:v>Republic of Moldova</c:v>
                </c:pt>
                <c:pt idx="15">
                  <c:v>Armenia</c:v>
                </c:pt>
                <c:pt idx="16">
                  <c:v>Uzbekistan</c:v>
                </c:pt>
                <c:pt idx="17">
                  <c:v>Global Target (by 2015)</c:v>
                </c:pt>
              </c:strCache>
            </c:strRef>
          </c:cat>
          <c:val>
            <c:numRef>
              <c:f>TBCompareCountries!$A$221</c:f>
              <c:numCache>
                <c:formatCode>_-* #,##0_-;\-* #,##0_-;_-* "-"??_-;_-@_-</c:formatCode>
                <c:ptCount val="18"/>
                <c:pt idx="0">
                  <c:v>0</c:v>
                </c:pt>
                <c:pt idx="1">
                  <c:v>2.446434</c:v>
                </c:pt>
                <c:pt idx="2">
                  <c:v>12.43094</c:v>
                </c:pt>
                <c:pt idx="3">
                  <c:v>39.443156999999999</c:v>
                </c:pt>
                <c:pt idx="4">
                  <c:v>46.087111999999998</c:v>
                </c:pt>
                <c:pt idx="5">
                  <c:v>46.154648000000002</c:v>
                </c:pt>
                <c:pt idx="6">
                  <c:v>46.182792999999997</c:v>
                </c:pt>
                <c:pt idx="7">
                  <c:v>49.846062000000003</c:v>
                </c:pt>
                <c:pt idx="8">
                  <c:v>70.544242999999994</c:v>
                </c:pt>
                <c:pt idx="9">
                  <c:v>74.458709999999996</c:v>
                </c:pt>
                <c:pt idx="10">
                  <c:v>82.021293999999997</c:v>
                </c:pt>
                <c:pt idx="11">
                  <c:v>85</c:v>
                </c:pt>
                <c:pt idx="12">
                  <c:v>91.788856999999993</c:v>
                </c:pt>
                <c:pt idx="13">
                  <c:v>92.751075999999998</c:v>
                </c:pt>
                <c:pt idx="14">
                  <c:v>93.933723000000001</c:v>
                </c:pt>
                <c:pt idx="15">
                  <c:v>94.753478999999999</c:v>
                </c:pt>
                <c:pt idx="16">
                  <c:v>100</c:v>
                </c:pt>
                <c:pt idx="17">
                  <c:v>100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6658432"/>
        <c:axId val="106660224"/>
      </c:barChart>
      <c:catAx>
        <c:axId val="106658432"/>
        <c:scaling>
          <c:orientation val="minMax"/>
        </c:scaling>
        <c:delete val="0"/>
        <c:axPos val="l"/>
        <c:majorTickMark val="out"/>
        <c:minorTickMark val="none"/>
        <c:tickLblPos val="nextTo"/>
        <c:crossAx val="106660224"/>
        <c:crosses val="autoZero"/>
        <c:auto val="1"/>
        <c:lblAlgn val="ctr"/>
        <c:lblOffset val="100"/>
        <c:noMultiLvlLbl val="0"/>
      </c:catAx>
      <c:valAx>
        <c:axId val="106660224"/>
        <c:scaling>
          <c:orientation val="minMax"/>
        </c:scaling>
        <c:delete val="1"/>
        <c:axPos val="b"/>
        <c:majorGridlines>
          <c:spPr>
            <a:ln>
              <a:noFill/>
            </a:ln>
          </c:spPr>
        </c:majorGridlines>
        <c:numFmt formatCode="_-* #,##0_-;\-* #,##0_-;_-* &quot;-&quot;??_-;_-@_-" sourceLinked="1"/>
        <c:majorTickMark val="out"/>
        <c:minorTickMark val="none"/>
        <c:tickLblPos val="nextTo"/>
        <c:crossAx val="1066584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[HIV, TB and malaria data2011_from ImpactDB_v910.xlsx]TBCompareCountries!PivotTable6</c:name>
    <c:fmtId val="-1"/>
  </c:pivotSource>
  <c:chart>
    <c:title>
      <c:tx>
        <c:strRef>
          <c:f>TBCompareCountries!$A$124</c:f>
          <c:strCache>
            <c:ptCount val="1"/>
            <c:pt idx="0">
              <c:v>% of notified HIV+ TB cases started on ART</c:v>
            </c:pt>
          </c:strCache>
        </c:strRef>
      </c:tx>
      <c:overlay val="0"/>
      <c:txPr>
        <a:bodyPr/>
        <a:lstStyle/>
        <a:p>
          <a:pPr>
            <a:defRPr sz="1100" i="1"/>
          </a:pPr>
          <a:endParaRPr lang="en-US"/>
        </a:p>
      </c:txPr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1"/>
        <c:spPr>
          <a:solidFill>
            <a:srgbClr val="00B050"/>
          </a:solidFill>
        </c:spPr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3"/>
        <c:spPr>
          <a:solidFill>
            <a:srgbClr val="00B050"/>
          </a:solidFill>
        </c:spPr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5"/>
        <c:spPr>
          <a:solidFill>
            <a:srgbClr val="00B050"/>
          </a:solidFill>
        </c:spPr>
      </c:pivotFmt>
      <c:pivotFmt>
        <c:idx val="6"/>
        <c:spPr>
          <a:solidFill>
            <a:srgbClr val="FFC000"/>
          </a:solidFill>
        </c:spPr>
      </c:pivotFmt>
      <c:pivotFmt>
        <c:idx val="7"/>
        <c:spPr>
          <a:solidFill>
            <a:srgbClr val="FFC000"/>
          </a:solidFill>
        </c:spPr>
      </c:pivotFmt>
      <c:pivotFmt>
        <c:idx val="8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9"/>
        <c:spPr>
          <a:solidFill>
            <a:srgbClr val="FFC000"/>
          </a:solidFill>
        </c:spPr>
      </c:pivotFmt>
      <c:pivotFmt>
        <c:idx val="10"/>
        <c:spPr>
          <a:solidFill>
            <a:srgbClr val="00B050"/>
          </a:solidFill>
        </c:spPr>
      </c:pivotFmt>
      <c:pivotFmt>
        <c:idx val="1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12"/>
        <c:spPr>
          <a:solidFill>
            <a:srgbClr val="FFC000"/>
          </a:solidFill>
        </c:spPr>
      </c:pivotFmt>
      <c:pivotFmt>
        <c:idx val="13"/>
        <c:spPr>
          <a:solidFill>
            <a:srgbClr val="00B050"/>
          </a:solidFill>
        </c:spPr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TBCompareCountries!$A$124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7"/>
            <c:invertIfNegative val="0"/>
            <c:bubble3D val="0"/>
          </c:dPt>
          <c:dPt>
            <c:idx val="1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2"/>
            <c:invertIfNegative val="0"/>
            <c:bubble3D val="0"/>
          </c:dPt>
          <c:cat>
            <c:strRef>
              <c:f>TBCompareCountries!$A$124</c:f>
              <c:strCache>
                <c:ptCount val="12"/>
                <c:pt idx="0">
                  <c:v>Kazakhstan</c:v>
                </c:pt>
                <c:pt idx="1">
                  <c:v>Uzbekistan</c:v>
                </c:pt>
                <c:pt idx="2">
                  <c:v>Ukraine</c:v>
                </c:pt>
                <c:pt idx="3">
                  <c:v>Estonia</c:v>
                </c:pt>
                <c:pt idx="4">
                  <c:v>Tajikistan</c:v>
                </c:pt>
                <c:pt idx="5">
                  <c:v>Georgia</c:v>
                </c:pt>
                <c:pt idx="6">
                  <c:v>Armenia</c:v>
                </c:pt>
                <c:pt idx="7">
                  <c:v>Romania</c:v>
                </c:pt>
                <c:pt idx="8">
                  <c:v>Turkey</c:v>
                </c:pt>
                <c:pt idx="9">
                  <c:v>Bulgaria</c:v>
                </c:pt>
                <c:pt idx="10">
                  <c:v>Albania</c:v>
                </c:pt>
                <c:pt idx="11">
                  <c:v>Global Target (by 2015)</c:v>
                </c:pt>
              </c:strCache>
            </c:strRef>
          </c:cat>
          <c:val>
            <c:numRef>
              <c:f>TBCompareCountries!$A$124</c:f>
              <c:numCache>
                <c:formatCode>_-* #,##0_-;\-* #,##0_-;_-* "-"??_-;_-@_-</c:formatCode>
                <c:ptCount val="12"/>
                <c:pt idx="0">
                  <c:v>9.0909089999999999</c:v>
                </c:pt>
                <c:pt idx="1">
                  <c:v>31.501830999999999</c:v>
                </c:pt>
                <c:pt idx="2">
                  <c:v>44.137112000000002</c:v>
                </c:pt>
                <c:pt idx="3">
                  <c:v>55.319149000000003</c:v>
                </c:pt>
                <c:pt idx="4">
                  <c:v>57.391303999999998</c:v>
                </c:pt>
                <c:pt idx="5">
                  <c:v>76</c:v>
                </c:pt>
                <c:pt idx="6">
                  <c:v>79.591835000000003</c:v>
                </c:pt>
                <c:pt idx="7">
                  <c:v>88.333336000000003</c:v>
                </c:pt>
                <c:pt idx="8">
                  <c:v>93.103447000000003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6685056"/>
        <c:axId val="96703232"/>
      </c:barChart>
      <c:catAx>
        <c:axId val="96685056"/>
        <c:scaling>
          <c:orientation val="minMax"/>
        </c:scaling>
        <c:delete val="0"/>
        <c:axPos val="l"/>
        <c:majorTickMark val="out"/>
        <c:minorTickMark val="none"/>
        <c:tickLblPos val="nextTo"/>
        <c:crossAx val="96703232"/>
        <c:crosses val="autoZero"/>
        <c:auto val="1"/>
        <c:lblAlgn val="ctr"/>
        <c:lblOffset val="100"/>
        <c:noMultiLvlLbl val="0"/>
      </c:catAx>
      <c:valAx>
        <c:axId val="96703232"/>
        <c:scaling>
          <c:orientation val="minMax"/>
        </c:scaling>
        <c:delete val="1"/>
        <c:axPos val="b"/>
        <c:majorGridlines>
          <c:spPr>
            <a:ln>
              <a:noFill/>
            </a:ln>
          </c:spPr>
        </c:majorGridlines>
        <c:numFmt formatCode="_-* #,##0_-;\-* #,##0_-;_-* &quot;-&quot;??_-;_-@_-" sourceLinked="1"/>
        <c:majorTickMark val="out"/>
        <c:minorTickMark val="none"/>
        <c:tickLblPos val="nextTo"/>
        <c:crossAx val="966850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[HIV, TB and malaria data2011_from ImpactDB_v910.xlsx]TBCompareCountries!PivotTable3</c:name>
    <c:fmtId val="-1"/>
  </c:pivotSource>
  <c:chart>
    <c:title>
      <c:tx>
        <c:strRef>
          <c:f>TBCompareCountries!$A$250</c:f>
          <c:strCache>
            <c:ptCount val="1"/>
            <c:pt idx="0">
              <c:v>% of diagnosed MDR-TB started on second-line drugs</c:v>
            </c:pt>
          </c:strCache>
        </c:strRef>
      </c:tx>
      <c:overlay val="0"/>
      <c:txPr>
        <a:bodyPr/>
        <a:lstStyle/>
        <a:p>
          <a:pPr>
            <a:defRPr sz="1100" i="1"/>
          </a:pPr>
          <a:endParaRPr lang="en-US"/>
        </a:p>
      </c:txPr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1"/>
        <c:spPr>
          <a:solidFill>
            <a:srgbClr val="00B050"/>
          </a:solidFill>
        </c:spPr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3"/>
        <c:spPr>
          <a:solidFill>
            <a:srgbClr val="00B050"/>
          </a:solidFill>
        </c:spPr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5"/>
        <c:spPr>
          <a:solidFill>
            <a:srgbClr val="00B050"/>
          </a:solidFill>
        </c:spPr>
      </c:pivotFmt>
      <c:pivotFmt>
        <c:idx val="6"/>
        <c:spPr>
          <a:solidFill>
            <a:srgbClr val="FFC000"/>
          </a:solidFill>
        </c:spPr>
      </c:pivotFmt>
      <c:pivotFmt>
        <c:idx val="7"/>
        <c:spPr>
          <a:solidFill>
            <a:srgbClr val="FFC000"/>
          </a:solidFill>
        </c:spPr>
      </c:pivotFmt>
      <c:pivotFmt>
        <c:idx val="8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9"/>
        <c:spPr>
          <a:solidFill>
            <a:srgbClr val="FFC000"/>
          </a:solidFill>
        </c:spPr>
      </c:pivotFmt>
      <c:pivotFmt>
        <c:idx val="10"/>
        <c:spPr>
          <a:solidFill>
            <a:srgbClr val="00B050"/>
          </a:solidFill>
        </c:spPr>
      </c:pivotFmt>
      <c:pivotFmt>
        <c:idx val="1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12"/>
        <c:spPr>
          <a:solidFill>
            <a:srgbClr val="FFC000"/>
          </a:solidFill>
        </c:spPr>
      </c:pivotFmt>
      <c:pivotFmt>
        <c:idx val="13"/>
        <c:spPr>
          <a:solidFill>
            <a:srgbClr val="00B050"/>
          </a:solidFill>
        </c:spPr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TBCompareCountries!$A$250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Pt>
            <c:idx val="2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11"/>
            <c:invertIfNegative val="0"/>
            <c:bubble3D val="0"/>
          </c:dPt>
          <c:dPt>
            <c:idx val="19"/>
            <c:invertIfNegative val="0"/>
            <c:bubble3D val="0"/>
            <c:spPr>
              <a:solidFill>
                <a:srgbClr val="00B050"/>
              </a:solidFill>
            </c:spPr>
          </c:dPt>
          <c:cat>
            <c:strRef>
              <c:f>TBCompareCountries!$A$250</c:f>
              <c:strCache>
                <c:ptCount val="20"/>
                <c:pt idx="0">
                  <c:v>Albania</c:v>
                </c:pt>
                <c:pt idx="1">
                  <c:v>Croatia</c:v>
                </c:pt>
                <c:pt idx="2">
                  <c:v>Bosnia and Herzegovina</c:v>
                </c:pt>
                <c:pt idx="3">
                  <c:v>Kyrgyzstan</c:v>
                </c:pt>
                <c:pt idx="4">
                  <c:v>Uzbekistan</c:v>
                </c:pt>
                <c:pt idx="5">
                  <c:v>Tajikistan</c:v>
                </c:pt>
                <c:pt idx="6">
                  <c:v>Kazakhstan</c:v>
                </c:pt>
                <c:pt idx="7">
                  <c:v>Bulgaria</c:v>
                </c:pt>
                <c:pt idx="8">
                  <c:v>Republic of Moldova</c:v>
                </c:pt>
                <c:pt idx="9">
                  <c:v>Azerbaijan</c:v>
                </c:pt>
                <c:pt idx="10">
                  <c:v>Ukraine</c:v>
                </c:pt>
                <c:pt idx="11">
                  <c:v>Belarus</c:v>
                </c:pt>
                <c:pt idx="12">
                  <c:v>Estonia</c:v>
                </c:pt>
                <c:pt idx="13">
                  <c:v>Russian Federation</c:v>
                </c:pt>
                <c:pt idx="14">
                  <c:v>Turkey</c:v>
                </c:pt>
                <c:pt idx="15">
                  <c:v>Romania</c:v>
                </c:pt>
                <c:pt idx="16">
                  <c:v>The Former Yugoslav Republic of Macedonia</c:v>
                </c:pt>
                <c:pt idx="17">
                  <c:v>Armenia</c:v>
                </c:pt>
                <c:pt idx="18">
                  <c:v>Georgia</c:v>
                </c:pt>
                <c:pt idx="19">
                  <c:v>Global Target (by 2015)</c:v>
                </c:pt>
              </c:strCache>
            </c:strRef>
          </c:cat>
          <c:val>
            <c:numRef>
              <c:f>TBCompareCountries!$A$250</c:f>
              <c:numCache>
                <c:formatCode>_-* #,##0_-;\-* #,##0_-;_-* "-"??_-;_-@_-</c:formatCode>
                <c:ptCount val="20"/>
                <c:pt idx="0">
                  <c:v>0</c:v>
                </c:pt>
                <c:pt idx="1">
                  <c:v>25</c:v>
                </c:pt>
                <c:pt idx="2">
                  <c:v>42.857143000000001</c:v>
                </c:pt>
                <c:pt idx="3">
                  <c:v>61.042183000000001</c:v>
                </c:pt>
                <c:pt idx="4">
                  <c:v>61.732852999999999</c:v>
                </c:pt>
                <c:pt idx="5">
                  <c:v>62.251655999999997</c:v>
                </c:pt>
                <c:pt idx="6">
                  <c:v>63.228943000000001</c:v>
                </c:pt>
                <c:pt idx="7">
                  <c:v>76.363640000000004</c:v>
                </c:pt>
                <c:pt idx="8">
                  <c:v>76.423575999999997</c:v>
                </c:pt>
                <c:pt idx="9">
                  <c:v>79.224379999999996</c:v>
                </c:pt>
                <c:pt idx="10">
                  <c:v>89.059235000000001</c:v>
                </c:pt>
                <c:pt idx="11">
                  <c:v>90.715179000000006</c:v>
                </c:pt>
                <c:pt idx="12">
                  <c:v>96.153846999999999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96759168"/>
        <c:axId val="96765056"/>
      </c:barChart>
      <c:catAx>
        <c:axId val="96759168"/>
        <c:scaling>
          <c:orientation val="minMax"/>
        </c:scaling>
        <c:delete val="0"/>
        <c:axPos val="l"/>
        <c:majorTickMark val="none"/>
        <c:minorTickMark val="none"/>
        <c:tickLblPos val="nextTo"/>
        <c:crossAx val="96765056"/>
        <c:crosses val="autoZero"/>
        <c:auto val="1"/>
        <c:lblAlgn val="ctr"/>
        <c:lblOffset val="100"/>
        <c:noMultiLvlLbl val="0"/>
      </c:catAx>
      <c:valAx>
        <c:axId val="96765056"/>
        <c:scaling>
          <c:orientation val="minMax"/>
        </c:scaling>
        <c:delete val="1"/>
        <c:axPos val="b"/>
        <c:numFmt formatCode="_-* #,##0_-;\-* #,##0_-;_-* &quot;-&quot;??_-;_-@_-" sourceLinked="1"/>
        <c:majorTickMark val="out"/>
        <c:minorTickMark val="none"/>
        <c:tickLblPos val="nextTo"/>
        <c:crossAx val="96759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</c:extLst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ubtType xmlns="1eaefc63-d69c-4f51-988e-1b456dd93559" xsi:nil="true"/>
    <gfGrant xmlns="1eaefc63-d69c-4f51-988e-1b456dd93559" xsi:nil="true"/>
    <GrantDocType xmlns="1eaefc63-d69c-4f51-988e-1b456dd93559" xsi:nil="true"/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0x010100C153CD978446E541813549631A403AC7</ContentTypeId>
    <IsFinal xmlns="97cd53c1-4684-41e5-8135-49631a403ac7">NO</IsFinal>
    <Round xmlns="97CD53C1-4684-41E5-8135-49631A403AC7" xsi:nil="true"/>
    <Document_x0020_Language xmlns="97CD53C1-4684-41E5-8135-49631A403AC7" xsi:nil="true"/>
    <Country xmlns="97CD53C1-4684-41E5-8135-49631A403AC7" xsi:nil="true"/>
    <Grant_x0020_ID xmlns="97CD53C1-4684-41E5-8135-49631A403A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3CD978446E541813549631A403AC7" ma:contentTypeVersion="6" ma:contentTypeDescription="Create a new document." ma:contentTypeScope="" ma:versionID="ce988b005ca2905bdc5e8a63fc4ff801">
  <xsd:schema xmlns:xsd="http://www.w3.org/2001/XMLSchema" xmlns:p="http://schemas.microsoft.com/office/2006/metadata/properties" xmlns:ns1="http://schemas.microsoft.com/sharepoint/v3" xmlns:ns2="1eaefc63-d69c-4f51-988e-1b456dd93559" xmlns:ns3="97cd53c1-4684-41e5-8135-49631a403ac7" xmlns:ns4="97CD53C1-4684-41E5-8135-49631A403AC7" targetNamespace="http://schemas.microsoft.com/office/2006/metadata/properties" ma:root="true" ma:fieldsID="70da48a47194e7514407c161ef25d337" ns1:_="" ns2:_="" ns3:_="" ns4:_="">
    <xsd:import namespace="http://schemas.microsoft.com/sharepoint/v3"/>
    <xsd:import namespace="1eaefc63-d69c-4f51-988e-1b456dd93559"/>
    <xsd:import namespace="97cd53c1-4684-41e5-8135-49631a403ac7"/>
    <xsd:import namespace="97CD53C1-4684-41E5-8135-49631A403AC7"/>
    <xsd:element name="properties">
      <xsd:complexType>
        <xsd:sequence>
          <xsd:element name="documentManagement">
            <xsd:complexType>
              <xsd:all>
                <xsd:element ref="ns2:gfGrant" minOccurs="0"/>
                <xsd:element ref="ns2:GrantDocType" minOccurs="0"/>
                <xsd:element ref="ns2:SubtType" minOccurs="0"/>
                <xsd:element ref="ns3:IsFinal" minOccurs="0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4:Grant_x0020_ID" minOccurs="0"/>
                <xsd:element ref="ns4:Country" minOccurs="0"/>
                <xsd:element ref="ns4:Document_x0020_Language" minOccurs="0"/>
                <xsd:element ref="ns4:Roun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6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11" nillable="true" ma:displayName="Source Url" ma:hidden="true" ma:internalName="_SourceUrl">
      <xsd:simpleType>
        <xsd:restriction base="dms:Text"/>
      </xsd:simpleType>
    </xsd:element>
    <xsd:element name="_SharedFileIndex" ma:index="12" nillable="true" ma:displayName="Shared File Index" ma:hidden="true" ma:internalName="_SharedFileIndex">
      <xsd:simpleType>
        <xsd:restriction base="dms:Text"/>
      </xsd:simpleType>
    </xsd:element>
    <xsd:element name="ContentTypeId" ma:index="13" nillable="true" ma:displayName="Content Type ID" ma:hidden="true" ma:internalName="ContentTypeId" ma:readOnly="true">
      <xsd:simpleType>
        <xsd:restriction base="dms:Unknown"/>
      </xsd:simpleType>
    </xsd:element>
    <xsd:element name="TemplateUrl" ma:index="14" nillable="true" ma:displayName="Template Link" ma:hidden="true" ma:internalName="TemplateUrl">
      <xsd:simpleType>
        <xsd:restriction base="dms:Text"/>
      </xsd:simpleType>
    </xsd:element>
    <xsd:element name="xd_ProgID" ma:index="15" nillable="true" ma:displayName="Html File Link" ma:hidden="true" ma:internalName="xd_ProgID">
      <xsd:simpleType>
        <xsd:restriction base="dms:Text"/>
      </xsd:simpleType>
    </xsd:element>
    <xsd:element name="xd_Signature" ma:index="16" nillable="true" ma:displayName="Is Signed" ma:hidden="true" ma:internalName="xd_Signature" ma:readOnly="true">
      <xsd:simpleType>
        <xsd:restriction base="dms:Boolean"/>
      </xsd:simpleType>
    </xsd:element>
    <xsd:element name="ID" ma:index="17" nillable="true" ma:displayName="ID" ma:internalName="ID" ma:readOnly="true">
      <xsd:simpleType>
        <xsd:restriction base="dms:Unknown"/>
      </xsd:simpleType>
    </xsd:element>
    <xsd:element name="Author" ma:index="20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2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3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24" nillable="true" ma:displayName="Copy Source" ma:internalName="_CopySource" ma:readOnly="true">
      <xsd:simpleType>
        <xsd:restriction base="dms:Text"/>
      </xsd:simpleType>
    </xsd:element>
    <xsd:element name="_ModerationStatus" ma:index="25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26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27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28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9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0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33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4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5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6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37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8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9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0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1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52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53" nillable="true" ma:displayName="Level" ma:hidden="true" ma:internalName="_Level" ma:readOnly="true">
      <xsd:simpleType>
        <xsd:restriction base="dms:Unknown"/>
      </xsd:simpleType>
    </xsd:element>
    <xsd:element name="_IsCurrentVersion" ma:index="54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UI Version" ma:hidden="true" ma:internalName="_UIVersion" ma:readOnly="true">
      <xsd:simpleType>
        <xsd:restriction base="dms:Unknown"/>
      </xsd:simpleType>
    </xsd:element>
    <xsd:element name="_UIVersionString" ma:index="60" nillable="true" ma:displayName="Version" ma:internalName="_UIVersionString" ma:readOnly="true">
      <xsd:simpleType>
        <xsd:restriction base="dms:Text"/>
      </xsd:simpleType>
    </xsd:element>
    <xsd:element name="InstanceID" ma:index="61" nillable="true" ma:displayName="Instance ID" ma:hidden="true" ma:internalName="InstanceID" ma:readOnly="true">
      <xsd:simpleType>
        <xsd:restriction base="dms:Unknown"/>
      </xsd:simpleType>
    </xsd:element>
    <xsd:element name="Order" ma:index="62" nillable="true" ma:displayName="Order" ma:hidden="true" ma:internalName="Order">
      <xsd:simpleType>
        <xsd:restriction base="dms:Number"/>
      </xsd:simpleType>
    </xsd:element>
    <xsd:element name="GUID" ma:index="63" nillable="true" ma:displayName="GUID" ma:hidden="true" ma:internalName="GUID" ma:readOnly="true">
      <xsd:simpleType>
        <xsd:restriction base="dms:Unknown"/>
      </xsd:simpleType>
    </xsd:element>
    <xsd:element name="WorkflowVersion" ma:index="64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5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6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1eaefc63-d69c-4f51-988e-1b456dd93559" elementFormDefault="qualified">
    <xsd:import namespace="http://schemas.microsoft.com/office/2006/documentManagement/types"/>
    <xsd:element name="gfGrant" ma:index="2" nillable="true" ma:displayName="Grant" ma:list="{1149e032-0cc0-4c62-bd02-6853776f06e5}" ma:internalName="gfGrant" ma:showField="Title" ma:web="1eaefc63-d69c-4f51-988e-1b456dd93559">
      <xsd:simpleType>
        <xsd:restriction base="dms:Lookup"/>
      </xsd:simpleType>
    </xsd:element>
    <xsd:element name="GrantDocType" ma:index="3" nillable="true" ma:displayName="Document type" ma:description="Please select Grant Document Type" ma:list="{cf59afc2-f10b-4b65-8ef6-9a8ce10b0870}" ma:internalName="GrantDocType" ma:showField="Title" ma:web="1eaefc63-d69c-4f51-988e-1b456dd93559">
      <xsd:simpleType>
        <xsd:restriction base="dms:Lookup"/>
      </xsd:simpleType>
    </xsd:element>
    <xsd:element name="SubtType" ma:index="4" nillable="true" ma:displayName="Sub Type" ma:description="Subtype description, Maximum of 255 characters, e.g. IL1 , IL2" ma:internalName="SubtTyp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97cd53c1-4684-41e5-8135-49631a403ac7" elementFormDefault="qualified">
    <xsd:import namespace="http://schemas.microsoft.com/office/2006/documentManagement/types"/>
    <xsd:element name="IsFinal" ma:index="5" nillable="true" ma:displayName="IsFinal" ma:default="NO" ma:description="Please specify if this is the final version of the document" ma:format="RadioButtons" ma:internalName="IsFinal">
      <xsd:simpleType>
        <xsd:restriction base="dms:Choice">
          <xsd:enumeration value="NO"/>
          <xsd:enumeration value="YES"/>
        </xsd:restriction>
      </xsd:simpleType>
    </xsd:element>
  </xsd:schema>
  <xsd:schema xmlns:xsd="http://www.w3.org/2001/XMLSchema" xmlns:dms="http://schemas.microsoft.com/office/2006/documentManagement/types" targetNamespace="97CD53C1-4684-41E5-8135-49631A403AC7" elementFormDefault="qualified">
    <xsd:import namespace="http://schemas.microsoft.com/office/2006/documentManagement/types"/>
    <xsd:element name="Grant_x0020_ID" ma:index="70" nillable="true" ma:displayName="Grant ID" ma:description="The Grant ID this document is associated with" ma:list="{8CB72AC5-DE03-4AC2-BAEC-C94E57AF7E63}" ma:internalName="Grant_x0020_ID" ma:showField="Grant_x0020_ID">
      <xsd:simpleType>
        <xsd:restriction base="dms:Lookup"/>
      </xsd:simpleType>
    </xsd:element>
    <xsd:element name="Country" ma:index="71" nillable="true" ma:displayName="Country" ma:list="{A0D2F120-17C8-4871-8903-10B413B33DB1}" ma:internalName="Country" ma:showField="Title">
      <xsd:simpleType>
        <xsd:restriction base="dms:Lookup"/>
      </xsd:simpleType>
    </xsd:element>
    <xsd:element name="Document_x0020_Language" ma:index="72" nillable="true" ma:displayName="Document Language" ma:description="Language the document is written in" ma:list="{68E7BCA7-DDF1-4B10-B428-D9E83774CEE4}" ma:internalName="Document_x0020_Language" ma:showField="Title">
      <xsd:simpleType>
        <xsd:restriction base="dms:Lookup"/>
      </xsd:simpleType>
    </xsd:element>
    <xsd:element name="Round" ma:index="73" nillable="true" ma:displayName="Round" ma:description="The round this document is associated with (1,2,3,4,5)" ma:list="{D91426ED-289B-4506-BEC5-9CF13327DBBC}" ma:internalName="Round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A6368-14B5-4FC6-9FF9-860D1FEDD875}">
  <ds:schemaRefs>
    <ds:schemaRef ds:uri="http://schemas.microsoft.com/office/2006/metadata/properties"/>
    <ds:schemaRef ds:uri="97CD53C1-4684-41E5-8135-49631A403AC7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97cd53c1-4684-41e5-8135-49631a403ac7"/>
    <ds:schemaRef ds:uri="1eaefc63-d69c-4f51-988e-1b456dd93559"/>
  </ds:schemaRefs>
</ds:datastoreItem>
</file>

<file path=customXml/itemProps2.xml><?xml version="1.0" encoding="utf-8"?>
<ds:datastoreItem xmlns:ds="http://schemas.openxmlformats.org/officeDocument/2006/customXml" ds:itemID="{EF6F52A7-8FEC-462A-87B3-376595414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6D2A5-F993-4240-BBDB-1222A3377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aefc63-d69c-4f51-988e-1b456dd93559"/>
    <ds:schemaRef ds:uri="97cd53c1-4684-41e5-8135-49631a403ac7"/>
    <ds:schemaRef ds:uri="97CD53C1-4684-41E5-8135-49631A403AC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989EEBF-AE0C-4E63-8141-AC0714CE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22218215.dotm</Template>
  <TotalTime>0</TotalTime>
  <Pages>12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2013-05-08T17:00:00Z</dcterms:created>
  <dcterms:modified xsi:type="dcterms:W3CDTF">2013-05-08T17:03:00Z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0x010100C153CD978446E541813549631A403AC7</vt:lpwstr>
  </property>
</Properties>
</file>