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96"/>
      </w:tblGrid>
      <w:tr w:rsidR="0071286E" w:rsidRPr="0071286E" w14:paraId="08F9B20A" w14:textId="77777777" w:rsidTr="0071286E">
        <w:trPr>
          <w:trHeight w:val="1001"/>
        </w:trPr>
        <w:tc>
          <w:tcPr>
            <w:tcW w:w="4695" w:type="dxa"/>
          </w:tcPr>
          <w:p w14:paraId="79EC8504" w14:textId="0D75474B" w:rsidR="0071286E" w:rsidRPr="0071286E" w:rsidRDefault="0071286E" w:rsidP="00712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286E">
              <w:rPr>
                <w:rFonts w:ascii="Times New Roman" w:hAnsi="Times New Roman" w:cs="Times New Roman"/>
                <w:color w:val="000000"/>
                <w:lang w:val="ru-RU"/>
              </w:rPr>
              <w:t>Глобальный фонд</w:t>
            </w:r>
          </w:p>
        </w:tc>
        <w:tc>
          <w:tcPr>
            <w:tcW w:w="4696" w:type="dxa"/>
          </w:tcPr>
          <w:p w14:paraId="6E2FDA30" w14:textId="77777777" w:rsidR="0071286E" w:rsidRDefault="0071286E" w:rsidP="007128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1430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The Global Fund to Fight </w:t>
            </w:r>
          </w:p>
          <w:p w14:paraId="3CD248E2" w14:textId="77777777" w:rsidR="0071286E" w:rsidRPr="0014306A" w:rsidRDefault="0071286E" w:rsidP="007128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1430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AIDS, Tuberculosis and Malaria </w:t>
            </w:r>
          </w:p>
          <w:p w14:paraId="6A42CE8E" w14:textId="77777777" w:rsidR="0071286E" w:rsidRDefault="0071286E" w:rsidP="007128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1430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Global Health Campus </w:t>
            </w:r>
          </w:p>
          <w:p w14:paraId="1FFB103A" w14:textId="77777777" w:rsidR="0071286E" w:rsidRDefault="0071286E" w:rsidP="007128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 w:rsidRPr="001430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Chemin</w:t>
            </w:r>
            <w:proofErr w:type="spellEnd"/>
            <w:r w:rsidRPr="001430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du </w:t>
            </w:r>
            <w:proofErr w:type="spellStart"/>
            <w:r w:rsidRPr="001430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Pommier</w:t>
            </w:r>
            <w:proofErr w:type="spellEnd"/>
            <w:r w:rsidRPr="001430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40</w:t>
            </w:r>
          </w:p>
          <w:p w14:paraId="7DAA5776" w14:textId="77777777" w:rsidR="0071286E" w:rsidRDefault="0071286E" w:rsidP="007128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1430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1218 Grand-</w:t>
            </w:r>
            <w:proofErr w:type="spellStart"/>
            <w:r w:rsidRPr="001430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Saconnex</w:t>
            </w:r>
            <w:proofErr w:type="spellEnd"/>
            <w:r w:rsidRPr="001430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0AEA3445" w14:textId="77777777" w:rsidR="0071286E" w:rsidRPr="0014306A" w:rsidRDefault="0071286E" w:rsidP="007128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1430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Geneva, Switzerland </w:t>
            </w:r>
          </w:p>
          <w:p w14:paraId="55E3EBD8" w14:textId="77777777" w:rsidR="0071286E" w:rsidRPr="0014306A" w:rsidRDefault="0071286E" w:rsidP="007128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1430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23DBA0D3" w14:textId="77777777" w:rsidR="0071286E" w:rsidRPr="0071286E" w:rsidRDefault="0071286E" w:rsidP="007128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71286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theglobalfund.org </w:t>
            </w:r>
          </w:p>
          <w:p w14:paraId="3BB592F2" w14:textId="77777777" w:rsidR="0071286E" w:rsidRPr="0071286E" w:rsidRDefault="0071286E" w:rsidP="007128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71286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01B7F334" w14:textId="77777777" w:rsidR="0071286E" w:rsidRPr="0071286E" w:rsidRDefault="0071286E" w:rsidP="00712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24DC95C1" w14:textId="77777777" w:rsidR="0071286E" w:rsidRPr="0071286E" w:rsidRDefault="0071286E" w:rsidP="00712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BA83D4F" w14:textId="7849089E" w:rsidR="004A6F49" w:rsidRPr="00455485" w:rsidRDefault="004A6F49" w:rsidP="00143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ru-RU"/>
        </w:rPr>
      </w:pPr>
      <w:r w:rsidRPr="007B2ACB">
        <w:rPr>
          <w:rFonts w:ascii="Times New Roman" w:hAnsi="Times New Roman" w:cs="Times New Roman"/>
          <w:b/>
          <w:color w:val="000000"/>
          <w:lang w:val="ru-RU"/>
        </w:rPr>
        <w:t>Неофициальный</w:t>
      </w:r>
      <w:r w:rsidRPr="0045548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B2ACB">
        <w:rPr>
          <w:rFonts w:ascii="Times New Roman" w:hAnsi="Times New Roman" w:cs="Times New Roman"/>
          <w:b/>
          <w:color w:val="000000"/>
          <w:lang w:val="ru-RU"/>
        </w:rPr>
        <w:t>перевод</w:t>
      </w:r>
    </w:p>
    <w:p w14:paraId="19212425" w14:textId="77777777" w:rsidR="004A6F49" w:rsidRPr="00455485" w:rsidRDefault="004A6F49" w:rsidP="004A6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ru-RU"/>
        </w:rPr>
      </w:pPr>
    </w:p>
    <w:p w14:paraId="765EE54B" w14:textId="3BB436D4" w:rsidR="00721030" w:rsidRPr="007B2ACB" w:rsidRDefault="000B4697" w:rsidP="00721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/>
        </w:rPr>
      </w:pPr>
      <w:r w:rsidRPr="007B2ACB">
        <w:rPr>
          <w:rFonts w:ascii="Times New Roman" w:hAnsi="Times New Roman" w:cs="Times New Roman"/>
          <w:color w:val="000000"/>
          <w:lang w:val="ru-RU"/>
        </w:rPr>
        <w:t>Тема</w:t>
      </w:r>
      <w:r w:rsidR="00721030" w:rsidRPr="007B2ACB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885B3E" w:rsidRPr="007B2ACB">
        <w:rPr>
          <w:rFonts w:ascii="Times New Roman" w:hAnsi="Times New Roman" w:cs="Times New Roman"/>
          <w:b/>
          <w:color w:val="000000"/>
          <w:lang w:val="ru-RU"/>
        </w:rPr>
        <w:t>ПИСЬМО</w:t>
      </w:r>
      <w:r w:rsidR="00037424" w:rsidRPr="007B2ACB">
        <w:rPr>
          <w:rStyle w:val="FootnoteReference"/>
          <w:rFonts w:ascii="Times New Roman" w:hAnsi="Times New Roman" w:cs="Times New Roman"/>
          <w:b/>
          <w:color w:val="000000"/>
          <w:lang w:val="ru-RU"/>
        </w:rPr>
        <w:footnoteReference w:id="1"/>
      </w:r>
      <w:r w:rsidR="00885B3E" w:rsidRPr="007B2ACB">
        <w:rPr>
          <w:rFonts w:ascii="Times New Roman" w:hAnsi="Times New Roman" w:cs="Times New Roman"/>
          <w:b/>
          <w:color w:val="000000"/>
          <w:lang w:val="ru-RU"/>
        </w:rPr>
        <w:t xml:space="preserve"> С УВЕДОМЛЕНИЕМ О ВЫДЕЛЕННОЙ СУММЕ на </w:t>
      </w:r>
      <w:r w:rsidR="00721030" w:rsidRPr="007B2ACB">
        <w:rPr>
          <w:rFonts w:ascii="Times New Roman" w:hAnsi="Times New Roman" w:cs="Times New Roman"/>
          <w:b/>
          <w:bCs/>
          <w:color w:val="000000"/>
          <w:lang w:val="ru-RU"/>
        </w:rPr>
        <w:t xml:space="preserve">2020-2022 </w:t>
      </w:r>
      <w:r w:rsidR="00885B3E" w:rsidRPr="007B2ACB">
        <w:rPr>
          <w:rFonts w:ascii="Times New Roman" w:hAnsi="Times New Roman" w:cs="Times New Roman"/>
          <w:b/>
          <w:bCs/>
          <w:color w:val="000000"/>
          <w:lang w:val="ru-RU"/>
        </w:rPr>
        <w:t>годы</w:t>
      </w:r>
    </w:p>
    <w:p w14:paraId="797DD8B1" w14:textId="77777777" w:rsidR="00885B3E" w:rsidRPr="007B2ACB" w:rsidRDefault="00885B3E" w:rsidP="00721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318F6515" w14:textId="6BEEE866" w:rsidR="00721030" w:rsidRPr="007B2ACB" w:rsidRDefault="00885B3E" w:rsidP="00721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7B2ACB">
        <w:rPr>
          <w:rFonts w:ascii="Times New Roman" w:hAnsi="Times New Roman" w:cs="Times New Roman"/>
          <w:color w:val="000000"/>
          <w:lang w:val="ru-RU"/>
        </w:rPr>
        <w:t>Женева</w:t>
      </w:r>
      <w:r w:rsidR="00721030" w:rsidRPr="007B2ACB">
        <w:rPr>
          <w:rFonts w:ascii="Times New Roman" w:hAnsi="Times New Roman" w:cs="Times New Roman"/>
          <w:color w:val="000000"/>
          <w:lang w:val="ru-RU"/>
        </w:rPr>
        <w:t xml:space="preserve">, 12 </w:t>
      </w:r>
      <w:r w:rsidRPr="007B2ACB">
        <w:rPr>
          <w:rFonts w:ascii="Times New Roman" w:hAnsi="Times New Roman" w:cs="Times New Roman"/>
          <w:color w:val="000000"/>
          <w:lang w:val="ru-RU"/>
        </w:rPr>
        <w:t xml:space="preserve">Декабря </w:t>
      </w:r>
      <w:r w:rsidR="00721030" w:rsidRPr="007B2ACB">
        <w:rPr>
          <w:rFonts w:ascii="Times New Roman" w:hAnsi="Times New Roman" w:cs="Times New Roman"/>
          <w:color w:val="000000"/>
          <w:lang w:val="ru-RU"/>
        </w:rPr>
        <w:t xml:space="preserve">2019 </w:t>
      </w:r>
    </w:p>
    <w:p w14:paraId="475672B0" w14:textId="77777777" w:rsidR="00885B3E" w:rsidRPr="007B2ACB" w:rsidRDefault="00885B3E" w:rsidP="00721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35562111" w14:textId="77777777" w:rsidR="00806AE3" w:rsidRPr="007B2ACB" w:rsidRDefault="00885B3E" w:rsidP="00721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7B2ACB">
        <w:rPr>
          <w:rFonts w:ascii="Times New Roman" w:hAnsi="Times New Roman" w:cs="Times New Roman"/>
          <w:color w:val="000000"/>
          <w:lang w:val="ru-RU"/>
        </w:rPr>
        <w:t>Ваше превосходительство Министр Биртанов</w:t>
      </w:r>
      <w:r w:rsidR="00721030" w:rsidRPr="007B2ACB">
        <w:rPr>
          <w:rFonts w:ascii="Times New Roman" w:hAnsi="Times New Roman" w:cs="Times New Roman"/>
          <w:color w:val="000000"/>
          <w:lang w:val="ru-RU"/>
        </w:rPr>
        <w:t>,</w:t>
      </w:r>
    </w:p>
    <w:p w14:paraId="6525B3C3" w14:textId="766F6AD2" w:rsidR="00721030" w:rsidRPr="007B2ACB" w:rsidRDefault="00721030" w:rsidP="00721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7B2AC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6E752B53" w14:textId="4362F697" w:rsidR="00D03662" w:rsidRPr="007B2ACB" w:rsidRDefault="00551E60" w:rsidP="00BD1640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В течение последних 17 лет Глобальный фонд сотрудничал с партнерами по всему миру в борьбе со СПИДом, туберкулезом и малярией и укреплении систем здравоохранения. Вместе мы можем признать и приветствовать огромный прогресс, достигнутый, и мы можем разделить коллективную решимость ускорить усилия по борьбе с этими эпидемиями и обеспечить лучшее здоровье и благополучие для всех к 2030 году. Мы знаем, что это в пределах досягаемости, но </w:t>
      </w:r>
      <w:r w:rsidR="00796E6E" w:rsidRPr="007B2ACB">
        <w:rPr>
          <w:rStyle w:val="tlid-translation"/>
          <w:rFonts w:ascii="Times New Roman" w:hAnsi="Times New Roman" w:cs="Times New Roman"/>
          <w:lang w:val="ru-RU"/>
        </w:rPr>
        <w:t>с оставшимися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11 лет</w:t>
      </w:r>
      <w:r w:rsidR="00796E6E" w:rsidRPr="007B2ACB">
        <w:rPr>
          <w:rStyle w:val="tlid-translation"/>
          <w:rFonts w:ascii="Times New Roman" w:hAnsi="Times New Roman" w:cs="Times New Roman"/>
          <w:lang w:val="ru-RU"/>
        </w:rPr>
        <w:t>, у нас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нет времени </w:t>
      </w:r>
      <w:r w:rsidR="00F63484" w:rsidRPr="007B2ACB">
        <w:rPr>
          <w:rStyle w:val="tlid-translation"/>
          <w:rFonts w:ascii="Times New Roman" w:hAnsi="Times New Roman" w:cs="Times New Roman"/>
          <w:lang w:val="ru-RU"/>
        </w:rPr>
        <w:t>для потерь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. Мы должны усилить борьбу </w:t>
      </w:r>
      <w:r w:rsidR="00391839" w:rsidRPr="007B2ACB">
        <w:rPr>
          <w:rStyle w:val="tlid-translation"/>
          <w:rFonts w:ascii="Times New Roman" w:hAnsi="Times New Roman" w:cs="Times New Roman"/>
          <w:lang w:val="ru-RU"/>
        </w:rPr>
        <w:t xml:space="preserve">путем </w:t>
      </w:r>
      <w:r w:rsidRPr="007B2ACB">
        <w:rPr>
          <w:rStyle w:val="tlid-translation"/>
          <w:rFonts w:ascii="Times New Roman" w:hAnsi="Times New Roman" w:cs="Times New Roman"/>
          <w:lang w:val="ru-RU"/>
        </w:rPr>
        <w:t>увеличения инноваций и сотрудничества, а также за счет улучшения исполнения, чтобы решить некоторые из основных проблем.</w:t>
      </w:r>
    </w:p>
    <w:p w14:paraId="469AD699" w14:textId="3D2779F5" w:rsidR="00BD1640" w:rsidRPr="007B2ACB" w:rsidRDefault="00BD1640" w:rsidP="00721030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</w:p>
    <w:p w14:paraId="2E7E85B2" w14:textId="48A6A27B" w:rsidR="00BD1640" w:rsidRPr="007B2ACB" w:rsidRDefault="00BD1640" w:rsidP="00BD1640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lang w:val="ru-RU"/>
        </w:rPr>
        <w:t>Крайне важно, чтобы мы сосредоточились на снижении заболеваемости и расширении эффективных профилактических мероприятий, инвестировали в укрепление систем здравоохранения и сообщества, расставили приоритеты наших инвестиций с ключевыми и уязвимыми группами населения и обеспечили преодоление</w:t>
      </w:r>
      <w:r w:rsidR="005505B7" w:rsidRPr="007B2ACB">
        <w:rPr>
          <w:rStyle w:val="tlid-translation"/>
          <w:rFonts w:ascii="Times New Roman" w:hAnsi="Times New Roman" w:cs="Times New Roman"/>
          <w:lang w:val="ru-RU"/>
        </w:rPr>
        <w:t xml:space="preserve"> барьеров, </w:t>
      </w:r>
      <w:r w:rsidRPr="007B2ACB">
        <w:rPr>
          <w:rStyle w:val="tlid-translation"/>
          <w:rFonts w:ascii="Times New Roman" w:hAnsi="Times New Roman" w:cs="Times New Roman"/>
          <w:lang w:val="ru-RU"/>
        </w:rPr>
        <w:t>связанных с</w:t>
      </w:r>
      <w:r w:rsidR="00B440D0" w:rsidRPr="007B2ACB">
        <w:rPr>
          <w:rStyle w:val="tlid-translation"/>
          <w:rFonts w:ascii="Times New Roman" w:hAnsi="Times New Roman" w:cs="Times New Roman"/>
          <w:lang w:val="ru-RU"/>
        </w:rPr>
        <w:t xml:space="preserve"> вопросами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прав </w:t>
      </w:r>
      <w:r w:rsidR="00B440D0" w:rsidRPr="007B2ACB">
        <w:rPr>
          <w:rStyle w:val="tlid-translation"/>
          <w:rFonts w:ascii="Times New Roman" w:hAnsi="Times New Roman" w:cs="Times New Roman"/>
          <w:lang w:val="ru-RU"/>
        </w:rPr>
        <w:t>людей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</w:t>
      </w:r>
      <w:r w:rsidR="00B440D0" w:rsidRPr="007B2ACB">
        <w:rPr>
          <w:rStyle w:val="tlid-translation"/>
          <w:rFonts w:ascii="Times New Roman" w:hAnsi="Times New Roman" w:cs="Times New Roman"/>
          <w:lang w:val="ru-RU"/>
        </w:rPr>
        <w:t>на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здоровь</w:t>
      </w:r>
      <w:r w:rsidR="00B440D0" w:rsidRPr="007B2ACB">
        <w:rPr>
          <w:rStyle w:val="tlid-translation"/>
          <w:rFonts w:ascii="Times New Roman" w:hAnsi="Times New Roman" w:cs="Times New Roman"/>
          <w:lang w:val="ru-RU"/>
        </w:rPr>
        <w:t>е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и гендерного неравенства. Нам также необходимо обеспечить устойчивость нашего успеха, включая совместную работу по мобилизации растущих национальных ресурсов для </w:t>
      </w:r>
      <w:r w:rsidR="00184742" w:rsidRPr="007B2ACB">
        <w:rPr>
          <w:rStyle w:val="tlid-translation"/>
          <w:rFonts w:ascii="Times New Roman" w:hAnsi="Times New Roman" w:cs="Times New Roman"/>
          <w:lang w:val="ru-RU"/>
        </w:rPr>
        <w:t xml:space="preserve">системы 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здравоохранения. Группа технической оценки (ГТО), которая оценивает </w:t>
      </w:r>
      <w:r w:rsidR="00184742" w:rsidRPr="007B2ACB">
        <w:rPr>
          <w:rStyle w:val="tlid-translation"/>
          <w:rFonts w:ascii="Times New Roman" w:hAnsi="Times New Roman" w:cs="Times New Roman"/>
          <w:lang w:val="ru-RU"/>
        </w:rPr>
        <w:t xml:space="preserve">Концептуальные </w:t>
      </w:r>
      <w:r w:rsidRPr="007B2ACB">
        <w:rPr>
          <w:rStyle w:val="tlid-translation"/>
          <w:rFonts w:ascii="Times New Roman" w:hAnsi="Times New Roman" w:cs="Times New Roman"/>
          <w:lang w:val="ru-RU"/>
        </w:rPr>
        <w:t>заявки на</w:t>
      </w:r>
      <w:r w:rsidR="00184742" w:rsidRPr="007B2ACB">
        <w:rPr>
          <w:rStyle w:val="tlid-translation"/>
          <w:rFonts w:ascii="Times New Roman" w:hAnsi="Times New Roman" w:cs="Times New Roman"/>
          <w:lang w:val="ru-RU"/>
        </w:rPr>
        <w:t xml:space="preserve"> получение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финансировани</w:t>
      </w:r>
      <w:r w:rsidR="00184742" w:rsidRPr="007B2ACB">
        <w:rPr>
          <w:rStyle w:val="tlid-translation"/>
          <w:rFonts w:ascii="Times New Roman" w:hAnsi="Times New Roman" w:cs="Times New Roman"/>
          <w:lang w:val="ru-RU"/>
        </w:rPr>
        <w:t>я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Глобальн</w:t>
      </w:r>
      <w:r w:rsidR="00184742" w:rsidRPr="007B2ACB">
        <w:rPr>
          <w:rStyle w:val="tlid-translation"/>
          <w:rFonts w:ascii="Times New Roman" w:hAnsi="Times New Roman" w:cs="Times New Roman"/>
          <w:lang w:val="ru-RU"/>
        </w:rPr>
        <w:t>ого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фонд</w:t>
      </w:r>
      <w:r w:rsidR="00184742" w:rsidRPr="007B2ACB">
        <w:rPr>
          <w:rStyle w:val="tlid-translation"/>
          <w:rFonts w:ascii="Times New Roman" w:hAnsi="Times New Roman" w:cs="Times New Roman"/>
          <w:lang w:val="ru-RU"/>
        </w:rPr>
        <w:t>а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, подробно подчеркнула эти области в своем </w:t>
      </w:r>
      <w:r w:rsidR="004A6F49" w:rsidRPr="007B2ACB">
        <w:rPr>
          <w:rStyle w:val="tlid-translation"/>
          <w:rFonts w:ascii="Times New Roman" w:hAnsi="Times New Roman" w:cs="Times New Roman"/>
          <w:lang w:val="ru-RU"/>
        </w:rPr>
        <w:t>о</w:t>
      </w:r>
      <w:r w:rsidRPr="007B2ACB">
        <w:rPr>
          <w:rStyle w:val="tlid-translation"/>
          <w:rFonts w:ascii="Times New Roman" w:hAnsi="Times New Roman" w:cs="Times New Roman"/>
          <w:lang w:val="ru-RU"/>
        </w:rPr>
        <w:t>тчете о наблюдениях</w:t>
      </w:r>
      <w:r w:rsidR="00CD341A" w:rsidRPr="007B2ACB">
        <w:rPr>
          <w:rStyle w:val="FootnoteReference"/>
          <w:rFonts w:ascii="Times New Roman" w:hAnsi="Times New Roman" w:cs="Times New Roman"/>
          <w:lang w:val="ru-RU"/>
        </w:rPr>
        <w:footnoteReference w:id="2"/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, и эти основные области соответствуют обновленным руководящим </w:t>
      </w:r>
      <w:r w:rsidR="00583C54" w:rsidRPr="007B2ACB">
        <w:rPr>
          <w:rStyle w:val="tlid-translation"/>
          <w:rFonts w:ascii="Times New Roman" w:hAnsi="Times New Roman" w:cs="Times New Roman"/>
          <w:lang w:val="ru-RU"/>
        </w:rPr>
        <w:t>инструкциям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Глобального фонда, доступным в Информационных записках и Технических справках</w:t>
      </w:r>
      <w:r w:rsidR="002978E0" w:rsidRPr="007B2ACB">
        <w:rPr>
          <w:rStyle w:val="FootnoteReference"/>
          <w:rFonts w:ascii="Times New Roman" w:hAnsi="Times New Roman" w:cs="Times New Roman"/>
          <w:lang w:val="ru-RU"/>
        </w:rPr>
        <w:footnoteReference w:id="3"/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. Мы рекомендуем вам и всем, кто участвует в подготовке запроса на финансирование, внимательно </w:t>
      </w:r>
      <w:r w:rsidR="00583C54" w:rsidRPr="007B2ACB">
        <w:rPr>
          <w:rStyle w:val="tlid-translation"/>
          <w:rFonts w:ascii="Times New Roman" w:hAnsi="Times New Roman" w:cs="Times New Roman"/>
          <w:lang w:val="ru-RU"/>
        </w:rPr>
        <w:t>ознакомиться с ними</w:t>
      </w:r>
      <w:r w:rsidRPr="007B2ACB">
        <w:rPr>
          <w:rStyle w:val="tlid-translation"/>
          <w:rFonts w:ascii="Times New Roman" w:hAnsi="Times New Roman" w:cs="Times New Roman"/>
          <w:lang w:val="ru-RU"/>
        </w:rPr>
        <w:t>.</w:t>
      </w:r>
    </w:p>
    <w:p w14:paraId="6967B354" w14:textId="77777777" w:rsidR="000364ED" w:rsidRPr="007B2ACB" w:rsidRDefault="000364ED" w:rsidP="00BD1640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</w:p>
    <w:p w14:paraId="1DA694E4" w14:textId="77777777" w:rsidR="000364ED" w:rsidRPr="007B2ACB" w:rsidRDefault="000364ED" w:rsidP="0003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  <w:r w:rsidRPr="007B2ACB">
        <w:rPr>
          <w:rFonts w:ascii="Times New Roman" w:hAnsi="Times New Roman" w:cs="Times New Roman"/>
          <w:b/>
          <w:color w:val="000000"/>
          <w:lang w:val="ru-RU"/>
        </w:rPr>
        <w:t xml:space="preserve">Сумма, выделенная Казахстану  </w:t>
      </w:r>
    </w:p>
    <w:p w14:paraId="24778CD6" w14:textId="74EB76B1" w:rsidR="000364ED" w:rsidRPr="007B2ACB" w:rsidRDefault="000364ED" w:rsidP="00A5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7B2ACB">
        <w:rPr>
          <w:rFonts w:ascii="Times New Roman" w:hAnsi="Times New Roman" w:cs="Times New Roman"/>
          <w:color w:val="000000"/>
          <w:lang w:val="ru-RU"/>
        </w:rPr>
        <w:t>В соответствии с решением Правления Глобального фонда, принятым в ноябре 2019 года, о выделении ресурсов на период 20</w:t>
      </w:r>
      <w:r w:rsidR="00C610CF" w:rsidRPr="007B2ACB">
        <w:rPr>
          <w:rFonts w:ascii="Times New Roman" w:hAnsi="Times New Roman" w:cs="Times New Roman"/>
          <w:color w:val="000000"/>
          <w:lang w:val="ru-RU"/>
        </w:rPr>
        <w:t>20</w:t>
      </w:r>
      <w:r w:rsidRPr="007B2ACB">
        <w:rPr>
          <w:rFonts w:ascii="Times New Roman" w:hAnsi="Times New Roman" w:cs="Times New Roman"/>
          <w:color w:val="000000"/>
          <w:lang w:val="ru-RU"/>
        </w:rPr>
        <w:t>-20</w:t>
      </w:r>
      <w:r w:rsidR="00C610CF" w:rsidRPr="007B2ACB">
        <w:rPr>
          <w:rFonts w:ascii="Times New Roman" w:hAnsi="Times New Roman" w:cs="Times New Roman"/>
          <w:color w:val="000000"/>
          <w:lang w:val="ru-RU"/>
        </w:rPr>
        <w:t>23</w:t>
      </w:r>
      <w:r w:rsidRPr="007B2ACB">
        <w:rPr>
          <w:rFonts w:ascii="Times New Roman" w:hAnsi="Times New Roman" w:cs="Times New Roman"/>
          <w:color w:val="000000"/>
          <w:lang w:val="ru-RU"/>
        </w:rPr>
        <w:t xml:space="preserve"> год</w:t>
      </w:r>
      <w:r w:rsidR="00C610CF" w:rsidRPr="007B2ACB">
        <w:rPr>
          <w:rFonts w:ascii="Times New Roman" w:hAnsi="Times New Roman" w:cs="Times New Roman"/>
          <w:color w:val="000000"/>
          <w:lang w:val="ru-RU"/>
        </w:rPr>
        <w:t>ы</w:t>
      </w:r>
      <w:r w:rsidRPr="007B2ACB">
        <w:rPr>
          <w:rFonts w:ascii="Times New Roman" w:hAnsi="Times New Roman" w:cs="Times New Roman"/>
          <w:color w:val="000000"/>
          <w:lang w:val="ru-RU"/>
        </w:rPr>
        <w:t xml:space="preserve"> Казахстану выделено </w:t>
      </w:r>
      <w:r w:rsidR="00C610CF" w:rsidRPr="007B2ACB">
        <w:rPr>
          <w:rFonts w:ascii="Times New Roman" w:hAnsi="Times New Roman" w:cs="Times New Roman"/>
          <w:color w:val="000000"/>
          <w:lang w:val="ru-RU"/>
        </w:rPr>
        <w:t>15,238</w:t>
      </w:r>
      <w:r w:rsidRPr="007B2ACB">
        <w:rPr>
          <w:rFonts w:ascii="Times New Roman" w:hAnsi="Times New Roman" w:cs="Times New Roman"/>
          <w:color w:val="000000"/>
          <w:lang w:val="ru-RU"/>
        </w:rPr>
        <w:t>,</w:t>
      </w:r>
      <w:r w:rsidR="00C610CF" w:rsidRPr="007B2ACB">
        <w:rPr>
          <w:rFonts w:ascii="Times New Roman" w:hAnsi="Times New Roman" w:cs="Times New Roman"/>
          <w:color w:val="000000"/>
          <w:lang w:val="ru-RU"/>
        </w:rPr>
        <w:t>497</w:t>
      </w:r>
      <w:r w:rsidRPr="007B2ACB">
        <w:rPr>
          <w:rFonts w:ascii="Times New Roman" w:hAnsi="Times New Roman" w:cs="Times New Roman"/>
          <w:color w:val="000000"/>
          <w:lang w:val="ru-RU"/>
        </w:rPr>
        <w:t xml:space="preserve"> долл</w:t>
      </w:r>
      <w:r w:rsidR="00EB2C7B" w:rsidRPr="007B2ACB">
        <w:rPr>
          <w:rFonts w:ascii="Times New Roman" w:hAnsi="Times New Roman" w:cs="Times New Roman"/>
          <w:color w:val="000000"/>
          <w:lang w:val="ru-RU"/>
        </w:rPr>
        <w:t>аров</w:t>
      </w:r>
      <w:r w:rsidRPr="007B2ACB">
        <w:rPr>
          <w:rFonts w:ascii="Times New Roman" w:hAnsi="Times New Roman" w:cs="Times New Roman"/>
          <w:color w:val="000000"/>
          <w:lang w:val="ru-RU"/>
        </w:rPr>
        <w:t xml:space="preserve"> США для поддержки программ по борьбе </w:t>
      </w:r>
      <w:r w:rsidR="00C610CF" w:rsidRPr="007B2ACB">
        <w:rPr>
          <w:rFonts w:ascii="Times New Roman" w:hAnsi="Times New Roman" w:cs="Times New Roman"/>
          <w:color w:val="000000"/>
          <w:lang w:val="ru-RU"/>
        </w:rPr>
        <w:t>с</w:t>
      </w:r>
      <w:r w:rsidRPr="007B2ACB">
        <w:rPr>
          <w:rFonts w:ascii="Times New Roman" w:hAnsi="Times New Roman" w:cs="Times New Roman"/>
          <w:color w:val="000000"/>
          <w:lang w:val="ru-RU"/>
        </w:rPr>
        <w:t xml:space="preserve"> ВИЧ</w:t>
      </w:r>
      <w:r w:rsidR="00C610CF" w:rsidRPr="007B2ACB">
        <w:rPr>
          <w:rFonts w:ascii="Times New Roman" w:hAnsi="Times New Roman" w:cs="Times New Roman"/>
          <w:color w:val="000000"/>
          <w:lang w:val="ru-RU"/>
        </w:rPr>
        <w:t xml:space="preserve"> и</w:t>
      </w:r>
      <w:r w:rsidRPr="007B2ACB">
        <w:rPr>
          <w:rFonts w:ascii="Times New Roman" w:hAnsi="Times New Roman" w:cs="Times New Roman"/>
          <w:color w:val="000000"/>
          <w:lang w:val="ru-RU"/>
        </w:rPr>
        <w:t xml:space="preserve"> туберкулез</w:t>
      </w:r>
      <w:r w:rsidR="00C610CF" w:rsidRPr="007B2ACB">
        <w:rPr>
          <w:rFonts w:ascii="Times New Roman" w:hAnsi="Times New Roman" w:cs="Times New Roman"/>
          <w:color w:val="000000"/>
          <w:lang w:val="ru-RU"/>
        </w:rPr>
        <w:t>ом</w:t>
      </w:r>
      <w:r w:rsidRPr="007B2ACB">
        <w:rPr>
          <w:rFonts w:ascii="Times New Roman" w:hAnsi="Times New Roman" w:cs="Times New Roman"/>
          <w:color w:val="000000"/>
          <w:lang w:val="ru-RU"/>
        </w:rPr>
        <w:t xml:space="preserve">, а также для создания жизнеспособных и устойчивых систем </w:t>
      </w:r>
      <w:r w:rsidR="00B14973" w:rsidRPr="007B2ACB">
        <w:rPr>
          <w:rFonts w:ascii="Times New Roman" w:hAnsi="Times New Roman" w:cs="Times New Roman"/>
          <w:color w:val="000000"/>
          <w:lang w:val="ru-RU"/>
        </w:rPr>
        <w:t>здравоохранения</w:t>
      </w:r>
      <w:r w:rsidRPr="007B2ACB">
        <w:rPr>
          <w:rFonts w:ascii="Times New Roman" w:hAnsi="Times New Roman" w:cs="Times New Roman"/>
          <w:color w:val="000000"/>
          <w:lang w:val="ru-RU"/>
        </w:rPr>
        <w:t>. Суммы, выделенные всем странам, определялись</w:t>
      </w:r>
      <w:r w:rsidR="003E4CC7" w:rsidRPr="007B2ACB">
        <w:rPr>
          <w:rFonts w:ascii="Times New Roman" w:hAnsi="Times New Roman" w:cs="Times New Roman"/>
          <w:color w:val="000000"/>
          <w:lang w:val="ru-RU"/>
        </w:rPr>
        <w:t xml:space="preserve"> согласно методам</w:t>
      </w:r>
      <w:r w:rsidR="00EB2C7B" w:rsidRPr="007B2ACB">
        <w:rPr>
          <w:rFonts w:ascii="Times New Roman" w:hAnsi="Times New Roman" w:cs="Times New Roman"/>
          <w:color w:val="000000"/>
          <w:lang w:val="ru-RU"/>
        </w:rPr>
        <w:t xml:space="preserve">, утвержденным Глобальным фондом, </w:t>
      </w:r>
      <w:r w:rsidRPr="007B2ACB">
        <w:rPr>
          <w:rFonts w:ascii="Times New Roman" w:hAnsi="Times New Roman" w:cs="Times New Roman"/>
          <w:color w:val="000000"/>
          <w:lang w:val="ru-RU"/>
        </w:rPr>
        <w:t>в первую очередь, в соответствии с бременем болезней и уровнем дохода. Классификация Казахстана - страна с уровнем дохода выше среднего</w:t>
      </w:r>
      <w:r w:rsidR="00DE72A6" w:rsidRPr="007B2ACB">
        <w:rPr>
          <w:rStyle w:val="FootnoteReference"/>
          <w:rFonts w:ascii="Times New Roman" w:hAnsi="Times New Roman" w:cs="Times New Roman"/>
          <w:color w:val="000000"/>
          <w:lang w:val="ru-RU"/>
        </w:rPr>
        <w:footnoteReference w:id="4"/>
      </w:r>
      <w:r w:rsidRPr="007B2ACB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1962AAF6" w14:textId="77777777" w:rsidR="000364ED" w:rsidRPr="007B2ACB" w:rsidRDefault="000364ED" w:rsidP="0003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7B2AC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9456233" w14:textId="490BC33A" w:rsidR="000364ED" w:rsidRPr="007B2ACB" w:rsidRDefault="000364ED" w:rsidP="0003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7B2ACB">
        <w:rPr>
          <w:rFonts w:ascii="Times New Roman" w:hAnsi="Times New Roman" w:cs="Times New Roman"/>
          <w:color w:val="000000"/>
          <w:lang w:val="ru-RU"/>
        </w:rPr>
        <w:t xml:space="preserve">Таблица 1. </w:t>
      </w:r>
      <w:r w:rsidR="00647200" w:rsidRPr="007B2ACB">
        <w:rPr>
          <w:rStyle w:val="tlid-translation"/>
          <w:rFonts w:ascii="Times New Roman" w:hAnsi="Times New Roman" w:cs="Times New Roman"/>
          <w:lang w:val="ru-RU"/>
        </w:rPr>
        <w:t>Сводная информация о распределении</w:t>
      </w:r>
      <w:r w:rsidR="005C13B5" w:rsidRPr="007B2ACB">
        <w:rPr>
          <w:rStyle w:val="tlid-translation"/>
          <w:rFonts w:ascii="Times New Roman" w:hAnsi="Times New Roman" w:cs="Times New Roman"/>
          <w:lang w:val="ru-RU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0"/>
        <w:gridCol w:w="2890"/>
        <w:gridCol w:w="3537"/>
      </w:tblGrid>
      <w:tr w:rsidR="00721030" w:rsidRPr="007B2ACB" w14:paraId="31BF81A6" w14:textId="77777777" w:rsidTr="001F7AD5">
        <w:trPr>
          <w:trHeight w:val="272"/>
        </w:trPr>
        <w:tc>
          <w:tcPr>
            <w:tcW w:w="2890" w:type="dxa"/>
          </w:tcPr>
          <w:p w14:paraId="78425DDF" w14:textId="1AF1558C" w:rsidR="00721030" w:rsidRPr="007B2ACB" w:rsidRDefault="000364ED" w:rsidP="0072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B2A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5C13B5" w:rsidRPr="007B2ACB">
              <w:rPr>
                <w:rStyle w:val="tlid-translation"/>
                <w:rFonts w:ascii="Times New Roman" w:hAnsi="Times New Roman" w:cs="Times New Roman"/>
                <w:lang w:val="ru-RU"/>
              </w:rPr>
              <w:t>Компоненты, отвечающие критериям заболевания:</w:t>
            </w:r>
          </w:p>
        </w:tc>
        <w:tc>
          <w:tcPr>
            <w:tcW w:w="2890" w:type="dxa"/>
          </w:tcPr>
          <w:p w14:paraId="25181AF7" w14:textId="53CFFD91" w:rsidR="00721030" w:rsidRPr="00E65035" w:rsidRDefault="00E65035" w:rsidP="0072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5035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Выделенная сумма</w:t>
            </w:r>
            <w:r w:rsidR="00721030" w:rsidRPr="00E65035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(</w:t>
            </w:r>
            <w:r w:rsidRPr="00E65035">
              <w:rPr>
                <w:rFonts w:ascii="Times New Roman" w:hAnsi="Times New Roman" w:cs="Times New Roman"/>
                <w:bCs/>
                <w:color w:val="000000"/>
                <w:lang w:val="ru-RU"/>
              </w:rPr>
              <w:t>в долларах США</w:t>
            </w:r>
            <w:r w:rsidR="00721030" w:rsidRPr="00E65035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) </w:t>
            </w:r>
          </w:p>
        </w:tc>
        <w:tc>
          <w:tcPr>
            <w:tcW w:w="3537" w:type="dxa"/>
          </w:tcPr>
          <w:p w14:paraId="28CF3F63" w14:textId="3612C7BB" w:rsidR="00721030" w:rsidRPr="00E65035" w:rsidRDefault="00E65035" w:rsidP="0072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035">
              <w:rPr>
                <w:rStyle w:val="tlid-translation"/>
                <w:rFonts w:ascii="Times New Roman" w:hAnsi="Times New Roman" w:cs="Times New Roman"/>
                <w:lang w:val="ru-RU"/>
              </w:rPr>
              <w:t>Сроки использования средств</w:t>
            </w:r>
          </w:p>
        </w:tc>
      </w:tr>
      <w:tr w:rsidR="00721030" w:rsidRPr="007B2ACB" w14:paraId="74AB6360" w14:textId="77777777" w:rsidTr="001F7AD5">
        <w:trPr>
          <w:trHeight w:val="103"/>
        </w:trPr>
        <w:tc>
          <w:tcPr>
            <w:tcW w:w="2890" w:type="dxa"/>
          </w:tcPr>
          <w:p w14:paraId="1ADD7820" w14:textId="2AC3388B" w:rsidR="00721030" w:rsidRPr="007B2ACB" w:rsidRDefault="00F533C5" w:rsidP="0072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B2ACB">
              <w:rPr>
                <w:rFonts w:ascii="Times New Roman" w:hAnsi="Times New Roman" w:cs="Times New Roman"/>
                <w:color w:val="000000"/>
                <w:lang w:val="ru-RU"/>
              </w:rPr>
              <w:t>ВИЧ</w:t>
            </w:r>
          </w:p>
        </w:tc>
        <w:tc>
          <w:tcPr>
            <w:tcW w:w="2890" w:type="dxa"/>
          </w:tcPr>
          <w:p w14:paraId="3D562DA8" w14:textId="77777777" w:rsidR="00721030" w:rsidRPr="007B2ACB" w:rsidRDefault="00721030" w:rsidP="0072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2ACB">
              <w:rPr>
                <w:rFonts w:ascii="Times New Roman" w:hAnsi="Times New Roman" w:cs="Times New Roman"/>
                <w:color w:val="000000"/>
              </w:rPr>
              <w:t xml:space="preserve">5,197,500 </w:t>
            </w:r>
          </w:p>
        </w:tc>
        <w:tc>
          <w:tcPr>
            <w:tcW w:w="3537" w:type="dxa"/>
          </w:tcPr>
          <w:p w14:paraId="2E224B31" w14:textId="64C02B43" w:rsidR="00721030" w:rsidRPr="007B2ACB" w:rsidRDefault="00721030" w:rsidP="0072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2ACB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5C13B5" w:rsidRPr="007B2ACB">
              <w:rPr>
                <w:rFonts w:ascii="Times New Roman" w:hAnsi="Times New Roman" w:cs="Times New Roman"/>
                <w:color w:val="000000"/>
                <w:lang w:val="ru-RU"/>
              </w:rPr>
              <w:t xml:space="preserve">января </w:t>
            </w:r>
            <w:r w:rsidRPr="007B2ACB">
              <w:rPr>
                <w:rFonts w:ascii="Times New Roman" w:hAnsi="Times New Roman" w:cs="Times New Roman"/>
                <w:color w:val="000000"/>
              </w:rPr>
              <w:t xml:space="preserve">2021 </w:t>
            </w:r>
            <w:r w:rsidR="005C13B5" w:rsidRPr="007B2ACB">
              <w:rPr>
                <w:rFonts w:ascii="Times New Roman" w:hAnsi="Times New Roman" w:cs="Times New Roman"/>
                <w:color w:val="000000"/>
                <w:lang w:val="ru-RU"/>
              </w:rPr>
              <w:t>до</w:t>
            </w:r>
            <w:r w:rsidRPr="007B2ACB">
              <w:rPr>
                <w:rFonts w:ascii="Times New Roman" w:hAnsi="Times New Roman" w:cs="Times New Roman"/>
                <w:color w:val="000000"/>
              </w:rPr>
              <w:t xml:space="preserve"> 31 </w:t>
            </w:r>
            <w:r w:rsidR="005C13B5" w:rsidRPr="007B2ACB">
              <w:rPr>
                <w:rFonts w:ascii="Times New Roman" w:hAnsi="Times New Roman" w:cs="Times New Roman"/>
                <w:color w:val="000000"/>
                <w:lang w:val="ru-RU"/>
              </w:rPr>
              <w:t>декабря</w:t>
            </w:r>
            <w:r w:rsidRPr="007B2ACB">
              <w:rPr>
                <w:rFonts w:ascii="Times New Roman" w:hAnsi="Times New Roman" w:cs="Times New Roman"/>
                <w:color w:val="000000"/>
              </w:rPr>
              <w:t xml:space="preserve"> 2023 </w:t>
            </w:r>
          </w:p>
        </w:tc>
      </w:tr>
      <w:tr w:rsidR="00721030" w:rsidRPr="007B2ACB" w14:paraId="7A31A209" w14:textId="77777777" w:rsidTr="001F7AD5">
        <w:trPr>
          <w:trHeight w:val="103"/>
        </w:trPr>
        <w:tc>
          <w:tcPr>
            <w:tcW w:w="2890" w:type="dxa"/>
          </w:tcPr>
          <w:p w14:paraId="6E104C23" w14:textId="35FEB937" w:rsidR="00721030" w:rsidRPr="007B2ACB" w:rsidRDefault="005C13B5" w:rsidP="0072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B2ACB">
              <w:rPr>
                <w:rFonts w:ascii="Times New Roman" w:hAnsi="Times New Roman" w:cs="Times New Roman"/>
                <w:color w:val="000000"/>
                <w:lang w:val="ru-RU"/>
              </w:rPr>
              <w:t>Туберкулез</w:t>
            </w:r>
          </w:p>
        </w:tc>
        <w:tc>
          <w:tcPr>
            <w:tcW w:w="2890" w:type="dxa"/>
          </w:tcPr>
          <w:p w14:paraId="0245DB12" w14:textId="77777777" w:rsidR="00721030" w:rsidRPr="007B2ACB" w:rsidRDefault="00721030" w:rsidP="0072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2ACB">
              <w:rPr>
                <w:rFonts w:ascii="Times New Roman" w:hAnsi="Times New Roman" w:cs="Times New Roman"/>
                <w:color w:val="000000"/>
              </w:rPr>
              <w:t xml:space="preserve">10,040,997 </w:t>
            </w:r>
          </w:p>
        </w:tc>
        <w:tc>
          <w:tcPr>
            <w:tcW w:w="3537" w:type="dxa"/>
          </w:tcPr>
          <w:p w14:paraId="4CF1FADC" w14:textId="094FF411" w:rsidR="00721030" w:rsidRPr="007B2ACB" w:rsidRDefault="00721030" w:rsidP="0072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2ACB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5C13B5" w:rsidRPr="007B2ACB">
              <w:rPr>
                <w:rFonts w:ascii="Times New Roman" w:hAnsi="Times New Roman" w:cs="Times New Roman"/>
                <w:color w:val="000000"/>
                <w:lang w:val="ru-RU"/>
              </w:rPr>
              <w:t>января</w:t>
            </w:r>
            <w:r w:rsidRPr="007B2ACB">
              <w:rPr>
                <w:rFonts w:ascii="Times New Roman" w:hAnsi="Times New Roman" w:cs="Times New Roman"/>
                <w:color w:val="000000"/>
              </w:rPr>
              <w:t xml:space="preserve"> 2023 </w:t>
            </w:r>
            <w:r w:rsidR="005C13B5" w:rsidRPr="007B2ACB">
              <w:rPr>
                <w:rFonts w:ascii="Times New Roman" w:hAnsi="Times New Roman" w:cs="Times New Roman"/>
                <w:color w:val="000000"/>
                <w:lang w:val="ru-RU"/>
              </w:rPr>
              <w:t>до</w:t>
            </w:r>
            <w:r w:rsidRPr="007B2ACB">
              <w:rPr>
                <w:rFonts w:ascii="Times New Roman" w:hAnsi="Times New Roman" w:cs="Times New Roman"/>
                <w:color w:val="000000"/>
              </w:rPr>
              <w:t xml:space="preserve"> 31 </w:t>
            </w:r>
            <w:r w:rsidR="005C13B5" w:rsidRPr="007B2ACB">
              <w:rPr>
                <w:rFonts w:ascii="Times New Roman" w:hAnsi="Times New Roman" w:cs="Times New Roman"/>
                <w:color w:val="000000"/>
                <w:lang w:val="ru-RU"/>
              </w:rPr>
              <w:t xml:space="preserve">декабря </w:t>
            </w:r>
            <w:r w:rsidRPr="007B2ACB">
              <w:rPr>
                <w:rFonts w:ascii="Times New Roman" w:hAnsi="Times New Roman" w:cs="Times New Roman"/>
                <w:color w:val="000000"/>
              </w:rPr>
              <w:t xml:space="preserve">2025 </w:t>
            </w:r>
          </w:p>
        </w:tc>
      </w:tr>
      <w:tr w:rsidR="0071286E" w:rsidRPr="007B2ACB" w14:paraId="24B507D6" w14:textId="77777777" w:rsidTr="001F7AD5">
        <w:trPr>
          <w:trHeight w:val="103"/>
        </w:trPr>
        <w:tc>
          <w:tcPr>
            <w:tcW w:w="2890" w:type="dxa"/>
          </w:tcPr>
          <w:p w14:paraId="6E2AB33B" w14:textId="53C2C59D" w:rsidR="0071286E" w:rsidRPr="007B2ACB" w:rsidRDefault="0071286E" w:rsidP="0072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B2AC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2890" w:type="dxa"/>
          </w:tcPr>
          <w:p w14:paraId="772ACE13" w14:textId="2DFD48B9" w:rsidR="0071286E" w:rsidRPr="007B2ACB" w:rsidRDefault="0071286E" w:rsidP="0072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2ACB">
              <w:rPr>
                <w:rFonts w:ascii="Times New Roman" w:hAnsi="Times New Roman" w:cs="Times New Roman"/>
                <w:color w:val="000000"/>
              </w:rPr>
              <w:t>15,238,497</w:t>
            </w:r>
          </w:p>
        </w:tc>
        <w:tc>
          <w:tcPr>
            <w:tcW w:w="3537" w:type="dxa"/>
          </w:tcPr>
          <w:p w14:paraId="4030A19E" w14:textId="77777777" w:rsidR="0071286E" w:rsidRPr="007B2ACB" w:rsidRDefault="0071286E" w:rsidP="0072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1129F48" w14:textId="77777777" w:rsidR="005C13B5" w:rsidRPr="007B2ACB" w:rsidRDefault="005C13B5" w:rsidP="00721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D2BB2F" w14:textId="6BD4B81C" w:rsidR="00C935DA" w:rsidRDefault="001F08C9" w:rsidP="00C935DA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b/>
          <w:lang w:val="ru-RU"/>
        </w:rPr>
        <w:lastRenderedPageBreak/>
        <w:t>Подходы к заявке</w:t>
      </w:r>
      <w:r w:rsidR="002513B7" w:rsidRPr="007B2ACB">
        <w:rPr>
          <w:rStyle w:val="tlid-translation"/>
          <w:rFonts w:ascii="Times New Roman" w:hAnsi="Times New Roman" w:cs="Times New Roman"/>
          <w:lang w:val="ru-RU"/>
        </w:rPr>
        <w:t>. Казахстану предлагается подать Концептуальную заявку на получение финансирования с использованием</w:t>
      </w:r>
      <w:r w:rsidR="00BE0053" w:rsidRPr="007B2ACB">
        <w:rPr>
          <w:rStyle w:val="tlid-translation"/>
          <w:rFonts w:ascii="Times New Roman" w:hAnsi="Times New Roman" w:cs="Times New Roman"/>
          <w:lang w:val="ru-RU"/>
        </w:rPr>
        <w:t xml:space="preserve"> специальной</w:t>
      </w:r>
      <w:r w:rsidR="002513B7" w:rsidRPr="007B2ACB">
        <w:rPr>
          <w:rStyle w:val="tlid-translation"/>
          <w:rFonts w:ascii="Times New Roman" w:hAnsi="Times New Roman" w:cs="Times New Roman"/>
          <w:lang w:val="ru-RU"/>
        </w:rPr>
        <w:t xml:space="preserve"> заявки на финансирование целевых портфелей. Полный комплект материалов заявки будет предоставлен страновой команде Глобального фонда. Все заявки на финансирование должны разрабатываться посредством открытого и прозрачного странового диалога с широким кругом заинтересованных сторон, включая ключевые и уязвимые группы населения.</w:t>
      </w:r>
    </w:p>
    <w:p w14:paraId="5AA7E7E8" w14:textId="77777777" w:rsidR="001F7AD5" w:rsidRPr="007B2ACB" w:rsidRDefault="001F7AD5" w:rsidP="00C935DA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</w:p>
    <w:p w14:paraId="5B0A9842" w14:textId="7678921C" w:rsidR="00604018" w:rsidRDefault="00670F01" w:rsidP="00C935DA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b/>
          <w:lang w:val="ru-RU"/>
        </w:rPr>
        <w:t>Сроки</w:t>
      </w:r>
      <w:r w:rsidR="00D61465" w:rsidRPr="007B2ACB">
        <w:rPr>
          <w:rStyle w:val="tlid-translation"/>
          <w:rFonts w:ascii="Times New Roman" w:hAnsi="Times New Roman" w:cs="Times New Roman"/>
          <w:b/>
          <w:lang w:val="ru-RU"/>
        </w:rPr>
        <w:t xml:space="preserve"> использования средств</w:t>
      </w:r>
      <w:r w:rsidR="002513B7" w:rsidRPr="007B2ACB">
        <w:rPr>
          <w:rStyle w:val="tlid-translation"/>
          <w:rFonts w:ascii="Times New Roman" w:hAnsi="Times New Roman" w:cs="Times New Roman"/>
          <w:lang w:val="ru-RU"/>
        </w:rPr>
        <w:t xml:space="preserve">. </w:t>
      </w:r>
      <w:r w:rsidR="00B71CB4" w:rsidRPr="007B2ACB">
        <w:rPr>
          <w:rFonts w:ascii="Times New Roman" w:hAnsi="Times New Roman" w:cs="Times New Roman"/>
          <w:lang w:val="ru-RU"/>
        </w:rPr>
        <w:t>Сумма, выделяемая на каждый отвечающий критериям компонент заболевани</w:t>
      </w:r>
      <w:r w:rsidR="007A2EA5" w:rsidRPr="007B2ACB">
        <w:rPr>
          <w:rFonts w:ascii="Times New Roman" w:hAnsi="Times New Roman" w:cs="Times New Roman"/>
          <w:lang w:val="ru-RU"/>
        </w:rPr>
        <w:t>я</w:t>
      </w:r>
      <w:r w:rsidR="00B71CB4" w:rsidRPr="007B2ACB">
        <w:rPr>
          <w:rFonts w:ascii="Times New Roman" w:hAnsi="Times New Roman" w:cs="Times New Roman"/>
          <w:lang w:val="ru-RU"/>
        </w:rPr>
        <w:t xml:space="preserve">, представляет собой средства, которые могут быть использованы в течение соответствующего трехгодичного периода, как указано в Таблице 1 (выше). </w:t>
      </w:r>
      <w:r w:rsidR="002513B7" w:rsidRPr="007B2ACB">
        <w:rPr>
          <w:rStyle w:val="tlid-translation"/>
          <w:rFonts w:ascii="Times New Roman" w:hAnsi="Times New Roman" w:cs="Times New Roman"/>
          <w:lang w:val="ru-RU"/>
        </w:rPr>
        <w:t>Любые оставшиеся средства из предыдущего распределения, не использованные к началу указанного периода использования распределения, не будут дополнительными к сумме распределения</w:t>
      </w:r>
      <w:r w:rsidRPr="007B2ACB">
        <w:rPr>
          <w:rStyle w:val="FootnoteReference"/>
          <w:rFonts w:ascii="Times New Roman" w:hAnsi="Times New Roman" w:cs="Times New Roman"/>
          <w:lang w:val="ru-RU"/>
        </w:rPr>
        <w:footnoteReference w:id="5"/>
      </w:r>
      <w:r w:rsidR="002513B7" w:rsidRPr="007B2ACB">
        <w:rPr>
          <w:rStyle w:val="tlid-translation"/>
          <w:rFonts w:ascii="Times New Roman" w:hAnsi="Times New Roman" w:cs="Times New Roman"/>
          <w:lang w:val="ru-RU"/>
        </w:rPr>
        <w:t>.</w:t>
      </w:r>
    </w:p>
    <w:p w14:paraId="0A8A2C6B" w14:textId="77777777" w:rsidR="001F7AD5" w:rsidRPr="007B2ACB" w:rsidRDefault="001F7AD5" w:rsidP="00C935DA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</w:p>
    <w:p w14:paraId="36F8396C" w14:textId="71D6BC3E" w:rsidR="004E6EB9" w:rsidRDefault="00604018" w:rsidP="00C935DA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b/>
          <w:lang w:val="ru-RU"/>
        </w:rPr>
        <w:t>Выполнение</w:t>
      </w:r>
      <w:r w:rsidR="002513B7" w:rsidRPr="007B2ACB">
        <w:rPr>
          <w:rStyle w:val="tlid-translation"/>
          <w:rFonts w:ascii="Times New Roman" w:hAnsi="Times New Roman" w:cs="Times New Roman"/>
          <w:lang w:val="ru-RU"/>
        </w:rPr>
        <w:t>. Глобальный фонд признает ценность эффективной реализации и призывает все страны изучить возможности упорядочения и консолидации механизмов реализации на предстоящий период распределения.</w:t>
      </w:r>
    </w:p>
    <w:p w14:paraId="56007947" w14:textId="77777777" w:rsidR="001F7AD5" w:rsidRPr="007B2ACB" w:rsidRDefault="001F7AD5" w:rsidP="00C935DA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</w:p>
    <w:p w14:paraId="2EE48106" w14:textId="6B398237" w:rsidR="0058247C" w:rsidRDefault="00493DF3" w:rsidP="0058247C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Fonts w:ascii="Times New Roman" w:hAnsi="Times New Roman" w:cs="Times New Roman"/>
          <w:b/>
          <w:lang w:val="ru-RU"/>
        </w:rPr>
        <w:t>Схема распределения ресурсов между программами</w:t>
      </w:r>
      <w:r w:rsidRPr="007B2ACB">
        <w:rPr>
          <w:rFonts w:ascii="Times New Roman" w:hAnsi="Times New Roman" w:cs="Times New Roman"/>
          <w:lang w:val="ru-RU"/>
        </w:rPr>
        <w:t xml:space="preserve">. </w:t>
      </w:r>
      <w:r w:rsidR="009C0FC2" w:rsidRPr="007B2ACB">
        <w:rPr>
          <w:rStyle w:val="tlid-translation"/>
          <w:rFonts w:ascii="Times New Roman" w:hAnsi="Times New Roman" w:cs="Times New Roman"/>
          <w:lang w:val="ru-RU"/>
        </w:rPr>
        <w:t xml:space="preserve">Глобальный фонд предложил ориентировочное распределение средств по </w:t>
      </w:r>
      <w:r w:rsidR="00211D94" w:rsidRPr="007B2ACB">
        <w:rPr>
          <w:rStyle w:val="tlid-translation"/>
          <w:rFonts w:ascii="Times New Roman" w:hAnsi="Times New Roman" w:cs="Times New Roman"/>
          <w:lang w:val="ru-RU"/>
        </w:rPr>
        <w:t>приемлемым</w:t>
      </w:r>
      <w:r w:rsidR="009C0FC2" w:rsidRPr="007B2ACB">
        <w:rPr>
          <w:rStyle w:val="tlid-translation"/>
          <w:rFonts w:ascii="Times New Roman" w:hAnsi="Times New Roman" w:cs="Times New Roman"/>
          <w:lang w:val="ru-RU"/>
        </w:rPr>
        <w:t xml:space="preserve"> компонентам </w:t>
      </w:r>
      <w:r w:rsidR="00211D94" w:rsidRPr="007B2ACB">
        <w:rPr>
          <w:rStyle w:val="tlid-translation"/>
          <w:rFonts w:ascii="Times New Roman" w:hAnsi="Times New Roman" w:cs="Times New Roman"/>
          <w:lang w:val="ru-RU"/>
        </w:rPr>
        <w:t>забол</w:t>
      </w:r>
      <w:r w:rsidR="005C3DDC" w:rsidRPr="007B2ACB">
        <w:rPr>
          <w:rStyle w:val="tlid-translation"/>
          <w:rFonts w:ascii="Times New Roman" w:hAnsi="Times New Roman" w:cs="Times New Roman"/>
          <w:lang w:val="ru-RU"/>
        </w:rPr>
        <w:t>е</w:t>
      </w:r>
      <w:r w:rsidR="00211D94" w:rsidRPr="007B2ACB">
        <w:rPr>
          <w:rStyle w:val="tlid-translation"/>
          <w:rFonts w:ascii="Times New Roman" w:hAnsi="Times New Roman" w:cs="Times New Roman"/>
          <w:lang w:val="ru-RU"/>
        </w:rPr>
        <w:t>ваний</w:t>
      </w:r>
      <w:r w:rsidR="009C0FC2" w:rsidRPr="007B2ACB">
        <w:rPr>
          <w:rStyle w:val="tlid-translation"/>
          <w:rFonts w:ascii="Times New Roman" w:hAnsi="Times New Roman" w:cs="Times New Roman"/>
          <w:lang w:val="ru-RU"/>
        </w:rPr>
        <w:t xml:space="preserve"> в Таблице 1 (выше). Тем не менее, Страновой координационный механизм (</w:t>
      </w:r>
      <w:r w:rsidR="009C0FC2" w:rsidRPr="00855819">
        <w:rPr>
          <w:rStyle w:val="tlid-translation"/>
          <w:rFonts w:ascii="Times New Roman" w:hAnsi="Times New Roman" w:cs="Times New Roman"/>
          <w:b/>
          <w:lang w:val="ru-RU"/>
        </w:rPr>
        <w:t>СКК</w:t>
      </w:r>
      <w:r w:rsidR="009C0FC2" w:rsidRPr="007B2ACB">
        <w:rPr>
          <w:rStyle w:val="tlid-translation"/>
          <w:rFonts w:ascii="Times New Roman" w:hAnsi="Times New Roman" w:cs="Times New Roman"/>
          <w:lang w:val="ru-RU"/>
        </w:rPr>
        <w:t xml:space="preserve">) несет ответственность за оценку и предложение наилучшего использования средств по этим компонентам </w:t>
      </w:r>
      <w:r w:rsidR="007B1D8B" w:rsidRPr="007B2ACB">
        <w:rPr>
          <w:rStyle w:val="tlid-translation"/>
          <w:rFonts w:ascii="Times New Roman" w:hAnsi="Times New Roman" w:cs="Times New Roman"/>
          <w:lang w:val="ru-RU"/>
        </w:rPr>
        <w:t>заболеваний</w:t>
      </w:r>
      <w:r w:rsidR="009C0FC2" w:rsidRPr="007B2ACB">
        <w:rPr>
          <w:rStyle w:val="tlid-translation"/>
          <w:rFonts w:ascii="Times New Roman" w:hAnsi="Times New Roman" w:cs="Times New Roman"/>
          <w:lang w:val="ru-RU"/>
        </w:rPr>
        <w:t xml:space="preserve"> и связанных с ними инвестиций в систему здравоохранения. </w:t>
      </w:r>
      <w:r w:rsidR="0058247C" w:rsidRPr="007B2ACB">
        <w:rPr>
          <w:rStyle w:val="tlid-translation"/>
          <w:rFonts w:ascii="Times New Roman" w:hAnsi="Times New Roman" w:cs="Times New Roman"/>
          <w:lang w:val="ru-RU"/>
        </w:rPr>
        <w:t xml:space="preserve">Кандидаты могут </w:t>
      </w:r>
      <w:r w:rsidR="004F01D2" w:rsidRPr="007B2ACB">
        <w:rPr>
          <w:rStyle w:val="tlid-translation"/>
          <w:rFonts w:ascii="Times New Roman" w:hAnsi="Times New Roman" w:cs="Times New Roman"/>
          <w:lang w:val="ru-RU"/>
        </w:rPr>
        <w:t xml:space="preserve">выбрать вариант </w:t>
      </w:r>
      <w:r w:rsidR="0058247C" w:rsidRPr="007B2ACB">
        <w:rPr>
          <w:rStyle w:val="tlid-translation"/>
          <w:rFonts w:ascii="Times New Roman" w:hAnsi="Times New Roman" w:cs="Times New Roman"/>
          <w:lang w:val="ru-RU"/>
        </w:rPr>
        <w:t>ра</w:t>
      </w:r>
      <w:r w:rsidR="009A6294" w:rsidRPr="007B2ACB">
        <w:rPr>
          <w:rStyle w:val="tlid-translation"/>
          <w:rFonts w:ascii="Times New Roman" w:hAnsi="Times New Roman" w:cs="Times New Roman"/>
          <w:lang w:val="ru-RU"/>
        </w:rPr>
        <w:t>спределения</w:t>
      </w:r>
      <w:r w:rsidR="004F01D2" w:rsidRPr="007B2ACB">
        <w:rPr>
          <w:rStyle w:val="tlid-translation"/>
          <w:rFonts w:ascii="Times New Roman" w:hAnsi="Times New Roman" w:cs="Times New Roman"/>
          <w:lang w:val="ru-RU"/>
        </w:rPr>
        <w:t xml:space="preserve"> средств, предложенный</w:t>
      </w:r>
      <w:r w:rsidR="0058247C" w:rsidRPr="007B2ACB">
        <w:rPr>
          <w:rStyle w:val="tlid-translation"/>
          <w:rFonts w:ascii="Times New Roman" w:hAnsi="Times New Roman" w:cs="Times New Roman"/>
          <w:lang w:val="ru-RU"/>
        </w:rPr>
        <w:t xml:space="preserve"> Глобальн</w:t>
      </w:r>
      <w:r w:rsidR="004F01D2" w:rsidRPr="007B2ACB">
        <w:rPr>
          <w:rStyle w:val="tlid-translation"/>
          <w:rFonts w:ascii="Times New Roman" w:hAnsi="Times New Roman" w:cs="Times New Roman"/>
          <w:lang w:val="ru-RU"/>
        </w:rPr>
        <w:t>ым</w:t>
      </w:r>
      <w:r w:rsidR="0058247C" w:rsidRPr="007B2ACB">
        <w:rPr>
          <w:rStyle w:val="tlid-translation"/>
          <w:rFonts w:ascii="Times New Roman" w:hAnsi="Times New Roman" w:cs="Times New Roman"/>
          <w:lang w:val="ru-RU"/>
        </w:rPr>
        <w:t xml:space="preserve"> фонд</w:t>
      </w:r>
      <w:r w:rsidR="004F01D2" w:rsidRPr="007B2ACB">
        <w:rPr>
          <w:rStyle w:val="tlid-translation"/>
          <w:rFonts w:ascii="Times New Roman" w:hAnsi="Times New Roman" w:cs="Times New Roman"/>
          <w:lang w:val="ru-RU"/>
        </w:rPr>
        <w:t>ом</w:t>
      </w:r>
      <w:r w:rsidR="0058247C" w:rsidRPr="007B2ACB">
        <w:rPr>
          <w:rStyle w:val="tlid-translation"/>
          <w:rFonts w:ascii="Times New Roman" w:hAnsi="Times New Roman" w:cs="Times New Roman"/>
          <w:lang w:val="ru-RU"/>
        </w:rPr>
        <w:t xml:space="preserve"> или предложить пересмотренный на основе </w:t>
      </w:r>
      <w:r w:rsidR="00696D0E" w:rsidRPr="007B2ACB">
        <w:rPr>
          <w:rStyle w:val="tlid-translation"/>
          <w:rFonts w:ascii="Times New Roman" w:hAnsi="Times New Roman" w:cs="Times New Roman"/>
          <w:lang w:val="ru-RU"/>
        </w:rPr>
        <w:t xml:space="preserve">данных по </w:t>
      </w:r>
      <w:r w:rsidR="0058247C" w:rsidRPr="007B2ACB">
        <w:rPr>
          <w:rStyle w:val="tlid-translation"/>
          <w:rFonts w:ascii="Times New Roman" w:hAnsi="Times New Roman" w:cs="Times New Roman"/>
          <w:lang w:val="ru-RU"/>
        </w:rPr>
        <w:t>анализ</w:t>
      </w:r>
      <w:r w:rsidR="00696D0E" w:rsidRPr="007B2ACB">
        <w:rPr>
          <w:rStyle w:val="tlid-translation"/>
          <w:rFonts w:ascii="Times New Roman" w:hAnsi="Times New Roman" w:cs="Times New Roman"/>
          <w:lang w:val="ru-RU"/>
        </w:rPr>
        <w:t>у</w:t>
      </w:r>
      <w:r w:rsidR="0058247C" w:rsidRPr="007B2ACB">
        <w:rPr>
          <w:rStyle w:val="tlid-translation"/>
          <w:rFonts w:ascii="Times New Roman" w:hAnsi="Times New Roman" w:cs="Times New Roman"/>
          <w:lang w:val="ru-RU"/>
        </w:rPr>
        <w:t xml:space="preserve"> программных пробелов и с учетом финансирования, необходимого для поддержания основных программ. Глобальный фонд тщательно рассмотрит обоснование любого изменения программы.</w:t>
      </w:r>
    </w:p>
    <w:p w14:paraId="184567A0" w14:textId="77777777" w:rsidR="001F7AD5" w:rsidRPr="007B2ACB" w:rsidRDefault="001F7AD5" w:rsidP="0058247C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</w:p>
    <w:p w14:paraId="55EC512F" w14:textId="6A3DCCB6" w:rsidR="002956F1" w:rsidRPr="007B2ACB" w:rsidRDefault="0000346B" w:rsidP="00C935DA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b/>
          <w:lang w:val="ru-RU"/>
        </w:rPr>
        <w:t xml:space="preserve">Цели </w:t>
      </w:r>
      <w:r w:rsidR="00D51834" w:rsidRPr="007B2ACB">
        <w:rPr>
          <w:rStyle w:val="tlid-translation"/>
          <w:rFonts w:ascii="Times New Roman" w:hAnsi="Times New Roman" w:cs="Times New Roman"/>
          <w:b/>
          <w:lang w:val="ru-RU"/>
        </w:rPr>
        <w:t>распределения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. </w:t>
      </w:r>
      <w:r w:rsidR="00696D0E" w:rsidRPr="007B2ACB">
        <w:rPr>
          <w:rStyle w:val="tlid-translation"/>
          <w:rFonts w:ascii="Times New Roman" w:hAnsi="Times New Roman" w:cs="Times New Roman"/>
          <w:lang w:val="ru-RU"/>
        </w:rPr>
        <w:t>Концептуальная з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аявка на </w:t>
      </w:r>
      <w:r w:rsidR="00696D0E" w:rsidRPr="007B2ACB">
        <w:rPr>
          <w:rStyle w:val="tlid-translation"/>
          <w:rFonts w:ascii="Times New Roman" w:hAnsi="Times New Roman" w:cs="Times New Roman"/>
          <w:lang w:val="ru-RU"/>
        </w:rPr>
        <w:t xml:space="preserve">получение </w:t>
      </w:r>
      <w:r w:rsidRPr="007B2ACB">
        <w:rPr>
          <w:rStyle w:val="tlid-translation"/>
          <w:rFonts w:ascii="Times New Roman" w:hAnsi="Times New Roman" w:cs="Times New Roman"/>
          <w:lang w:val="ru-RU"/>
        </w:rPr>
        <w:t>финансировани</w:t>
      </w:r>
      <w:r w:rsidR="00696D0E" w:rsidRPr="007B2ACB">
        <w:rPr>
          <w:rStyle w:val="tlid-translation"/>
          <w:rFonts w:ascii="Times New Roman" w:hAnsi="Times New Roman" w:cs="Times New Roman"/>
          <w:lang w:val="ru-RU"/>
        </w:rPr>
        <w:t>я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, направляемая в Глобальный фонд, должна соответствовать приоритетным потребностям стран и руководствоваться соответствующими </w:t>
      </w:r>
      <w:r w:rsidR="00216CFD" w:rsidRPr="007B2ACB">
        <w:rPr>
          <w:rStyle w:val="tlid-translation"/>
          <w:rFonts w:ascii="Times New Roman" w:hAnsi="Times New Roman" w:cs="Times New Roman"/>
          <w:lang w:val="ru-RU"/>
        </w:rPr>
        <w:t>Н</w:t>
      </w:r>
      <w:r w:rsidRPr="007B2ACB">
        <w:rPr>
          <w:rStyle w:val="tlid-translation"/>
          <w:rFonts w:ascii="Times New Roman" w:hAnsi="Times New Roman" w:cs="Times New Roman"/>
          <w:lang w:val="ru-RU"/>
        </w:rPr>
        <w:t>ациональными стратегическими планами и обзорами программ. Кроме того, Глобальный фонд хотел бы воспользоваться этой возможностью, чтобы поделиться следующими соображениями при рассмотрении заявок на финансирование:</w:t>
      </w:r>
    </w:p>
    <w:p w14:paraId="7D0C34C8" w14:textId="60039BDF" w:rsidR="0000346B" w:rsidRPr="007B2ACB" w:rsidRDefault="0000346B" w:rsidP="00C935DA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lang w:val="ru-RU"/>
        </w:rPr>
        <w:t>• Распределение ВИЧ в Казахстане было скорректировано в сторону увеличения (от суммы формулы распределения, которая в основном учитывает бремя болезней и уровень доходов), чтобы лучше учитывать бремя и потребности ключевых и уязвимых групп населения. Глобальный фонд ожидает, что средства будут направлены на научно</w:t>
      </w:r>
      <w:r w:rsidR="009A6128" w:rsidRPr="007B2ACB">
        <w:rPr>
          <w:rStyle w:val="tlid-translation"/>
          <w:rFonts w:ascii="Times New Roman" w:hAnsi="Times New Roman" w:cs="Times New Roman"/>
          <w:lang w:val="ru-RU"/>
        </w:rPr>
        <w:t xml:space="preserve"> -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обоснованные программы для ключевых и уязвимых групп населения в соответствии с указаниями технических партнеров и в соответствии с эпидемиологическ</w:t>
      </w:r>
      <w:r w:rsidR="009A6128" w:rsidRPr="007B2ACB">
        <w:rPr>
          <w:rStyle w:val="tlid-translation"/>
          <w:rFonts w:ascii="Times New Roman" w:hAnsi="Times New Roman" w:cs="Times New Roman"/>
          <w:lang w:val="ru-RU"/>
        </w:rPr>
        <w:t>ой ситуацией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в Казахстане.</w:t>
      </w:r>
    </w:p>
    <w:p w14:paraId="00508F1F" w14:textId="6E30C507" w:rsidR="0000346B" w:rsidRPr="007B2ACB" w:rsidRDefault="0000346B" w:rsidP="00C935DA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lang w:val="ru-RU"/>
        </w:rPr>
        <w:t>• Глобальный фонд поощряет ускоренный переход на все</w:t>
      </w:r>
      <w:r w:rsidR="00824622" w:rsidRPr="007B2ACB">
        <w:rPr>
          <w:rStyle w:val="tlid-translation"/>
          <w:rFonts w:ascii="Times New Roman" w:hAnsi="Times New Roman" w:cs="Times New Roman"/>
          <w:lang w:val="ru-RU"/>
        </w:rPr>
        <w:t xml:space="preserve"> </w:t>
      </w:r>
      <w:r w:rsidR="00577BB4" w:rsidRPr="007B2ACB">
        <w:rPr>
          <w:rStyle w:val="tlid-translation"/>
          <w:rFonts w:ascii="Times New Roman" w:hAnsi="Times New Roman" w:cs="Times New Roman"/>
          <w:lang w:val="ru-RU"/>
        </w:rPr>
        <w:t xml:space="preserve">пероральные </w:t>
      </w:r>
      <w:r w:rsidRPr="007B2ACB">
        <w:rPr>
          <w:rStyle w:val="tlid-translation"/>
          <w:rFonts w:ascii="Times New Roman" w:hAnsi="Times New Roman" w:cs="Times New Roman"/>
          <w:lang w:val="ru-RU"/>
        </w:rPr>
        <w:t>схемы лечения лекарственно-устойчивого туберкулеза в соответствии с рекомендациями Всемирной организации здравоохранения.</w:t>
      </w:r>
    </w:p>
    <w:p w14:paraId="296401A7" w14:textId="77777777" w:rsidR="00D51834" w:rsidRPr="007B2ACB" w:rsidRDefault="00D51834" w:rsidP="00C935DA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lang w:val="ru-RU"/>
        </w:rPr>
      </w:pPr>
    </w:p>
    <w:p w14:paraId="54E3B480" w14:textId="416DB921" w:rsidR="0000346B" w:rsidRPr="007B2ACB" w:rsidRDefault="00A12B71" w:rsidP="00C935DA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b/>
          <w:lang w:val="ru-RU"/>
        </w:rPr>
        <w:t>Важность инвестиций в системы здравоохранения и сообщества</w:t>
      </w:r>
      <w:r w:rsidRPr="007B2ACB">
        <w:rPr>
          <w:rStyle w:val="tlid-translation"/>
          <w:rFonts w:ascii="Times New Roman" w:hAnsi="Times New Roman" w:cs="Times New Roman"/>
          <w:lang w:val="ru-RU"/>
        </w:rPr>
        <w:t>. Глобальный фонд призывает кандидатов вкладывать средства в укрепление систем здравоохранения и сообществ, поскольку они необходимы для ускорения прогресса в деле ликвидации эпидемий. Глобальный фонд приветствует (i) инициативы по внедрению и усилению интегрированной помощи с точки зрения пациента (включая лечение сочетанных инфекций или предоставление комплексных пакетов помощи, таких как интегрированные дородовые услуги), а также (</w:t>
      </w:r>
      <w:proofErr w:type="spellStart"/>
      <w:r w:rsidRPr="007B2ACB">
        <w:rPr>
          <w:rStyle w:val="tlid-translation"/>
          <w:rFonts w:ascii="Times New Roman" w:hAnsi="Times New Roman" w:cs="Times New Roman"/>
          <w:lang w:val="ru-RU"/>
        </w:rPr>
        <w:t>ii</w:t>
      </w:r>
      <w:proofErr w:type="spellEnd"/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) инвестиции в базовые возможности системы, необходимые достичь воздействия и устойчивости (включая лаборатории, </w:t>
      </w:r>
      <w:r w:rsidR="00343E20" w:rsidRPr="007B2ACB">
        <w:rPr>
          <w:rStyle w:val="tlid-translation"/>
          <w:rFonts w:ascii="Times New Roman" w:hAnsi="Times New Roman" w:cs="Times New Roman"/>
          <w:lang w:val="ru-RU"/>
        </w:rPr>
        <w:t>сеть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поставок, системы данных, мониторинг на уровне сообществ, мобилизацию сообщества, </w:t>
      </w:r>
      <w:r w:rsidR="00343E20" w:rsidRPr="007B2ACB">
        <w:rPr>
          <w:rStyle w:val="tlid-translation"/>
          <w:rFonts w:ascii="Times New Roman" w:hAnsi="Times New Roman" w:cs="Times New Roman"/>
          <w:lang w:val="ru-RU"/>
        </w:rPr>
        <w:t>адвокацию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и организационное развитие, а также кадровые ресурсы для здравоохранения на уровне сообществ и учреждений). Чтобы добиться большей отдачи от денег и эффективности, Глобальный фонд призывает кандидатов исследовать возможности для интеграции двух заболеваний и в более широкие системы здравоохранения, где это возможно.</w:t>
      </w:r>
    </w:p>
    <w:p w14:paraId="50F836FD" w14:textId="30D842D8" w:rsidR="008E2BEE" w:rsidRPr="007B2ACB" w:rsidRDefault="008148AF" w:rsidP="008148AF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lang w:val="ru-RU"/>
        </w:rPr>
        <w:lastRenderedPageBreak/>
        <w:t xml:space="preserve">Отслеживание улучшений в результатах требует тщательного измерения, и Глобальный фонд ожидает, что кандидаты будут инвестировать соответствующие средства для улучшения сбора и использования данных. Дополнительную информацию можно найти в Информационной </w:t>
      </w:r>
      <w:r w:rsidR="008E2BEE" w:rsidRPr="007B2ACB">
        <w:rPr>
          <w:rStyle w:val="tlid-translation"/>
          <w:rFonts w:ascii="Times New Roman" w:hAnsi="Times New Roman" w:cs="Times New Roman"/>
          <w:lang w:val="ru-RU"/>
        </w:rPr>
        <w:t xml:space="preserve">записке </w:t>
      </w:r>
      <w:r w:rsidR="00010EE7" w:rsidRPr="007B2ACB">
        <w:rPr>
          <w:rStyle w:val="tlid-translation"/>
          <w:rFonts w:ascii="Times New Roman" w:hAnsi="Times New Roman" w:cs="Times New Roman"/>
          <w:lang w:val="ru-RU"/>
        </w:rPr>
        <w:t>по жизненно</w:t>
      </w:r>
      <w:r w:rsidR="008E2BEE" w:rsidRPr="007B2ACB">
        <w:rPr>
          <w:rStyle w:val="tlid-translation"/>
          <w:rFonts w:ascii="Times New Roman" w:hAnsi="Times New Roman" w:cs="Times New Roman"/>
          <w:lang w:val="ru-RU"/>
        </w:rPr>
        <w:t xml:space="preserve"> устойчивым системам здравоохранения (</w:t>
      </w:r>
      <w:r w:rsidRPr="007B2ACB">
        <w:rPr>
          <w:rStyle w:val="tlid-translation"/>
          <w:rFonts w:ascii="Times New Roman" w:hAnsi="Times New Roman" w:cs="Times New Roman"/>
          <w:lang w:val="ru-RU"/>
        </w:rPr>
        <w:t>RSSH</w:t>
      </w:r>
      <w:r w:rsidR="008E2BEE" w:rsidRPr="007B2ACB">
        <w:rPr>
          <w:rStyle w:val="tlid-translation"/>
          <w:rFonts w:ascii="Times New Roman" w:hAnsi="Times New Roman" w:cs="Times New Roman"/>
          <w:lang w:val="ru-RU"/>
        </w:rPr>
        <w:t>)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и Техническом описании по укреплению систем сообщества на веб-сайте Глобального фонда</w:t>
      </w:r>
      <w:r w:rsidRPr="007B2ACB">
        <w:rPr>
          <w:rStyle w:val="FootnoteReference"/>
          <w:rFonts w:ascii="Times New Roman" w:hAnsi="Times New Roman" w:cs="Times New Roman"/>
          <w:lang w:val="ru-RU"/>
        </w:rPr>
        <w:footnoteReference w:id="6"/>
      </w:r>
      <w:r w:rsidRPr="007B2ACB">
        <w:rPr>
          <w:rStyle w:val="tlid-translation"/>
          <w:rFonts w:ascii="Times New Roman" w:hAnsi="Times New Roman" w:cs="Times New Roman"/>
          <w:lang w:val="ru-RU"/>
        </w:rPr>
        <w:t>.</w:t>
      </w:r>
    </w:p>
    <w:p w14:paraId="314770AC" w14:textId="1752D4A0" w:rsidR="008148AF" w:rsidRPr="007B2ACB" w:rsidRDefault="008148AF" w:rsidP="008148AF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b/>
          <w:lang w:val="ru-RU"/>
        </w:rPr>
        <w:t>Важность инвестиций в права человека и гендерные вопросы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. Устранение </w:t>
      </w:r>
      <w:r w:rsidR="00102387" w:rsidRPr="007B2ACB">
        <w:rPr>
          <w:rStyle w:val="tlid-translation"/>
          <w:rFonts w:ascii="Times New Roman" w:hAnsi="Times New Roman" w:cs="Times New Roman"/>
          <w:lang w:val="ru-RU"/>
        </w:rPr>
        <w:t xml:space="preserve">барьеров по </w:t>
      </w:r>
      <w:r w:rsidRPr="007B2ACB">
        <w:rPr>
          <w:rStyle w:val="tlid-translation"/>
          <w:rFonts w:ascii="Times New Roman" w:hAnsi="Times New Roman" w:cs="Times New Roman"/>
          <w:lang w:val="ru-RU"/>
        </w:rPr>
        <w:t>прав</w:t>
      </w:r>
      <w:r w:rsidR="00102387" w:rsidRPr="007B2ACB">
        <w:rPr>
          <w:rStyle w:val="tlid-translation"/>
          <w:rFonts w:ascii="Times New Roman" w:hAnsi="Times New Roman" w:cs="Times New Roman"/>
          <w:lang w:val="ru-RU"/>
        </w:rPr>
        <w:t xml:space="preserve">ам 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человека и </w:t>
      </w:r>
      <w:r w:rsidR="005A0807" w:rsidRPr="007B2ACB">
        <w:rPr>
          <w:rStyle w:val="tlid-translation"/>
          <w:rFonts w:ascii="Times New Roman" w:hAnsi="Times New Roman" w:cs="Times New Roman"/>
          <w:lang w:val="ru-RU"/>
        </w:rPr>
        <w:t>связанны</w:t>
      </w:r>
      <w:r w:rsidR="003449E2">
        <w:rPr>
          <w:rStyle w:val="tlid-translation"/>
          <w:rFonts w:ascii="Times New Roman" w:hAnsi="Times New Roman" w:cs="Times New Roman"/>
          <w:lang w:val="ru-RU"/>
        </w:rPr>
        <w:t>х</w:t>
      </w:r>
      <w:r w:rsidR="005A0807" w:rsidRPr="007B2ACB">
        <w:rPr>
          <w:rStyle w:val="tlid-translation"/>
          <w:rFonts w:ascii="Times New Roman" w:hAnsi="Times New Roman" w:cs="Times New Roman"/>
          <w:lang w:val="ru-RU"/>
        </w:rPr>
        <w:t xml:space="preserve"> с гендером 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в доступе к услугам имеет решающее значение для прекращения эпидемий. Когда эти барьеры не устранены, они подрывают эффективные и действенные меры реагирования и ограничивают устойчивый прогресс. Подробное руководство по эффективным инвестициям в программы и подходы, направленные на преодоление правозащитных и гендерных барьеров, включая ключевые меры для </w:t>
      </w:r>
      <w:r w:rsidR="00F32242" w:rsidRPr="007B2ACB">
        <w:rPr>
          <w:rStyle w:val="tlid-translation"/>
          <w:rFonts w:ascii="Times New Roman" w:hAnsi="Times New Roman" w:cs="Times New Roman"/>
          <w:lang w:val="ru-RU"/>
        </w:rPr>
        <w:t>добавления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в заявки на финансирование, можно найти в технических </w:t>
      </w:r>
      <w:r w:rsidR="00B338B9" w:rsidRPr="007B2ACB">
        <w:rPr>
          <w:rStyle w:val="tlid-translation"/>
          <w:rFonts w:ascii="Times New Roman" w:hAnsi="Times New Roman" w:cs="Times New Roman"/>
          <w:lang w:val="ru-RU"/>
        </w:rPr>
        <w:t>информациях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на веб-сайте Глобального фонда</w:t>
      </w:r>
      <w:r w:rsidR="00BA2513" w:rsidRPr="007B2ACB">
        <w:rPr>
          <w:rStyle w:val="FootnoteReference"/>
          <w:rFonts w:ascii="Times New Roman" w:hAnsi="Times New Roman" w:cs="Times New Roman"/>
          <w:lang w:val="ru-RU"/>
        </w:rPr>
        <w:footnoteReference w:id="7"/>
      </w:r>
      <w:r w:rsidRPr="007B2ACB">
        <w:rPr>
          <w:rStyle w:val="tlid-translation"/>
          <w:rFonts w:ascii="Times New Roman" w:hAnsi="Times New Roman" w:cs="Times New Roman"/>
          <w:lang w:val="ru-RU"/>
        </w:rPr>
        <w:t>.</w:t>
      </w:r>
    </w:p>
    <w:p w14:paraId="0AE0B98E" w14:textId="18332B9E" w:rsidR="005E07D7" w:rsidRPr="007B2ACB" w:rsidRDefault="004E2B99" w:rsidP="008148AF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b/>
          <w:lang w:val="ru-RU"/>
        </w:rPr>
        <w:t>Важность увеличения внутренних ресурсов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. Увеличение внутренних ресурсов для здравоохранения, особенно для борьбы с ВИЧ и туберкулезом, имеет важное значение для прекращения эпидемий и укрепления систем здравоохранения, которые являются основой ответных мер на заболевание. Доступ к </w:t>
      </w:r>
      <w:r w:rsidR="00EA302C" w:rsidRPr="007B2ACB">
        <w:rPr>
          <w:rStyle w:val="tlid-translation"/>
          <w:rFonts w:ascii="Times New Roman" w:hAnsi="Times New Roman" w:cs="Times New Roman"/>
          <w:lang w:val="ru-RU"/>
        </w:rPr>
        <w:t>ресурсам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2020–2022 год</w:t>
      </w:r>
      <w:r w:rsidR="00B37BDB" w:rsidRPr="007B2ACB">
        <w:rPr>
          <w:rStyle w:val="tlid-translation"/>
          <w:rFonts w:ascii="Times New Roman" w:hAnsi="Times New Roman" w:cs="Times New Roman"/>
          <w:lang w:val="ru-RU"/>
        </w:rPr>
        <w:t>ов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зависит от </w:t>
      </w:r>
      <w:r w:rsidR="00477A79" w:rsidRPr="007B2ACB">
        <w:rPr>
          <w:rStyle w:val="tlid-translation"/>
          <w:rFonts w:ascii="Times New Roman" w:hAnsi="Times New Roman" w:cs="Times New Roman"/>
          <w:lang w:val="ru-RU"/>
        </w:rPr>
        <w:t>правил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со-финансирования Глобального фонда. Ожидается, что все страны будут (i) постепенно увеличивать общие расходы на здравоохранение в соответствии с признанными международными декларациями и национальными стратегиями и (</w:t>
      </w:r>
      <w:proofErr w:type="spellStart"/>
      <w:r w:rsidRPr="007B2ACB">
        <w:rPr>
          <w:rStyle w:val="tlid-translation"/>
          <w:rFonts w:ascii="Times New Roman" w:hAnsi="Times New Roman" w:cs="Times New Roman"/>
          <w:lang w:val="ru-RU"/>
        </w:rPr>
        <w:t>ii</w:t>
      </w:r>
      <w:proofErr w:type="spellEnd"/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) постепенно брать на себя основные программные расходы, в том числе те, которые в настоящее время финансируются Глобальным фондом. Кроме того, 15% </w:t>
      </w:r>
      <w:r w:rsidR="00182AF3" w:rsidRPr="007B2ACB">
        <w:rPr>
          <w:rStyle w:val="tlid-translation"/>
          <w:rFonts w:ascii="Times New Roman" w:hAnsi="Times New Roman" w:cs="Times New Roman"/>
          <w:lang w:val="ru-RU"/>
        </w:rPr>
        <w:t>К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азахстанских </w:t>
      </w:r>
      <w:r w:rsidR="00182AF3" w:rsidRPr="007B2ACB">
        <w:rPr>
          <w:rStyle w:val="tlid-translation"/>
          <w:rFonts w:ascii="Times New Roman" w:hAnsi="Times New Roman" w:cs="Times New Roman"/>
          <w:lang w:val="ru-RU"/>
        </w:rPr>
        <w:t xml:space="preserve">ресурсов </w:t>
      </w:r>
      <w:r w:rsidRPr="007B2ACB">
        <w:rPr>
          <w:rStyle w:val="tlid-translation"/>
          <w:rFonts w:ascii="Times New Roman" w:hAnsi="Times New Roman" w:cs="Times New Roman"/>
          <w:lang w:val="ru-RU"/>
        </w:rPr>
        <w:t>явля</w:t>
      </w:r>
      <w:r w:rsidR="00182AF3" w:rsidRPr="007B2ACB">
        <w:rPr>
          <w:rStyle w:val="tlid-translation"/>
          <w:rFonts w:ascii="Times New Roman" w:hAnsi="Times New Roman" w:cs="Times New Roman"/>
          <w:lang w:val="ru-RU"/>
        </w:rPr>
        <w:t>ю</w:t>
      </w:r>
      <w:r w:rsidRPr="007B2ACB">
        <w:rPr>
          <w:rStyle w:val="tlid-translation"/>
          <w:rFonts w:ascii="Times New Roman" w:hAnsi="Times New Roman" w:cs="Times New Roman"/>
          <w:lang w:val="ru-RU"/>
        </w:rPr>
        <w:t>тся стимулом со-финансирования, доступным только тогда, когда Казахстан принимает и реализует дополнительные внутренние обязательства, нацеленные в соответствии с требованиями политики</w:t>
      </w:r>
      <w:r w:rsidR="00866679" w:rsidRPr="007B2ACB">
        <w:rPr>
          <w:rStyle w:val="FootnoteReference"/>
          <w:rFonts w:ascii="Times New Roman" w:hAnsi="Times New Roman" w:cs="Times New Roman"/>
          <w:color w:val="000000"/>
        </w:rPr>
        <w:footnoteReference w:id="8"/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«Устойчивое развитие, переходный период и со-финансирование» (STC). Дополнительная информация </w:t>
      </w:r>
      <w:r w:rsidR="00004750" w:rsidRPr="007B2ACB">
        <w:rPr>
          <w:rStyle w:val="tlid-translation"/>
          <w:rFonts w:ascii="Times New Roman" w:hAnsi="Times New Roman" w:cs="Times New Roman"/>
          <w:lang w:val="ru-RU"/>
        </w:rPr>
        <w:t xml:space="preserve">о </w:t>
      </w:r>
      <w:r w:rsidR="00564663" w:rsidRPr="007B2ACB">
        <w:rPr>
          <w:rStyle w:val="tlid-translation"/>
          <w:rFonts w:ascii="Times New Roman" w:hAnsi="Times New Roman" w:cs="Times New Roman"/>
          <w:lang w:val="ru-RU"/>
        </w:rPr>
        <w:t>т</w:t>
      </w:r>
      <w:r w:rsidR="00004750" w:rsidRPr="007B2ACB">
        <w:rPr>
          <w:rStyle w:val="tlid-translation"/>
          <w:rFonts w:ascii="Times New Roman" w:hAnsi="Times New Roman" w:cs="Times New Roman"/>
          <w:lang w:val="ru-RU"/>
        </w:rPr>
        <w:t xml:space="preserve">ребованиях к </w:t>
      </w:r>
      <w:r w:rsidRPr="007B2ACB">
        <w:rPr>
          <w:rStyle w:val="tlid-translation"/>
          <w:rFonts w:ascii="Times New Roman" w:hAnsi="Times New Roman" w:cs="Times New Roman"/>
          <w:lang w:val="ru-RU"/>
        </w:rPr>
        <w:t>со-финансировани</w:t>
      </w:r>
      <w:r w:rsidR="00004750" w:rsidRPr="007B2ACB">
        <w:rPr>
          <w:rStyle w:val="tlid-translation"/>
          <w:rFonts w:ascii="Times New Roman" w:hAnsi="Times New Roman" w:cs="Times New Roman"/>
          <w:lang w:val="ru-RU"/>
        </w:rPr>
        <w:t>ю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</w:t>
      </w:r>
      <w:r w:rsidR="00004750" w:rsidRPr="007B2ACB">
        <w:rPr>
          <w:rStyle w:val="tlid-translation"/>
          <w:rFonts w:ascii="Times New Roman" w:hAnsi="Times New Roman" w:cs="Times New Roman"/>
          <w:lang w:val="ru-RU"/>
        </w:rPr>
        <w:t>и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стимулы для со</w:t>
      </w:r>
      <w:r w:rsidR="00564663" w:rsidRPr="007B2ACB">
        <w:rPr>
          <w:rStyle w:val="tlid-translation"/>
          <w:rFonts w:ascii="Times New Roman" w:hAnsi="Times New Roman" w:cs="Times New Roman"/>
          <w:lang w:val="ru-RU"/>
        </w:rPr>
        <w:t>-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финансирования включены в Приложение А.</w:t>
      </w:r>
      <w:r w:rsidR="00EF4E99" w:rsidRPr="007B2ACB">
        <w:rPr>
          <w:rStyle w:val="tlid-translation"/>
          <w:rFonts w:ascii="Times New Roman" w:hAnsi="Times New Roman" w:cs="Times New Roman"/>
          <w:lang w:val="ru-RU"/>
        </w:rPr>
        <w:t xml:space="preserve"> </w:t>
      </w:r>
    </w:p>
    <w:p w14:paraId="15551B85" w14:textId="77777777" w:rsidR="00D51834" w:rsidRPr="007B2ACB" w:rsidRDefault="00D51834" w:rsidP="00814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A026CB0" w14:textId="77777777" w:rsidR="00D80F2C" w:rsidRPr="007B2ACB" w:rsidRDefault="009F76AD" w:rsidP="000B469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lang w:val="ru-RU"/>
        </w:rPr>
      </w:pPr>
      <w:r w:rsidRPr="007B2ACB">
        <w:rPr>
          <w:rStyle w:val="tlid-translation"/>
          <w:rFonts w:ascii="Times New Roman" w:hAnsi="Times New Roman" w:cs="Times New Roman"/>
          <w:b/>
          <w:lang w:val="ru-RU"/>
        </w:rPr>
        <w:t xml:space="preserve">Возможности для финансирования сверх выделенной суммы. </w:t>
      </w:r>
    </w:p>
    <w:p w14:paraId="44A949CD" w14:textId="1B0754F9" w:rsidR="009F76AD" w:rsidRPr="007B2ACB" w:rsidRDefault="009F76AD" w:rsidP="00A35F09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b/>
          <w:lang w:val="ru-RU"/>
        </w:rPr>
        <w:t>Нео</w:t>
      </w:r>
      <w:r w:rsidR="00326170" w:rsidRPr="007B2ACB">
        <w:rPr>
          <w:rStyle w:val="tlid-translation"/>
          <w:rFonts w:ascii="Times New Roman" w:hAnsi="Times New Roman" w:cs="Times New Roman"/>
          <w:b/>
          <w:lang w:val="ru-RU"/>
        </w:rPr>
        <w:t xml:space="preserve">плаченный </w:t>
      </w:r>
      <w:r w:rsidRPr="007B2ACB">
        <w:rPr>
          <w:rStyle w:val="tlid-translation"/>
          <w:rFonts w:ascii="Times New Roman" w:hAnsi="Times New Roman" w:cs="Times New Roman"/>
          <w:b/>
          <w:lang w:val="ru-RU"/>
        </w:rPr>
        <w:t>спрос на качество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. Глобальный фонд требует, чтобы все </w:t>
      </w:r>
      <w:r w:rsidR="00D972B4" w:rsidRPr="007B2ACB">
        <w:rPr>
          <w:rStyle w:val="tlid-translation"/>
          <w:rFonts w:ascii="Times New Roman" w:hAnsi="Times New Roman" w:cs="Times New Roman"/>
          <w:lang w:val="ru-RU"/>
        </w:rPr>
        <w:t>кандидаты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разработали запрос на приоритетное выделение средств (PAAR) и подали его вместе с запросом на выделение средств. Вмешательства от PAAR, которые </w:t>
      </w:r>
      <w:r w:rsidR="00210B1E" w:rsidRPr="007B2ACB">
        <w:rPr>
          <w:rStyle w:val="tlid-translation"/>
          <w:rFonts w:ascii="Times New Roman" w:hAnsi="Times New Roman" w:cs="Times New Roman"/>
          <w:lang w:val="ru-RU"/>
        </w:rPr>
        <w:t>ГТО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рассматривает </w:t>
      </w:r>
      <w:r w:rsidR="00210B1E" w:rsidRPr="007B2ACB">
        <w:rPr>
          <w:rStyle w:val="tlid-translation"/>
          <w:rFonts w:ascii="Times New Roman" w:hAnsi="Times New Roman" w:cs="Times New Roman"/>
          <w:lang w:val="ru-RU"/>
        </w:rPr>
        <w:t>как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спрос на качество, будут внесены в Реестр неоплаченного спроса на качество (UQD). В период распределения 2017–2019 гг. Было профинансировано более 1,2 млрд. </w:t>
      </w:r>
      <w:r w:rsidR="00495996" w:rsidRPr="007B2ACB">
        <w:rPr>
          <w:rStyle w:val="tlid-translation"/>
          <w:rFonts w:ascii="Times New Roman" w:hAnsi="Times New Roman" w:cs="Times New Roman"/>
          <w:lang w:val="ru-RU"/>
        </w:rPr>
        <w:t>долларов</w:t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 США необеспеченного спроса на качество за счет сбережений и эффективности, выявленных при предоставлении и/или реализации грантов, оптимизации портфеля, инвестиций в частный сектор и обменов долгами в сфере здравоохранения. Предоставление надежного PAAR является важным шагом для получения доступа к средствам, превышающим выделенную сумму.</w:t>
      </w:r>
    </w:p>
    <w:p w14:paraId="01E73834" w14:textId="77777777" w:rsidR="004A0F32" w:rsidRPr="007B2ACB" w:rsidRDefault="004A0F32" w:rsidP="00A35F09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lang w:val="ru-RU"/>
        </w:rPr>
      </w:pPr>
    </w:p>
    <w:p w14:paraId="59E40940" w14:textId="77777777" w:rsidR="00E30BBE" w:rsidRPr="007B2ACB" w:rsidRDefault="004A0F32" w:rsidP="000B469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Style w:val="tlid-translation"/>
          <w:rFonts w:ascii="Times New Roman" w:hAnsi="Times New Roman" w:cs="Times New Roman"/>
          <w:lang w:val="ru-RU"/>
        </w:rPr>
        <w:t>Я благодарю вас за ваши усилия в глобальной борьбе с ВИЧ и туберкулезом.</w:t>
      </w:r>
    </w:p>
    <w:p w14:paraId="6BD2D378" w14:textId="12078786" w:rsidR="007C727B" w:rsidRDefault="004A0F32" w:rsidP="000B469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Fonts w:ascii="Times New Roman" w:hAnsi="Times New Roman" w:cs="Times New Roman"/>
          <w:lang w:val="ru-RU"/>
        </w:rPr>
        <w:br/>
      </w:r>
      <w:r w:rsidRPr="007B2ACB">
        <w:rPr>
          <w:rStyle w:val="tlid-translation"/>
          <w:rFonts w:ascii="Times New Roman" w:hAnsi="Times New Roman" w:cs="Times New Roman"/>
          <w:lang w:val="ru-RU"/>
        </w:rPr>
        <w:t>С уважением,</w:t>
      </w:r>
    </w:p>
    <w:p w14:paraId="45E6ECEE" w14:textId="471C4AB7" w:rsidR="007C727B" w:rsidRDefault="007C727B" w:rsidP="000B469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</w:p>
    <w:p w14:paraId="236B29AC" w14:textId="77777777" w:rsidR="007C727B" w:rsidRDefault="007C727B" w:rsidP="000B469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</w:p>
    <w:p w14:paraId="3ADA2CC1" w14:textId="7969D30F" w:rsidR="00D80F2C" w:rsidRDefault="004A0F32" w:rsidP="000B469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  <w:r w:rsidRPr="007B2ACB">
        <w:rPr>
          <w:rFonts w:ascii="Times New Roman" w:hAnsi="Times New Roman" w:cs="Times New Roman"/>
          <w:lang w:val="ru-RU"/>
        </w:rPr>
        <w:br/>
      </w:r>
      <w:r w:rsidRPr="007B2ACB">
        <w:rPr>
          <w:rStyle w:val="tlid-translation"/>
          <w:rFonts w:ascii="Times New Roman" w:hAnsi="Times New Roman" w:cs="Times New Roman"/>
          <w:lang w:val="ru-RU"/>
        </w:rPr>
        <w:t xml:space="preserve">Марк </w:t>
      </w:r>
      <w:proofErr w:type="spellStart"/>
      <w:r w:rsidRPr="007B2ACB">
        <w:rPr>
          <w:rStyle w:val="tlid-translation"/>
          <w:rFonts w:ascii="Times New Roman" w:hAnsi="Times New Roman" w:cs="Times New Roman"/>
          <w:lang w:val="ru-RU"/>
        </w:rPr>
        <w:t>Элдон-Эдингтон</w:t>
      </w:r>
      <w:proofErr w:type="spellEnd"/>
    </w:p>
    <w:p w14:paraId="67245F53" w14:textId="77777777" w:rsidR="007C727B" w:rsidRDefault="007C727B" w:rsidP="000B469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  <w:r w:rsidRPr="007C727B">
        <w:rPr>
          <w:rStyle w:val="tlid-translation"/>
          <w:rFonts w:ascii="Times New Roman" w:hAnsi="Times New Roman" w:cs="Times New Roman"/>
          <w:lang w:val="ru-RU"/>
        </w:rPr>
        <w:t xml:space="preserve">Руководитель  </w:t>
      </w:r>
    </w:p>
    <w:p w14:paraId="5604D1CD" w14:textId="63AB5E8B" w:rsidR="003A57FA" w:rsidRDefault="007C727B" w:rsidP="000B469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  <w:r w:rsidRPr="007C727B">
        <w:rPr>
          <w:rStyle w:val="tlid-translation"/>
          <w:rFonts w:ascii="Times New Roman" w:hAnsi="Times New Roman" w:cs="Times New Roman"/>
          <w:lang w:val="ru-RU"/>
        </w:rPr>
        <w:t>Подразделение по управлению грантами</w:t>
      </w:r>
    </w:p>
    <w:p w14:paraId="4056E93E" w14:textId="613EB4D5" w:rsidR="006A7D1F" w:rsidRDefault="006A7D1F" w:rsidP="000B469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</w:p>
    <w:p w14:paraId="3DAC29E5" w14:textId="10CFF9DB" w:rsidR="006A7D1F" w:rsidRDefault="006A7D1F" w:rsidP="000B469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</w:p>
    <w:p w14:paraId="15B0FADD" w14:textId="41949B85" w:rsidR="006A7D1F" w:rsidRDefault="006A7D1F" w:rsidP="000B469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</w:p>
    <w:p w14:paraId="7D1F0FBC" w14:textId="2BAB9802" w:rsidR="006A7D1F" w:rsidRDefault="006A7D1F" w:rsidP="000B4697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</w:p>
    <w:p w14:paraId="5B76855B" w14:textId="77777777" w:rsidR="006A7D1F" w:rsidRPr="00B66547" w:rsidRDefault="006A7D1F" w:rsidP="006A7D1F">
      <w:pPr>
        <w:pStyle w:val="Heading1"/>
        <w:spacing w:before="77"/>
        <w:ind w:left="0"/>
        <w:rPr>
          <w:rFonts w:ascii="Times New Roman" w:hAnsi="Times New Roman" w:cs="Times New Roman"/>
          <w:lang w:val="ru-RU"/>
        </w:rPr>
      </w:pPr>
      <w:r w:rsidRPr="00B66547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 w:rsidRPr="00B66547">
        <w:rPr>
          <w:rFonts w:ascii="Times New Roman" w:hAnsi="Times New Roman" w:cs="Times New Roman"/>
        </w:rPr>
        <w:t>A</w:t>
      </w:r>
      <w:r w:rsidRPr="00B66547">
        <w:rPr>
          <w:rFonts w:ascii="Times New Roman" w:hAnsi="Times New Roman" w:cs="Times New Roman"/>
          <w:lang w:val="ru-RU"/>
        </w:rPr>
        <w:t>: Дополнительная информация для Казахстана</w:t>
      </w:r>
    </w:p>
    <w:p w14:paraId="72160CF1" w14:textId="5D741CB7" w:rsidR="006A7D1F" w:rsidRPr="00B66547" w:rsidRDefault="006A7D1F" w:rsidP="006A7D1F">
      <w:pPr>
        <w:pStyle w:val="BodyText"/>
        <w:spacing w:line="276" w:lineRule="auto"/>
        <w:ind w:right="-5"/>
        <w:jc w:val="both"/>
        <w:rPr>
          <w:rFonts w:ascii="Times New Roman" w:hAnsi="Times New Roman" w:cs="Times New Roman"/>
          <w:bCs/>
          <w:lang w:val="ru-RU"/>
        </w:rPr>
      </w:pPr>
      <w:r w:rsidRPr="00B66547">
        <w:rPr>
          <w:rFonts w:ascii="Times New Roman" w:hAnsi="Times New Roman" w:cs="Times New Roman"/>
          <w:b/>
          <w:lang w:val="ru-RU"/>
        </w:rPr>
        <w:t xml:space="preserve">Валюта. </w:t>
      </w:r>
      <w:r w:rsidRPr="00B66547">
        <w:rPr>
          <w:rFonts w:ascii="Times New Roman" w:hAnsi="Times New Roman" w:cs="Times New Roman"/>
          <w:bCs/>
          <w:lang w:val="ru-RU"/>
        </w:rPr>
        <w:t>Выделение ресурсов для Казахстана осуществляется в долларах США. Если вы желаете изменить валюту, чтобы более четко соответствовать финансовой и валютной ситуаци</w:t>
      </w:r>
      <w:r w:rsidR="00C35E25" w:rsidRPr="00B66547">
        <w:rPr>
          <w:rFonts w:ascii="Times New Roman" w:hAnsi="Times New Roman" w:cs="Times New Roman"/>
          <w:bCs/>
          <w:lang w:val="ru-RU"/>
        </w:rPr>
        <w:t>и</w:t>
      </w:r>
      <w:r w:rsidRPr="00B66547">
        <w:rPr>
          <w:rFonts w:ascii="Times New Roman" w:hAnsi="Times New Roman" w:cs="Times New Roman"/>
          <w:bCs/>
          <w:lang w:val="ru-RU"/>
        </w:rPr>
        <w:t xml:space="preserve"> вашей страны, то необходимо сообщить об этом вашему Портфолио менеджеру Фонда в срок до 15 февраля 2020 года. Распределение средств Глобального фонда может выражаться только в долларах США или евро.</w:t>
      </w:r>
    </w:p>
    <w:p w14:paraId="52FB6F90" w14:textId="77777777" w:rsidR="006A7D1F" w:rsidRPr="00B66547" w:rsidRDefault="006A7D1F" w:rsidP="006A7D1F">
      <w:pPr>
        <w:pStyle w:val="BodyText"/>
        <w:spacing w:line="276" w:lineRule="auto"/>
        <w:ind w:left="680" w:right="614"/>
        <w:jc w:val="both"/>
        <w:rPr>
          <w:rFonts w:ascii="Times New Roman" w:hAnsi="Times New Roman" w:cs="Times New Roman"/>
          <w:b/>
          <w:lang w:val="ru-RU"/>
        </w:rPr>
      </w:pPr>
    </w:p>
    <w:p w14:paraId="12F3C474" w14:textId="77777777" w:rsidR="006A7D1F" w:rsidRPr="00B66547" w:rsidRDefault="006A7D1F" w:rsidP="006A7D1F">
      <w:pPr>
        <w:pStyle w:val="BodyText"/>
        <w:spacing w:line="276" w:lineRule="auto"/>
        <w:ind w:right="-5"/>
        <w:jc w:val="both"/>
        <w:rPr>
          <w:rFonts w:ascii="Times New Roman" w:hAnsi="Times New Roman" w:cs="Times New Roman"/>
          <w:bCs/>
          <w:lang w:val="ru-RU"/>
        </w:rPr>
      </w:pPr>
      <w:r w:rsidRPr="00B66547">
        <w:rPr>
          <w:rFonts w:ascii="Times New Roman" w:hAnsi="Times New Roman" w:cs="Times New Roman"/>
          <w:b/>
          <w:lang w:val="ru-RU"/>
        </w:rPr>
        <w:t xml:space="preserve">Эффективное использование денежных средств в сфере закупок. </w:t>
      </w:r>
      <w:r w:rsidRPr="00B66547">
        <w:rPr>
          <w:rFonts w:ascii="Times New Roman" w:hAnsi="Times New Roman" w:cs="Times New Roman"/>
          <w:bCs/>
          <w:lang w:val="ru-RU"/>
        </w:rPr>
        <w:t>В целях обеспечения максимальной отдачи от выделенных средств, Глобальный фонд не будет финансировать товары, приобретённые по цене, превышающей базовую цену для таких товаров, где таковые существуют. Просим обращаться на веб-сайт Глобального фонда для получения ссылки на сводный прейскурант базовых цен.</w:t>
      </w:r>
      <w:r w:rsidRPr="00B66547">
        <w:rPr>
          <w:rFonts w:ascii="Times New Roman" w:hAnsi="Times New Roman" w:cs="Times New Roman"/>
          <w:position w:val="8"/>
          <w:sz w:val="14"/>
          <w:lang w:val="ru-RU"/>
        </w:rPr>
        <w:t xml:space="preserve">9  </w:t>
      </w:r>
      <w:r w:rsidRPr="00B66547">
        <w:rPr>
          <w:rFonts w:ascii="Times New Roman" w:hAnsi="Times New Roman" w:cs="Times New Roman"/>
          <w:bCs/>
          <w:lang w:val="ru-RU"/>
        </w:rPr>
        <w:t xml:space="preserve">Базовая цена устанавливается на основе согласованной на глобальном уровне цены на конкретные товары как медицинского, так и немедицинского назначения, посредством Механизма объединения закупок (например, через </w:t>
      </w:r>
      <w:proofErr w:type="spellStart"/>
      <w:r w:rsidRPr="00B66547">
        <w:rPr>
          <w:rFonts w:ascii="Times New Roman" w:hAnsi="Times New Roman" w:cs="Times New Roman"/>
          <w:bCs/>
        </w:rPr>
        <w:t>wambo</w:t>
      </w:r>
      <w:proofErr w:type="spellEnd"/>
      <w:r w:rsidRPr="00B66547">
        <w:rPr>
          <w:rFonts w:ascii="Times New Roman" w:hAnsi="Times New Roman" w:cs="Times New Roman"/>
          <w:bCs/>
          <w:lang w:val="ru-RU"/>
        </w:rPr>
        <w:t>.</w:t>
      </w:r>
      <w:r w:rsidRPr="00B66547">
        <w:rPr>
          <w:rFonts w:ascii="Times New Roman" w:hAnsi="Times New Roman" w:cs="Times New Roman"/>
          <w:bCs/>
        </w:rPr>
        <w:t>org</w:t>
      </w:r>
      <w:r w:rsidRPr="00B66547">
        <w:rPr>
          <w:rFonts w:ascii="Times New Roman" w:hAnsi="Times New Roman" w:cs="Times New Roman"/>
          <w:bCs/>
          <w:lang w:val="ru-RU"/>
        </w:rPr>
        <w:t>), либо через партнерские платформы, такие как Глобальный механизм по обеспечению лекарственными средствами Партнерства «Остановить ТБ». В случае, если результаты процесса закупа товаров, соответствующих необходимым клиническим стандартам и стандартам качества, приводят к выбору поставщика товаров с ценой, превышающей соответствующую базовую цену - с учетом совокупной стоимости владения – то необходимо использовать национальные или другие ресурсы для покрытия образовавшейся разницы. Для получения более подробной информации обратитесь к Руководству по вопросам бюджетирования</w:t>
      </w:r>
      <w:r w:rsidRPr="00B66547">
        <w:rPr>
          <w:rFonts w:ascii="Times New Roman" w:hAnsi="Times New Roman" w:cs="Times New Roman"/>
          <w:position w:val="8"/>
          <w:sz w:val="14"/>
          <w:lang w:val="ru-RU"/>
        </w:rPr>
        <w:t>10</w:t>
      </w:r>
      <w:r w:rsidRPr="00B66547">
        <w:rPr>
          <w:rFonts w:ascii="Times New Roman" w:hAnsi="Times New Roman" w:cs="Times New Roman"/>
          <w:bCs/>
          <w:lang w:val="ru-RU"/>
        </w:rPr>
        <w:t>.</w:t>
      </w:r>
    </w:p>
    <w:p w14:paraId="2CC44127" w14:textId="7E623DB8" w:rsidR="006A7D1F" w:rsidRPr="00B66547" w:rsidRDefault="006A7D1F" w:rsidP="006A7D1F">
      <w:pPr>
        <w:pStyle w:val="BodyText"/>
        <w:spacing w:before="6"/>
        <w:rPr>
          <w:rFonts w:ascii="Times New Roman" w:hAnsi="Times New Roman" w:cs="Times New Roman"/>
          <w:sz w:val="14"/>
          <w:lang w:val="ru-RU"/>
        </w:rPr>
      </w:pPr>
      <w:r w:rsidRPr="00B665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1A6EDD" wp14:editId="6A39EB68">
                <wp:simplePos x="0" y="0"/>
                <wp:positionH relativeFrom="page">
                  <wp:posOffset>1026160</wp:posOffset>
                </wp:positionH>
                <wp:positionV relativeFrom="paragraph">
                  <wp:posOffset>116840</wp:posOffset>
                </wp:positionV>
                <wp:extent cx="5876290" cy="216535"/>
                <wp:effectExtent l="5080" t="8890" r="5080" b="1270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2165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9C2702" w14:textId="77777777" w:rsidR="006A7D1F" w:rsidRPr="00B66547" w:rsidRDefault="006A7D1F" w:rsidP="006A7D1F">
                            <w:pPr>
                              <w:spacing w:before="17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66547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Укрепление</w:t>
                            </w:r>
                            <w:r w:rsidRPr="00B66547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B66547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устойчивости</w:t>
                            </w:r>
                            <w:r w:rsidRPr="00B66547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B66547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и</w:t>
                            </w:r>
                            <w:r w:rsidRPr="00B66547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B66547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воздействия</w:t>
                            </w:r>
                            <w:r w:rsidRPr="00B66547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B66547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инвестиций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A6ED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0.8pt;margin-top:9.2pt;width:462.7pt;height:1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" filled="f" strokeweight=".16936mm">
                <v:textbox inset="0,0,0,0">
                  <w:txbxContent>
                    <w:p w14:paraId="589C2702" w14:textId="77777777" w:rsidR="006A7D1F" w:rsidRPr="00B66547" w:rsidRDefault="006A7D1F" w:rsidP="006A7D1F">
                      <w:pPr>
                        <w:spacing w:before="17"/>
                        <w:ind w:left="107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66547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Укрепление</w:t>
                      </w:r>
                      <w:r w:rsidRPr="00B66547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B66547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устойчивости</w:t>
                      </w:r>
                      <w:r w:rsidRPr="00B66547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B66547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и</w:t>
                      </w:r>
                      <w:r w:rsidRPr="00B66547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B66547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воздействия</w:t>
                      </w:r>
                      <w:r w:rsidRPr="00B66547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B66547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инвестиций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432B0" w14:textId="77777777" w:rsidR="006A7D1F" w:rsidRPr="00B66547" w:rsidRDefault="006A7D1F" w:rsidP="006A7D1F">
      <w:pPr>
        <w:pStyle w:val="BodyText"/>
        <w:spacing w:before="94" w:line="276" w:lineRule="auto"/>
        <w:ind w:right="-5"/>
        <w:jc w:val="both"/>
        <w:rPr>
          <w:rFonts w:ascii="Times New Roman" w:hAnsi="Times New Roman" w:cs="Times New Roman"/>
          <w:lang w:val="ru-RU"/>
        </w:rPr>
      </w:pPr>
      <w:r w:rsidRPr="00B66547">
        <w:rPr>
          <w:rFonts w:ascii="Times New Roman" w:hAnsi="Times New Roman" w:cs="Times New Roman"/>
          <w:lang w:val="ru-RU"/>
        </w:rPr>
        <w:t xml:space="preserve">Для усиления общего воздействия и устойчивости инвестиций Глобального фонда, существует два разных требования со стороны Глобального фонда. В разделе «Требования к целевым областям применения» указано, каким образом странам следует инвестировать финансирование Глобального фонда, а в разделе «Требования к со-финансированию» определено, каким образом странам необходимо инвестировать внутренние обязательства, принятые в контексте грантов Глобального фонда. Данные требования различаются в зависимости от классификации стран по уровню дохода. </w:t>
      </w:r>
    </w:p>
    <w:p w14:paraId="3010B4C7" w14:textId="77777777" w:rsidR="006A7D1F" w:rsidRPr="00B66547" w:rsidRDefault="006A7D1F" w:rsidP="006A7D1F">
      <w:pPr>
        <w:pStyle w:val="Heading1"/>
        <w:ind w:left="0"/>
        <w:rPr>
          <w:rFonts w:ascii="Times New Roman" w:hAnsi="Times New Roman" w:cs="Times New Roman"/>
          <w:lang w:val="ru-RU"/>
        </w:rPr>
      </w:pPr>
      <w:r w:rsidRPr="00B66547">
        <w:rPr>
          <w:rFonts w:ascii="Times New Roman" w:hAnsi="Times New Roman" w:cs="Times New Roman"/>
          <w:lang w:val="ru-RU"/>
        </w:rPr>
        <w:t>Требования к целевым областям применения: 100%</w:t>
      </w:r>
    </w:p>
    <w:p w14:paraId="0BF3F7DC" w14:textId="77777777" w:rsidR="006A7D1F" w:rsidRPr="00B66547" w:rsidRDefault="006A7D1F" w:rsidP="006A7D1F">
      <w:pPr>
        <w:pStyle w:val="BodyText"/>
        <w:spacing w:before="40" w:line="276" w:lineRule="auto"/>
        <w:ind w:right="-5"/>
        <w:jc w:val="both"/>
        <w:rPr>
          <w:rFonts w:ascii="Times New Roman" w:hAnsi="Times New Roman" w:cs="Times New Roman"/>
          <w:lang w:val="ru-RU"/>
        </w:rPr>
      </w:pPr>
      <w:r w:rsidRPr="00B66547">
        <w:rPr>
          <w:rFonts w:ascii="Times New Roman" w:hAnsi="Times New Roman" w:cs="Times New Roman"/>
          <w:lang w:val="ru-RU"/>
        </w:rPr>
        <w:t>Поскольку Казахстан классифицируется как страна с уровнем дохода выше среднего, 100% выделенного финансирования должно быть направлено на поддерживающие или расширяющие масштабы деятельности научно-обоснованные мероприятия для ключевых и уязвимых групп населения. Заявки должны включать, при необходимости, мероприятия, направленные на устранение барьеров в области прав человека и вопросов гендерного равенства и уязвимости в доступе к услугам. Заявки могут также содержать введение новых технологий, представляющих лучшую мировую практику и имеющих решающее значение для поддержания достижения и продвижения к контролю и/или ликвидации; также мероприятия, способствующие готовности к переходу, которые должны включать ключевые потребности ЖУССЗ для обеспечения устойчивости должным образом и улучшения полноценного охвата и использования услуг.</w:t>
      </w:r>
    </w:p>
    <w:p w14:paraId="05D16DAB" w14:textId="77777777" w:rsidR="00832E9F" w:rsidRPr="00B66547" w:rsidRDefault="00832E9F" w:rsidP="006A7D1F">
      <w:pPr>
        <w:pStyle w:val="Heading1"/>
        <w:spacing w:before="1"/>
        <w:rPr>
          <w:rFonts w:ascii="Times New Roman" w:hAnsi="Times New Roman" w:cs="Times New Roman"/>
          <w:lang w:val="ru-RU"/>
        </w:rPr>
      </w:pPr>
    </w:p>
    <w:p w14:paraId="75FC9A91" w14:textId="77777777" w:rsidR="006A7D1F" w:rsidRPr="00B66547" w:rsidRDefault="006A7D1F" w:rsidP="006A7D1F">
      <w:pPr>
        <w:pStyle w:val="Heading1"/>
        <w:spacing w:before="1"/>
        <w:ind w:left="0"/>
        <w:rPr>
          <w:rFonts w:ascii="Times New Roman" w:hAnsi="Times New Roman" w:cs="Times New Roman"/>
          <w:lang w:val="ru-RU"/>
        </w:rPr>
      </w:pPr>
      <w:r w:rsidRPr="00B66547">
        <w:rPr>
          <w:rFonts w:ascii="Times New Roman" w:hAnsi="Times New Roman" w:cs="Times New Roman"/>
          <w:lang w:val="ru-RU"/>
        </w:rPr>
        <w:t>Требования по стимулированию совместного финансирования на период выделения ресурсов 2020-2022 гг.:</w:t>
      </w:r>
    </w:p>
    <w:p w14:paraId="76C294E6" w14:textId="77777777" w:rsidR="006A7D1F" w:rsidRPr="00B66547" w:rsidRDefault="006A7D1F" w:rsidP="006A7D1F">
      <w:pPr>
        <w:pStyle w:val="Heading1"/>
        <w:spacing w:before="1"/>
        <w:ind w:left="0"/>
        <w:rPr>
          <w:rFonts w:ascii="Times New Roman" w:hAnsi="Times New Roman" w:cs="Times New Roman"/>
          <w:b w:val="0"/>
          <w:bCs w:val="0"/>
          <w:lang w:val="ru-RU"/>
        </w:rPr>
      </w:pPr>
      <w:r w:rsidRPr="00B66547">
        <w:rPr>
          <w:rFonts w:ascii="Times New Roman" w:hAnsi="Times New Roman" w:cs="Times New Roman"/>
          <w:b w:val="0"/>
          <w:bCs w:val="0"/>
          <w:lang w:val="ru-RU"/>
        </w:rPr>
        <w:t>Общая сумма выделенных средств на 2020–2022 годы подлежит осуществлению дополнительных совместных инвестиций в программы борьбы с заболеваниями и/или ЖУССЗ, как указано ниже (15% от выделенных средств на 2020–2022 годы): 2,285,775 долл. США.</w:t>
      </w:r>
    </w:p>
    <w:p w14:paraId="572DE977" w14:textId="77777777" w:rsidR="006A7D1F" w:rsidRPr="00B66547" w:rsidRDefault="006A7D1F" w:rsidP="006A7D1F">
      <w:pPr>
        <w:pStyle w:val="Heading1"/>
        <w:spacing w:before="1"/>
        <w:ind w:left="0"/>
        <w:rPr>
          <w:rFonts w:ascii="Times New Roman" w:hAnsi="Times New Roman" w:cs="Times New Roman"/>
          <w:b w:val="0"/>
          <w:bCs w:val="0"/>
          <w:lang w:val="ru-RU"/>
        </w:rPr>
      </w:pPr>
      <w:bookmarkStart w:id="0" w:name="_GoBack"/>
      <w:bookmarkEnd w:id="0"/>
      <w:r w:rsidRPr="00B66547">
        <w:rPr>
          <w:rFonts w:ascii="Times New Roman" w:hAnsi="Times New Roman" w:cs="Times New Roman"/>
          <w:b w:val="0"/>
          <w:bCs w:val="0"/>
          <w:lang w:val="ru-RU"/>
        </w:rPr>
        <w:t>Минимальная сумма дополнительных инвестиций со-финансирования для Казахстана, чтобы получить доступ к полному со-финансированию, составляет 2,285,775 долларов США. Минимальная сумма дополнительных внутренних обязательств должна быть произведена в дополнение к внутренним инвестициям, осуществленным в период реализации предыдущего цикла распределения выделенных средств</w:t>
      </w:r>
      <w:r w:rsidRPr="00B66547">
        <w:rPr>
          <w:rFonts w:ascii="Times New Roman" w:hAnsi="Times New Roman" w:cs="Times New Roman"/>
          <w:position w:val="8"/>
          <w:sz w:val="14"/>
          <w:lang w:val="ru-RU"/>
        </w:rPr>
        <w:t>11</w:t>
      </w:r>
      <w:r w:rsidRPr="00B66547">
        <w:rPr>
          <w:rFonts w:ascii="Times New Roman" w:hAnsi="Times New Roman" w:cs="Times New Roman"/>
          <w:b w:val="0"/>
          <w:bCs w:val="0"/>
          <w:lang w:val="ru-RU"/>
        </w:rPr>
        <w:t>.</w:t>
      </w:r>
    </w:p>
    <w:p w14:paraId="17626CE0" w14:textId="77777777" w:rsidR="006A7D1F" w:rsidRPr="00B66547" w:rsidRDefault="006A7D1F" w:rsidP="006A7D1F">
      <w:pPr>
        <w:pStyle w:val="Heading1"/>
        <w:spacing w:before="1"/>
        <w:ind w:left="0"/>
        <w:rPr>
          <w:rFonts w:ascii="Times New Roman" w:hAnsi="Times New Roman" w:cs="Times New Roman"/>
          <w:b w:val="0"/>
          <w:bCs w:val="0"/>
          <w:lang w:val="ru-RU"/>
        </w:rPr>
      </w:pPr>
    </w:p>
    <w:p w14:paraId="7292C2D0" w14:textId="01B0B14C" w:rsidR="006A7D1F" w:rsidRPr="00B66547" w:rsidRDefault="006A7D1F" w:rsidP="006A7D1F">
      <w:pPr>
        <w:pStyle w:val="BodyText"/>
        <w:spacing w:before="79" w:line="276" w:lineRule="auto"/>
        <w:ind w:right="85"/>
        <w:jc w:val="both"/>
        <w:rPr>
          <w:rFonts w:ascii="Times New Roman" w:hAnsi="Times New Roman" w:cs="Times New Roman"/>
          <w:lang w:val="ru-RU"/>
        </w:rPr>
      </w:pPr>
      <w:r w:rsidRPr="00B66547">
        <w:rPr>
          <w:rFonts w:ascii="Times New Roman" w:hAnsi="Times New Roman" w:cs="Times New Roman"/>
          <w:lang w:val="ru-RU"/>
        </w:rPr>
        <w:t>Поскольку Казахстан классифицируется как страна с уровнем дохода выше среднего, дополнительные вклады со</w:t>
      </w:r>
      <w:r w:rsidR="00C35E25" w:rsidRPr="00B66547">
        <w:rPr>
          <w:rFonts w:ascii="Times New Roman" w:hAnsi="Times New Roman" w:cs="Times New Roman"/>
          <w:lang w:val="ru-RU"/>
        </w:rPr>
        <w:t>-</w:t>
      </w:r>
      <w:r w:rsidRPr="00B66547">
        <w:rPr>
          <w:rFonts w:ascii="Times New Roman" w:hAnsi="Times New Roman" w:cs="Times New Roman"/>
          <w:lang w:val="ru-RU"/>
        </w:rPr>
        <w:t>финансирования должны инвестироваться в мероприятия программы борьбы с заболеваниями и/или мероприятия ЖУССЗ для решения проблем устойчивости и переходного периода. Минимум 50% должно быть инвестировано в мероприятия, направленные на ключевые и уязвимые группы населения.</w:t>
      </w:r>
    </w:p>
    <w:p w14:paraId="0348A312" w14:textId="77777777" w:rsidR="006A7D1F" w:rsidRPr="00B66547" w:rsidRDefault="006A7D1F" w:rsidP="006A7D1F">
      <w:pPr>
        <w:pStyle w:val="BodyText"/>
        <w:spacing w:before="79" w:line="276" w:lineRule="auto"/>
        <w:ind w:right="616"/>
        <w:jc w:val="both"/>
        <w:rPr>
          <w:rFonts w:ascii="Times New Roman" w:hAnsi="Times New Roman" w:cs="Times New Roman"/>
          <w:lang w:val="ru-RU"/>
        </w:rPr>
      </w:pPr>
    </w:p>
    <w:p w14:paraId="14A4A69C" w14:textId="77777777" w:rsidR="006A7D1F" w:rsidRPr="00B66547" w:rsidRDefault="006A7D1F" w:rsidP="006A7D1F">
      <w:pPr>
        <w:pStyle w:val="BodyText"/>
        <w:spacing w:before="1" w:line="276" w:lineRule="auto"/>
        <w:ind w:right="-5"/>
        <w:jc w:val="both"/>
        <w:rPr>
          <w:rFonts w:ascii="Times New Roman" w:hAnsi="Times New Roman" w:cs="Times New Roman"/>
          <w:lang w:val="ru-RU"/>
        </w:rPr>
      </w:pPr>
      <w:r w:rsidRPr="00B66547">
        <w:rPr>
          <w:rFonts w:ascii="Times New Roman" w:hAnsi="Times New Roman" w:cs="Times New Roman"/>
          <w:lang w:val="ru-RU"/>
        </w:rPr>
        <w:t>Обязательства, необходимые для получения доступа к мерам стимулирования со-финансирования, должны содержать конкретные виды деятельности, которые будут финансироваться, и то, каким образом выполнение обязательств будет верифицироваться и сообщаться в Глобальный фонд. Казахстан должен предоставить подтверждение обязательств по со-финансированию и подтверждение выполнения данных обязательств соответствующими государственными органами, включая Министерство финансов Республики Казахстан или другие соответствующие органы.</w:t>
      </w:r>
    </w:p>
    <w:p w14:paraId="0B986394" w14:textId="77777777" w:rsidR="006A7D1F" w:rsidRPr="00B66547" w:rsidRDefault="006A7D1F" w:rsidP="006A7D1F">
      <w:pPr>
        <w:pStyle w:val="BodyText"/>
        <w:spacing w:before="2"/>
        <w:rPr>
          <w:rFonts w:ascii="Times New Roman" w:hAnsi="Times New Roman" w:cs="Times New Roman"/>
          <w:sz w:val="25"/>
          <w:lang w:val="ru-RU"/>
        </w:rPr>
      </w:pPr>
    </w:p>
    <w:p w14:paraId="7030D205" w14:textId="77777777" w:rsidR="006A7D1F" w:rsidRPr="00B66547" w:rsidRDefault="006A7D1F" w:rsidP="006A7D1F">
      <w:pPr>
        <w:pStyle w:val="BodyText"/>
        <w:spacing w:line="276" w:lineRule="auto"/>
        <w:ind w:right="-5"/>
        <w:jc w:val="both"/>
        <w:rPr>
          <w:rFonts w:ascii="Times New Roman" w:hAnsi="Times New Roman" w:cs="Times New Roman"/>
          <w:lang w:val="ru-RU"/>
        </w:rPr>
      </w:pPr>
      <w:r w:rsidRPr="00B66547">
        <w:rPr>
          <w:rFonts w:ascii="Times New Roman" w:hAnsi="Times New Roman" w:cs="Times New Roman"/>
          <w:lang w:val="ru-RU"/>
        </w:rPr>
        <w:t>Глобальный фонд выражает признательность Правительству Республики Казахстан за обеспечение всеобщего равного доступа к профилактике и лечению заболеваний. Твердая политическая и финансовая приверженность к программам по борьбе с туберкулезом и ВИЧ проявляется в выделении существенных внутренних финансовых средств, улучшенной приоритезации мероприятий и оптимизации услуг. Глобальный фонд надеется на продолжение реформы по туберкулезу с акцентом на вовлечение первичной медико-санитарной помощи и амбулаторного обслуживания, а также на совершенствование механизмов предоставления услуг по профилактике ВИЧ-инфекции для ключевых групп населения, используя внутренние ресурсы.</w:t>
      </w:r>
    </w:p>
    <w:p w14:paraId="1BF5FEEF" w14:textId="77777777" w:rsidR="006A7D1F" w:rsidRPr="00B66547" w:rsidRDefault="006A7D1F" w:rsidP="006A7D1F">
      <w:pPr>
        <w:pStyle w:val="Heading1"/>
        <w:spacing w:before="1"/>
        <w:ind w:left="0"/>
        <w:rPr>
          <w:rFonts w:ascii="Times New Roman" w:hAnsi="Times New Roman" w:cs="Times New Roman"/>
          <w:b w:val="0"/>
          <w:bCs w:val="0"/>
          <w:lang w:val="ru-RU"/>
        </w:rPr>
      </w:pPr>
    </w:p>
    <w:p w14:paraId="4741C6B4" w14:textId="77777777" w:rsidR="006A7D1F" w:rsidRPr="00B66547" w:rsidRDefault="006A7D1F" w:rsidP="006A7D1F">
      <w:pPr>
        <w:pStyle w:val="Heading1"/>
        <w:spacing w:before="1"/>
        <w:ind w:left="0"/>
        <w:rPr>
          <w:rFonts w:ascii="Times New Roman" w:hAnsi="Times New Roman" w:cs="Times New Roman"/>
          <w:b w:val="0"/>
          <w:bCs w:val="0"/>
          <w:lang w:val="ru-RU"/>
        </w:rPr>
      </w:pPr>
    </w:p>
    <w:p w14:paraId="4170C3DA" w14:textId="77777777" w:rsidR="006A7D1F" w:rsidRPr="00B66547" w:rsidRDefault="006A7D1F" w:rsidP="006A7D1F">
      <w:pPr>
        <w:pStyle w:val="BodyText"/>
        <w:spacing w:before="39" w:line="276" w:lineRule="auto"/>
        <w:ind w:right="613"/>
        <w:jc w:val="both"/>
        <w:rPr>
          <w:rFonts w:ascii="Times New Roman" w:hAnsi="Times New Roman" w:cs="Times New Roman"/>
          <w:b/>
          <w:bCs/>
          <w:lang w:val="ru-RU"/>
        </w:rPr>
      </w:pPr>
      <w:r w:rsidRPr="00B66547">
        <w:rPr>
          <w:rFonts w:ascii="Times New Roman" w:hAnsi="Times New Roman" w:cs="Times New Roman"/>
          <w:b/>
          <w:bCs/>
          <w:lang w:val="ru-RU"/>
        </w:rPr>
        <w:t>Предыдущие обязательства по со-финансированию и внутреннему финансированию на 2017-2019 годы:</w:t>
      </w:r>
    </w:p>
    <w:p w14:paraId="1E166195" w14:textId="77777777" w:rsidR="006A7D1F" w:rsidRPr="00B66547" w:rsidRDefault="006A7D1F" w:rsidP="006A7D1F">
      <w:pPr>
        <w:pStyle w:val="BodyText"/>
        <w:spacing w:before="39" w:line="276" w:lineRule="auto"/>
        <w:ind w:right="613"/>
        <w:jc w:val="both"/>
        <w:rPr>
          <w:rFonts w:ascii="Times New Roman" w:hAnsi="Times New Roman" w:cs="Times New Roman"/>
          <w:lang w:val="ru-RU"/>
        </w:rPr>
      </w:pPr>
      <w:r w:rsidRPr="00B66547">
        <w:rPr>
          <w:rFonts w:ascii="Times New Roman" w:hAnsi="Times New Roman" w:cs="Times New Roman"/>
          <w:lang w:val="ru-RU"/>
        </w:rPr>
        <w:t>Невыполнение предыдущих обязательств по со-финансированию в период выделения средств на 2017–2019 годы может привести к тому, что Глобальный фонд сократит средства из существующих грантов и/или сократит выделение средств на 2020–2022 годы. Казахстану необходимо представить доказательства выполнения предыдущих обязательств при подаче заявки на финансирование.</w:t>
      </w:r>
    </w:p>
    <w:p w14:paraId="5BAA4D5F" w14:textId="20E1B86E" w:rsidR="006A7D1F" w:rsidRPr="00B66547" w:rsidRDefault="006A7D1F" w:rsidP="006A7D1F">
      <w:pPr>
        <w:pStyle w:val="Heading1"/>
        <w:spacing w:before="1"/>
        <w:ind w:left="0"/>
        <w:rPr>
          <w:rFonts w:ascii="Times New Roman" w:hAnsi="Times New Roman" w:cs="Times New Roman"/>
          <w:b w:val="0"/>
          <w:bCs w:val="0"/>
          <w:lang w:val="ru-RU"/>
        </w:rPr>
      </w:pPr>
    </w:p>
    <w:p w14:paraId="0E6D2A5B" w14:textId="0CFEA919" w:rsidR="00832E9F" w:rsidRPr="00B66547" w:rsidRDefault="00832E9F" w:rsidP="006A7D1F">
      <w:pPr>
        <w:pStyle w:val="Heading1"/>
        <w:spacing w:before="1"/>
        <w:ind w:left="0"/>
        <w:rPr>
          <w:rFonts w:ascii="Times New Roman" w:hAnsi="Times New Roman" w:cs="Times New Roman"/>
          <w:b w:val="0"/>
          <w:bCs w:val="0"/>
          <w:lang w:val="ru-RU"/>
        </w:rPr>
      </w:pPr>
    </w:p>
    <w:p w14:paraId="2F6710DA" w14:textId="77777777" w:rsidR="006A7D1F" w:rsidRPr="00B66547" w:rsidRDefault="006A7D1F" w:rsidP="006A7D1F">
      <w:pPr>
        <w:pStyle w:val="Heading1"/>
        <w:spacing w:line="278" w:lineRule="auto"/>
        <w:ind w:left="0" w:right="612"/>
        <w:rPr>
          <w:rFonts w:ascii="Times New Roman" w:hAnsi="Times New Roman" w:cs="Times New Roman"/>
          <w:lang w:val="ru-RU"/>
        </w:rPr>
      </w:pPr>
      <w:r w:rsidRPr="00B66547">
        <w:rPr>
          <w:rFonts w:ascii="Times New Roman" w:hAnsi="Times New Roman" w:cs="Times New Roman"/>
          <w:lang w:val="ru-RU"/>
        </w:rPr>
        <w:t xml:space="preserve">Таблица 2: Общие обязательства Казахстана по со-финансированию на 2017-2019 гг. 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239"/>
        <w:gridCol w:w="1176"/>
        <w:gridCol w:w="1200"/>
        <w:gridCol w:w="1156"/>
        <w:gridCol w:w="1159"/>
        <w:gridCol w:w="1161"/>
      </w:tblGrid>
      <w:tr w:rsidR="006A7D1F" w:rsidRPr="00B66547" w14:paraId="565B4FFB" w14:textId="77777777" w:rsidTr="00832E9F">
        <w:trPr>
          <w:trHeight w:val="299"/>
        </w:trPr>
        <w:tc>
          <w:tcPr>
            <w:tcW w:w="1925" w:type="dxa"/>
            <w:shd w:val="clear" w:color="auto" w:fill="C5DFB4"/>
          </w:tcPr>
          <w:p w14:paraId="1FFE3EC8" w14:textId="77777777" w:rsidR="006A7D1F" w:rsidRPr="00B66547" w:rsidRDefault="006A7D1F" w:rsidP="006A7D1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lang w:val="ru-RU"/>
              </w:rPr>
            </w:pPr>
            <w:r w:rsidRPr="00B66547">
              <w:rPr>
                <w:rFonts w:ascii="Times New Roman" w:hAnsi="Times New Roman" w:cs="Times New Roman"/>
                <w:b/>
                <w:lang w:val="ru-RU"/>
              </w:rPr>
              <w:t>Программа</w:t>
            </w:r>
          </w:p>
        </w:tc>
        <w:tc>
          <w:tcPr>
            <w:tcW w:w="1239" w:type="dxa"/>
            <w:shd w:val="clear" w:color="auto" w:fill="C5DFB4"/>
          </w:tcPr>
          <w:p w14:paraId="77BB5259" w14:textId="77777777" w:rsidR="006A7D1F" w:rsidRPr="00B66547" w:rsidRDefault="006A7D1F" w:rsidP="006A7D1F">
            <w:pPr>
              <w:pStyle w:val="TableParagraph"/>
              <w:spacing w:before="19"/>
              <w:rPr>
                <w:rFonts w:ascii="Times New Roman" w:hAnsi="Times New Roman" w:cs="Times New Roman"/>
                <w:b/>
              </w:rPr>
            </w:pPr>
            <w:r w:rsidRPr="00B66547">
              <w:rPr>
                <w:rFonts w:ascii="Times New Roman" w:hAnsi="Times New Roman" w:cs="Times New Roman"/>
                <w:b/>
                <w:lang w:val="ru-RU"/>
              </w:rPr>
              <w:t>Валюта</w:t>
            </w:r>
          </w:p>
        </w:tc>
        <w:tc>
          <w:tcPr>
            <w:tcW w:w="1176" w:type="dxa"/>
            <w:shd w:val="clear" w:color="auto" w:fill="C5DFB4"/>
          </w:tcPr>
          <w:p w14:paraId="68531C69" w14:textId="77777777" w:rsidR="006A7D1F" w:rsidRPr="00B66547" w:rsidRDefault="006A7D1F" w:rsidP="006A7D1F">
            <w:pPr>
              <w:pStyle w:val="TableParagraph"/>
              <w:spacing w:before="19"/>
              <w:ind w:right="313"/>
              <w:jc w:val="center"/>
              <w:rPr>
                <w:rFonts w:ascii="Times New Roman" w:hAnsi="Times New Roman" w:cs="Times New Roman"/>
                <w:b/>
              </w:rPr>
            </w:pPr>
            <w:r w:rsidRPr="00B66547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200" w:type="dxa"/>
            <w:shd w:val="clear" w:color="auto" w:fill="C5DFB4"/>
          </w:tcPr>
          <w:p w14:paraId="5775E08E" w14:textId="77777777" w:rsidR="006A7D1F" w:rsidRPr="00B66547" w:rsidRDefault="006A7D1F" w:rsidP="006A7D1F">
            <w:pPr>
              <w:pStyle w:val="TableParagraph"/>
              <w:spacing w:before="19"/>
              <w:rPr>
                <w:rFonts w:ascii="Times New Roman" w:hAnsi="Times New Roman" w:cs="Times New Roman"/>
                <w:b/>
              </w:rPr>
            </w:pPr>
            <w:r w:rsidRPr="00B66547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56" w:type="dxa"/>
            <w:shd w:val="clear" w:color="auto" w:fill="C5DFB4"/>
          </w:tcPr>
          <w:p w14:paraId="60347D74" w14:textId="77777777" w:rsidR="006A7D1F" w:rsidRPr="00B66547" w:rsidRDefault="006A7D1F" w:rsidP="006A7D1F">
            <w:pPr>
              <w:pStyle w:val="TableParagraph"/>
              <w:spacing w:before="19"/>
              <w:ind w:right="303"/>
              <w:jc w:val="center"/>
              <w:rPr>
                <w:rFonts w:ascii="Times New Roman" w:hAnsi="Times New Roman" w:cs="Times New Roman"/>
                <w:b/>
              </w:rPr>
            </w:pPr>
            <w:r w:rsidRPr="00B66547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59" w:type="dxa"/>
            <w:shd w:val="clear" w:color="auto" w:fill="C5DFB4"/>
          </w:tcPr>
          <w:p w14:paraId="58BDAB1F" w14:textId="77777777" w:rsidR="006A7D1F" w:rsidRPr="00B66547" w:rsidRDefault="006A7D1F" w:rsidP="006A7D1F">
            <w:pPr>
              <w:pStyle w:val="TableParagraph"/>
              <w:spacing w:before="19"/>
              <w:ind w:right="305"/>
              <w:jc w:val="center"/>
              <w:rPr>
                <w:rFonts w:ascii="Times New Roman" w:hAnsi="Times New Roman" w:cs="Times New Roman"/>
                <w:b/>
              </w:rPr>
            </w:pPr>
            <w:r w:rsidRPr="00B66547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161" w:type="dxa"/>
            <w:shd w:val="clear" w:color="auto" w:fill="C5DFB4"/>
          </w:tcPr>
          <w:p w14:paraId="7F5AB83F" w14:textId="77777777" w:rsidR="006A7D1F" w:rsidRPr="00B66547" w:rsidRDefault="006A7D1F" w:rsidP="006A7D1F">
            <w:pPr>
              <w:pStyle w:val="TableParagraph"/>
              <w:spacing w:before="19"/>
              <w:ind w:right="306"/>
              <w:jc w:val="center"/>
              <w:rPr>
                <w:rFonts w:ascii="Times New Roman" w:hAnsi="Times New Roman" w:cs="Times New Roman"/>
                <w:b/>
              </w:rPr>
            </w:pPr>
            <w:r w:rsidRPr="00B66547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6A7D1F" w:rsidRPr="00B66547" w14:paraId="7F6CE34F" w14:textId="77777777" w:rsidTr="00832E9F">
        <w:trPr>
          <w:trHeight w:val="300"/>
        </w:trPr>
        <w:tc>
          <w:tcPr>
            <w:tcW w:w="1925" w:type="dxa"/>
          </w:tcPr>
          <w:p w14:paraId="08183D35" w14:textId="77777777" w:rsidR="006A7D1F" w:rsidRPr="00B66547" w:rsidRDefault="006A7D1F" w:rsidP="006A7D1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lang w:val="ru-RU"/>
              </w:rPr>
            </w:pPr>
            <w:r w:rsidRPr="00B66547">
              <w:rPr>
                <w:rFonts w:ascii="Times New Roman" w:hAnsi="Times New Roman" w:cs="Times New Roman"/>
                <w:b/>
                <w:lang w:val="ru-RU"/>
              </w:rPr>
              <w:t>ВИЧ</w:t>
            </w:r>
          </w:p>
        </w:tc>
        <w:tc>
          <w:tcPr>
            <w:tcW w:w="1239" w:type="dxa"/>
            <w:vMerge w:val="restart"/>
          </w:tcPr>
          <w:p w14:paraId="24F0D8BF" w14:textId="77777777" w:rsidR="006A7D1F" w:rsidRPr="00B66547" w:rsidRDefault="006A7D1F" w:rsidP="006A7D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46B7DD98" w14:textId="77777777" w:rsidR="006A7D1F" w:rsidRPr="00B66547" w:rsidRDefault="006A7D1F" w:rsidP="006A7D1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</w:rPr>
            </w:pPr>
          </w:p>
          <w:p w14:paraId="16BCF1A1" w14:textId="77777777" w:rsidR="006A7D1F" w:rsidRPr="00B66547" w:rsidRDefault="006A7D1F" w:rsidP="006A7D1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US$</w:t>
            </w:r>
          </w:p>
        </w:tc>
        <w:tc>
          <w:tcPr>
            <w:tcW w:w="1176" w:type="dxa"/>
          </w:tcPr>
          <w:p w14:paraId="698E660F" w14:textId="77777777" w:rsidR="006A7D1F" w:rsidRPr="00B66547" w:rsidRDefault="006A7D1F" w:rsidP="006A7D1F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40.74 M</w:t>
            </w:r>
          </w:p>
        </w:tc>
        <w:tc>
          <w:tcPr>
            <w:tcW w:w="1200" w:type="dxa"/>
          </w:tcPr>
          <w:p w14:paraId="16EE2C9C" w14:textId="77777777" w:rsidR="006A7D1F" w:rsidRPr="00B66547" w:rsidRDefault="006A7D1F" w:rsidP="006A7D1F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48.11 M</w:t>
            </w:r>
          </w:p>
        </w:tc>
        <w:tc>
          <w:tcPr>
            <w:tcW w:w="1156" w:type="dxa"/>
          </w:tcPr>
          <w:p w14:paraId="4A322A5F" w14:textId="77777777" w:rsidR="006A7D1F" w:rsidRPr="00B66547" w:rsidRDefault="006A7D1F" w:rsidP="006A7D1F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51.60 M</w:t>
            </w:r>
          </w:p>
        </w:tc>
        <w:tc>
          <w:tcPr>
            <w:tcW w:w="1159" w:type="dxa"/>
          </w:tcPr>
          <w:p w14:paraId="01906637" w14:textId="77777777" w:rsidR="006A7D1F" w:rsidRPr="00B66547" w:rsidRDefault="006A7D1F" w:rsidP="006A7D1F">
            <w:pPr>
              <w:pStyle w:val="TableParagraph"/>
              <w:spacing w:before="22"/>
              <w:ind w:right="30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65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61" w:type="dxa"/>
          </w:tcPr>
          <w:p w14:paraId="1BAE0E72" w14:textId="77777777" w:rsidR="006A7D1F" w:rsidRPr="00B66547" w:rsidRDefault="006A7D1F" w:rsidP="006A7D1F">
            <w:pPr>
              <w:pStyle w:val="TableParagraph"/>
              <w:spacing w:before="22"/>
              <w:ind w:right="303"/>
              <w:jc w:val="center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N/A</w:t>
            </w:r>
          </w:p>
        </w:tc>
      </w:tr>
      <w:tr w:rsidR="006A7D1F" w:rsidRPr="00B66547" w14:paraId="1EC597D1" w14:textId="77777777" w:rsidTr="00832E9F">
        <w:trPr>
          <w:trHeight w:val="299"/>
        </w:trPr>
        <w:tc>
          <w:tcPr>
            <w:tcW w:w="1925" w:type="dxa"/>
          </w:tcPr>
          <w:p w14:paraId="0F594660" w14:textId="77777777" w:rsidR="006A7D1F" w:rsidRPr="00B66547" w:rsidRDefault="006A7D1F" w:rsidP="006A7D1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lang w:val="ru-RU"/>
              </w:rPr>
            </w:pPr>
            <w:r w:rsidRPr="00B66547">
              <w:rPr>
                <w:rFonts w:ascii="Times New Roman" w:hAnsi="Times New Roman" w:cs="Times New Roman"/>
                <w:b/>
                <w:lang w:val="ru-RU"/>
              </w:rPr>
              <w:t>Туберкулез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14:paraId="6EED85B2" w14:textId="77777777" w:rsidR="006A7D1F" w:rsidRPr="00B66547" w:rsidRDefault="006A7D1F" w:rsidP="006A7D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6" w:type="dxa"/>
          </w:tcPr>
          <w:p w14:paraId="292F000A" w14:textId="77777777" w:rsidR="006A7D1F" w:rsidRPr="00B66547" w:rsidRDefault="006A7D1F" w:rsidP="006A7D1F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147.05 M</w:t>
            </w:r>
          </w:p>
        </w:tc>
        <w:tc>
          <w:tcPr>
            <w:tcW w:w="1200" w:type="dxa"/>
          </w:tcPr>
          <w:p w14:paraId="0B215B93" w14:textId="77777777" w:rsidR="006A7D1F" w:rsidRPr="00B66547" w:rsidRDefault="006A7D1F" w:rsidP="006A7D1F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147.21 M</w:t>
            </w:r>
          </w:p>
        </w:tc>
        <w:tc>
          <w:tcPr>
            <w:tcW w:w="1156" w:type="dxa"/>
          </w:tcPr>
          <w:p w14:paraId="19C2C503" w14:textId="77777777" w:rsidR="006A7D1F" w:rsidRPr="00B66547" w:rsidRDefault="006A7D1F" w:rsidP="006A7D1F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147.49 M</w:t>
            </w:r>
          </w:p>
        </w:tc>
        <w:tc>
          <w:tcPr>
            <w:tcW w:w="1159" w:type="dxa"/>
          </w:tcPr>
          <w:p w14:paraId="600CB6D1" w14:textId="77777777" w:rsidR="006A7D1F" w:rsidRPr="00B66547" w:rsidRDefault="006A7D1F" w:rsidP="006A7D1F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147.71 M</w:t>
            </w:r>
          </w:p>
        </w:tc>
        <w:tc>
          <w:tcPr>
            <w:tcW w:w="1161" w:type="dxa"/>
          </w:tcPr>
          <w:p w14:paraId="62CE48A4" w14:textId="77777777" w:rsidR="006A7D1F" w:rsidRPr="00B66547" w:rsidRDefault="006A7D1F" w:rsidP="006A7D1F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147.93 M</w:t>
            </w:r>
          </w:p>
        </w:tc>
      </w:tr>
      <w:tr w:rsidR="006A7D1F" w:rsidRPr="00B66547" w14:paraId="29172A18" w14:textId="77777777" w:rsidTr="00832E9F">
        <w:trPr>
          <w:trHeight w:val="760"/>
        </w:trPr>
        <w:tc>
          <w:tcPr>
            <w:tcW w:w="1925" w:type="dxa"/>
          </w:tcPr>
          <w:p w14:paraId="1D5DF768" w14:textId="77777777" w:rsidR="006A7D1F" w:rsidRPr="00B66547" w:rsidRDefault="006A7D1F" w:rsidP="006A7D1F">
            <w:pPr>
              <w:pStyle w:val="TableParagraph"/>
              <w:spacing w:before="2" w:line="252" w:lineRule="exact"/>
              <w:ind w:right="523"/>
              <w:rPr>
                <w:rFonts w:ascii="Times New Roman" w:hAnsi="Times New Roman" w:cs="Times New Roman"/>
                <w:b/>
                <w:lang w:val="ru-RU"/>
              </w:rPr>
            </w:pPr>
            <w:r w:rsidRPr="00B66547">
              <w:rPr>
                <w:rFonts w:ascii="Times New Roman" w:hAnsi="Times New Roman" w:cs="Times New Roman"/>
                <w:b/>
                <w:lang w:val="ru-RU"/>
              </w:rPr>
              <w:t>Общий вклад Правительства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14:paraId="38E91963" w14:textId="77777777" w:rsidR="006A7D1F" w:rsidRPr="00B66547" w:rsidRDefault="006A7D1F" w:rsidP="006A7D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6" w:type="dxa"/>
          </w:tcPr>
          <w:p w14:paraId="617FC52D" w14:textId="77777777" w:rsidR="006A7D1F" w:rsidRPr="00B66547" w:rsidRDefault="006A7D1F" w:rsidP="006A7D1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7DBC43DC" w14:textId="77777777" w:rsidR="006A7D1F" w:rsidRPr="00B66547" w:rsidRDefault="006A7D1F" w:rsidP="006A7D1F">
            <w:pPr>
              <w:pStyle w:val="TableParagraph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187.78 M</w:t>
            </w:r>
          </w:p>
        </w:tc>
        <w:tc>
          <w:tcPr>
            <w:tcW w:w="1200" w:type="dxa"/>
          </w:tcPr>
          <w:p w14:paraId="3A843A12" w14:textId="77777777" w:rsidR="006A7D1F" w:rsidRPr="00B66547" w:rsidRDefault="006A7D1F" w:rsidP="006A7D1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7DB494C9" w14:textId="77777777" w:rsidR="006A7D1F" w:rsidRPr="00B66547" w:rsidRDefault="006A7D1F" w:rsidP="006A7D1F">
            <w:pPr>
              <w:pStyle w:val="TableParagraph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195.32 M</w:t>
            </w:r>
          </w:p>
        </w:tc>
        <w:tc>
          <w:tcPr>
            <w:tcW w:w="1156" w:type="dxa"/>
          </w:tcPr>
          <w:p w14:paraId="13BCD178" w14:textId="77777777" w:rsidR="006A7D1F" w:rsidRPr="00B66547" w:rsidRDefault="006A7D1F" w:rsidP="006A7D1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4DBC922E" w14:textId="77777777" w:rsidR="006A7D1F" w:rsidRPr="00B66547" w:rsidRDefault="006A7D1F" w:rsidP="006A7D1F">
            <w:pPr>
              <w:pStyle w:val="TableParagraph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199.09 M</w:t>
            </w:r>
          </w:p>
        </w:tc>
        <w:tc>
          <w:tcPr>
            <w:tcW w:w="1159" w:type="dxa"/>
          </w:tcPr>
          <w:p w14:paraId="5640C148" w14:textId="77777777" w:rsidR="006A7D1F" w:rsidRPr="00B66547" w:rsidRDefault="006A7D1F" w:rsidP="006A7D1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0D43C771" w14:textId="77777777" w:rsidR="006A7D1F" w:rsidRPr="00B66547" w:rsidRDefault="006A7D1F" w:rsidP="006A7D1F">
            <w:pPr>
              <w:pStyle w:val="TableParagraph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147.71 M</w:t>
            </w:r>
          </w:p>
        </w:tc>
        <w:tc>
          <w:tcPr>
            <w:tcW w:w="1161" w:type="dxa"/>
          </w:tcPr>
          <w:p w14:paraId="7C46FD2F" w14:textId="77777777" w:rsidR="006A7D1F" w:rsidRPr="00B66547" w:rsidRDefault="006A7D1F" w:rsidP="006A7D1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4A6BEAAF" w14:textId="77777777" w:rsidR="006A7D1F" w:rsidRPr="00B66547" w:rsidRDefault="006A7D1F" w:rsidP="006A7D1F">
            <w:pPr>
              <w:pStyle w:val="TableParagraph"/>
              <w:rPr>
                <w:rFonts w:ascii="Times New Roman" w:hAnsi="Times New Roman" w:cs="Times New Roman"/>
              </w:rPr>
            </w:pPr>
            <w:r w:rsidRPr="00B66547">
              <w:rPr>
                <w:rFonts w:ascii="Times New Roman" w:hAnsi="Times New Roman" w:cs="Times New Roman"/>
              </w:rPr>
              <w:t>147.93 M</w:t>
            </w:r>
          </w:p>
        </w:tc>
      </w:tr>
    </w:tbl>
    <w:p w14:paraId="78B6B17C" w14:textId="77777777" w:rsidR="006A7D1F" w:rsidRPr="00007514" w:rsidRDefault="006A7D1F" w:rsidP="006A7D1F">
      <w:pPr>
        <w:jc w:val="both"/>
        <w:rPr>
          <w:sz w:val="16"/>
          <w:lang w:val="ru-RU"/>
        </w:rPr>
      </w:pPr>
      <w:r>
        <w:rPr>
          <w:sz w:val="16"/>
          <w:lang w:val="ru-RU"/>
        </w:rPr>
        <w:t xml:space="preserve">Источник: Заявка на финансирования и сопутствующее документы, представленные посредством доступа к процессу финансирования на период выделения средств 2017-2019 гг. </w:t>
      </w:r>
    </w:p>
    <w:p w14:paraId="13C3C8ED" w14:textId="77777777" w:rsidR="006A7D1F" w:rsidRDefault="006A7D1F" w:rsidP="006A7D1F">
      <w:pPr>
        <w:pStyle w:val="Heading1"/>
        <w:spacing w:before="1"/>
        <w:ind w:left="0"/>
        <w:rPr>
          <w:b w:val="0"/>
          <w:bCs w:val="0"/>
          <w:lang w:val="ru-RU"/>
        </w:rPr>
      </w:pPr>
    </w:p>
    <w:p w14:paraId="58FFEEB5" w14:textId="77777777" w:rsidR="006A7D1F" w:rsidRDefault="006A7D1F" w:rsidP="006A7D1F">
      <w:pPr>
        <w:pStyle w:val="Heading1"/>
        <w:spacing w:before="1"/>
        <w:rPr>
          <w:b w:val="0"/>
          <w:bCs w:val="0"/>
          <w:lang w:val="ru-RU"/>
        </w:rPr>
      </w:pPr>
    </w:p>
    <w:p w14:paraId="6D7581F3" w14:textId="77777777" w:rsidR="006A7D1F" w:rsidRDefault="006A7D1F" w:rsidP="006A7D1F">
      <w:pPr>
        <w:pStyle w:val="Heading1"/>
        <w:spacing w:before="1"/>
        <w:rPr>
          <w:b w:val="0"/>
          <w:bCs w:val="0"/>
          <w:lang w:val="ru-RU"/>
        </w:rPr>
      </w:pPr>
    </w:p>
    <w:p w14:paraId="50072C35" w14:textId="7E66DDA3" w:rsidR="006A7D1F" w:rsidRPr="00361BEA" w:rsidRDefault="006A7D1F" w:rsidP="006A7D1F">
      <w:pPr>
        <w:pStyle w:val="BodyText"/>
        <w:spacing w:before="6"/>
        <w:rPr>
          <w:sz w:val="1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1BF53D" wp14:editId="11BC4319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1829435" cy="0"/>
                <wp:effectExtent l="9525" t="12700" r="8890" b="63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9B1A9" id="Прямая соединительная линия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65pt" to="216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" strokeweight=".6pt">
                <w10:wrap type="topAndBottom" anchorx="page"/>
              </v:line>
            </w:pict>
          </mc:Fallback>
        </mc:AlternateContent>
      </w:r>
    </w:p>
    <w:p w14:paraId="3E37BA81" w14:textId="77777777" w:rsidR="006A7D1F" w:rsidRPr="00CB3D0A" w:rsidRDefault="006A7D1F" w:rsidP="00832E9F">
      <w:pPr>
        <w:spacing w:before="76" w:line="162" w:lineRule="exact"/>
        <w:rPr>
          <w:sz w:val="14"/>
          <w:lang w:val="ru-RU"/>
        </w:rPr>
      </w:pPr>
      <w:r w:rsidRPr="00CB3D0A">
        <w:rPr>
          <w:position w:val="5"/>
          <w:sz w:val="9"/>
          <w:lang w:val="ru-RU"/>
        </w:rPr>
        <w:t xml:space="preserve">9 </w:t>
      </w:r>
      <w:hyperlink r:id="rId10">
        <w:r>
          <w:rPr>
            <w:color w:val="0000FF"/>
            <w:sz w:val="14"/>
            <w:u w:val="single" w:color="0000FF"/>
          </w:rPr>
          <w:t>https</w:t>
        </w:r>
        <w:r w:rsidRPr="00CB3D0A">
          <w:rPr>
            <w:color w:val="0000FF"/>
            <w:sz w:val="14"/>
            <w:u w:val="single" w:color="0000FF"/>
            <w:lang w:val="ru-RU"/>
          </w:rPr>
          <w:t>://</w:t>
        </w:r>
        <w:r>
          <w:rPr>
            <w:color w:val="0000FF"/>
            <w:sz w:val="14"/>
            <w:u w:val="single" w:color="0000FF"/>
          </w:rPr>
          <w:t>www</w:t>
        </w:r>
        <w:r w:rsidRPr="00CB3D0A">
          <w:rPr>
            <w:color w:val="0000FF"/>
            <w:sz w:val="1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14"/>
            <w:u w:val="single" w:color="0000FF"/>
          </w:rPr>
          <w:t>theglobalfund</w:t>
        </w:r>
        <w:proofErr w:type="spellEnd"/>
        <w:r w:rsidRPr="00CB3D0A">
          <w:rPr>
            <w:color w:val="0000FF"/>
            <w:sz w:val="14"/>
            <w:u w:val="single" w:color="0000FF"/>
            <w:lang w:val="ru-RU"/>
          </w:rPr>
          <w:t>.</w:t>
        </w:r>
        <w:r>
          <w:rPr>
            <w:color w:val="0000FF"/>
            <w:sz w:val="14"/>
            <w:u w:val="single" w:color="0000FF"/>
          </w:rPr>
          <w:t>org</w:t>
        </w:r>
        <w:r w:rsidRPr="00CB3D0A">
          <w:rPr>
            <w:color w:val="0000FF"/>
            <w:sz w:val="14"/>
            <w:u w:val="single" w:color="0000FF"/>
            <w:lang w:val="ru-RU"/>
          </w:rPr>
          <w:t>/</w:t>
        </w:r>
        <w:proofErr w:type="spellStart"/>
        <w:r>
          <w:rPr>
            <w:color w:val="0000FF"/>
            <w:sz w:val="14"/>
            <w:u w:val="single" w:color="0000FF"/>
          </w:rPr>
          <w:t>en</w:t>
        </w:r>
        <w:proofErr w:type="spellEnd"/>
        <w:r w:rsidRPr="00CB3D0A">
          <w:rPr>
            <w:color w:val="0000FF"/>
            <w:sz w:val="14"/>
            <w:u w:val="single" w:color="0000FF"/>
            <w:lang w:val="ru-RU"/>
          </w:rPr>
          <w:t>/</w:t>
        </w:r>
        <w:r>
          <w:rPr>
            <w:color w:val="0000FF"/>
            <w:sz w:val="14"/>
            <w:u w:val="single" w:color="0000FF"/>
          </w:rPr>
          <w:t>sourcing</w:t>
        </w:r>
        <w:r w:rsidRPr="00CB3D0A">
          <w:rPr>
            <w:color w:val="0000FF"/>
            <w:sz w:val="14"/>
            <w:u w:val="single" w:color="0000FF"/>
            <w:lang w:val="ru-RU"/>
          </w:rPr>
          <w:t>-</w:t>
        </w:r>
        <w:r>
          <w:rPr>
            <w:color w:val="0000FF"/>
            <w:sz w:val="14"/>
            <w:u w:val="single" w:color="0000FF"/>
          </w:rPr>
          <w:t>management</w:t>
        </w:r>
        <w:r w:rsidRPr="00CB3D0A">
          <w:rPr>
            <w:color w:val="0000FF"/>
            <w:sz w:val="14"/>
            <w:u w:val="single" w:color="0000FF"/>
            <w:lang w:val="ru-RU"/>
          </w:rPr>
          <w:t>/</w:t>
        </w:r>
        <w:r>
          <w:rPr>
            <w:color w:val="0000FF"/>
            <w:sz w:val="14"/>
            <w:u w:val="single" w:color="0000FF"/>
          </w:rPr>
          <w:t>health</w:t>
        </w:r>
        <w:r w:rsidRPr="00CB3D0A">
          <w:rPr>
            <w:color w:val="0000FF"/>
            <w:sz w:val="14"/>
            <w:u w:val="single" w:color="0000FF"/>
            <w:lang w:val="ru-RU"/>
          </w:rPr>
          <w:t>-</w:t>
        </w:r>
        <w:r>
          <w:rPr>
            <w:color w:val="0000FF"/>
            <w:sz w:val="14"/>
            <w:u w:val="single" w:color="0000FF"/>
          </w:rPr>
          <w:t>products</w:t>
        </w:r>
        <w:r w:rsidRPr="00CB3D0A">
          <w:rPr>
            <w:color w:val="0000FF"/>
            <w:sz w:val="14"/>
            <w:u w:val="single" w:color="0000FF"/>
            <w:lang w:val="ru-RU"/>
          </w:rPr>
          <w:t>/</w:t>
        </w:r>
      </w:hyperlink>
    </w:p>
    <w:p w14:paraId="7AFACB1D" w14:textId="77777777" w:rsidR="006A7D1F" w:rsidRPr="006A7D1F" w:rsidRDefault="006A7D1F" w:rsidP="00832E9F">
      <w:pPr>
        <w:spacing w:line="161" w:lineRule="exact"/>
        <w:rPr>
          <w:sz w:val="14"/>
          <w:lang w:val="ru-RU"/>
        </w:rPr>
      </w:pPr>
      <w:r w:rsidRPr="006A7D1F">
        <w:rPr>
          <w:position w:val="5"/>
          <w:sz w:val="9"/>
          <w:lang w:val="ru-RU"/>
        </w:rPr>
        <w:t xml:space="preserve">10 </w:t>
      </w:r>
      <w:hyperlink r:id="rId11">
        <w:r>
          <w:rPr>
            <w:color w:val="0000FF"/>
            <w:sz w:val="14"/>
            <w:u w:val="single" w:color="0000FF"/>
          </w:rPr>
          <w:t>https</w:t>
        </w:r>
        <w:r w:rsidRPr="006A7D1F">
          <w:rPr>
            <w:color w:val="0000FF"/>
            <w:sz w:val="14"/>
            <w:u w:val="single" w:color="0000FF"/>
            <w:lang w:val="ru-RU"/>
          </w:rPr>
          <w:t>://</w:t>
        </w:r>
        <w:r>
          <w:rPr>
            <w:color w:val="0000FF"/>
            <w:sz w:val="14"/>
            <w:u w:val="single" w:color="0000FF"/>
          </w:rPr>
          <w:t>www</w:t>
        </w:r>
        <w:r w:rsidRPr="006A7D1F">
          <w:rPr>
            <w:color w:val="0000FF"/>
            <w:sz w:val="1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14"/>
            <w:u w:val="single" w:color="0000FF"/>
          </w:rPr>
          <w:t>theglobalfund</w:t>
        </w:r>
        <w:proofErr w:type="spellEnd"/>
        <w:r w:rsidRPr="006A7D1F">
          <w:rPr>
            <w:color w:val="0000FF"/>
            <w:sz w:val="14"/>
            <w:u w:val="single" w:color="0000FF"/>
            <w:lang w:val="ru-RU"/>
          </w:rPr>
          <w:t>.</w:t>
        </w:r>
        <w:r>
          <w:rPr>
            <w:color w:val="0000FF"/>
            <w:sz w:val="14"/>
            <w:u w:val="single" w:color="0000FF"/>
          </w:rPr>
          <w:t>org</w:t>
        </w:r>
        <w:r w:rsidRPr="006A7D1F">
          <w:rPr>
            <w:color w:val="0000FF"/>
            <w:sz w:val="14"/>
            <w:u w:val="single" w:color="0000FF"/>
            <w:lang w:val="ru-RU"/>
          </w:rPr>
          <w:t>/</w:t>
        </w:r>
        <w:proofErr w:type="spellStart"/>
        <w:r>
          <w:rPr>
            <w:color w:val="0000FF"/>
            <w:sz w:val="14"/>
            <w:u w:val="single" w:color="0000FF"/>
          </w:rPr>
          <w:t>en</w:t>
        </w:r>
        <w:proofErr w:type="spellEnd"/>
        <w:r w:rsidRPr="006A7D1F">
          <w:rPr>
            <w:color w:val="0000FF"/>
            <w:sz w:val="14"/>
            <w:u w:val="single" w:color="0000FF"/>
            <w:lang w:val="ru-RU"/>
          </w:rPr>
          <w:t>/</w:t>
        </w:r>
        <w:r>
          <w:rPr>
            <w:color w:val="0000FF"/>
            <w:sz w:val="14"/>
            <w:u w:val="single" w:color="0000FF"/>
          </w:rPr>
          <w:t>documents</w:t>
        </w:r>
        <w:r w:rsidRPr="006A7D1F">
          <w:rPr>
            <w:color w:val="0000FF"/>
            <w:sz w:val="14"/>
            <w:u w:val="single" w:color="0000FF"/>
            <w:lang w:val="ru-RU"/>
          </w:rPr>
          <w:t>-</w:t>
        </w:r>
        <w:r>
          <w:rPr>
            <w:color w:val="0000FF"/>
            <w:sz w:val="14"/>
            <w:u w:val="single" w:color="0000FF"/>
          </w:rPr>
          <w:t>by</w:t>
        </w:r>
        <w:r w:rsidRPr="006A7D1F">
          <w:rPr>
            <w:color w:val="0000FF"/>
            <w:sz w:val="14"/>
            <w:u w:val="single" w:color="0000FF"/>
            <w:lang w:val="ru-RU"/>
          </w:rPr>
          <w:t>-</w:t>
        </w:r>
        <w:r>
          <w:rPr>
            <w:color w:val="0000FF"/>
            <w:sz w:val="14"/>
            <w:u w:val="single" w:color="0000FF"/>
          </w:rPr>
          <w:t>type</w:t>
        </w:r>
        <w:r w:rsidRPr="006A7D1F">
          <w:rPr>
            <w:color w:val="0000FF"/>
            <w:sz w:val="14"/>
            <w:u w:val="single" w:color="0000FF"/>
            <w:lang w:val="ru-RU"/>
          </w:rPr>
          <w:t>/</w:t>
        </w:r>
        <w:r>
          <w:rPr>
            <w:color w:val="0000FF"/>
            <w:sz w:val="14"/>
            <w:u w:val="single" w:color="0000FF"/>
          </w:rPr>
          <w:t>implementers</w:t>
        </w:r>
        <w:r w:rsidRPr="006A7D1F">
          <w:rPr>
            <w:color w:val="0000FF"/>
            <w:sz w:val="14"/>
            <w:u w:val="single" w:color="0000FF"/>
            <w:lang w:val="ru-RU"/>
          </w:rPr>
          <w:t>/</w:t>
        </w:r>
      </w:hyperlink>
    </w:p>
    <w:p w14:paraId="70F3502D" w14:textId="024F1917" w:rsidR="006A7D1F" w:rsidRPr="007B2ACB" w:rsidRDefault="006A7D1F" w:rsidP="006A7D1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lang w:val="ru-RU"/>
        </w:rPr>
      </w:pPr>
      <w:r w:rsidRPr="00727196">
        <w:rPr>
          <w:position w:val="5"/>
          <w:sz w:val="9"/>
          <w:lang w:val="ru-RU"/>
        </w:rPr>
        <w:t xml:space="preserve">11 </w:t>
      </w:r>
      <w:r w:rsidRPr="00A60ED6">
        <w:rPr>
          <w:sz w:val="14"/>
          <w:lang w:val="ru-RU"/>
        </w:rPr>
        <w:t>Обязательства по дополнительному со</w:t>
      </w:r>
      <w:r>
        <w:rPr>
          <w:sz w:val="14"/>
          <w:lang w:val="ru-RU"/>
        </w:rPr>
        <w:t>-</w:t>
      </w:r>
      <w:r w:rsidRPr="00A60ED6">
        <w:rPr>
          <w:sz w:val="14"/>
          <w:lang w:val="ru-RU"/>
        </w:rPr>
        <w:t xml:space="preserve">финансированию инвестиций должны быть </w:t>
      </w:r>
      <w:r>
        <w:rPr>
          <w:sz w:val="14"/>
          <w:lang w:val="ru-RU"/>
        </w:rPr>
        <w:t>осуществлены</w:t>
      </w:r>
      <w:r w:rsidRPr="00A60ED6">
        <w:rPr>
          <w:sz w:val="14"/>
          <w:lang w:val="ru-RU"/>
        </w:rPr>
        <w:t xml:space="preserve"> для соответствующих программ по борьбе с заболеваниями и/или связанных с ними </w:t>
      </w:r>
      <w:r>
        <w:rPr>
          <w:sz w:val="14"/>
          <w:lang w:val="ru-RU"/>
        </w:rPr>
        <w:t>ЖУССЗ</w:t>
      </w:r>
      <w:r w:rsidRPr="00A60ED6">
        <w:rPr>
          <w:sz w:val="14"/>
          <w:lang w:val="ru-RU"/>
        </w:rPr>
        <w:t xml:space="preserve"> в течение периода реализации гранта в соответствии с требованиями политики </w:t>
      </w:r>
      <w:r w:rsidRPr="00A60ED6">
        <w:rPr>
          <w:sz w:val="14"/>
        </w:rPr>
        <w:t>STC</w:t>
      </w:r>
    </w:p>
    <w:sectPr w:rsidR="006A7D1F" w:rsidRPr="007B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0CCC" w14:textId="77777777" w:rsidR="00C22441" w:rsidRDefault="00C22441" w:rsidP="00037424">
      <w:pPr>
        <w:spacing w:after="0" w:line="240" w:lineRule="auto"/>
      </w:pPr>
      <w:r>
        <w:separator/>
      </w:r>
    </w:p>
  </w:endnote>
  <w:endnote w:type="continuationSeparator" w:id="0">
    <w:p w14:paraId="799F7FE4" w14:textId="77777777" w:rsidR="00C22441" w:rsidRDefault="00C22441" w:rsidP="0003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50161" w14:textId="77777777" w:rsidR="00C22441" w:rsidRDefault="00C22441" w:rsidP="00037424">
      <w:pPr>
        <w:spacing w:after="0" w:line="240" w:lineRule="auto"/>
      </w:pPr>
      <w:r>
        <w:separator/>
      </w:r>
    </w:p>
  </w:footnote>
  <w:footnote w:type="continuationSeparator" w:id="0">
    <w:p w14:paraId="25119929" w14:textId="77777777" w:rsidR="00C22441" w:rsidRDefault="00C22441" w:rsidP="00037424">
      <w:pPr>
        <w:spacing w:after="0" w:line="240" w:lineRule="auto"/>
      </w:pPr>
      <w:r>
        <w:continuationSeparator/>
      </w:r>
    </w:p>
  </w:footnote>
  <w:footnote w:id="1">
    <w:p w14:paraId="535E668C" w14:textId="12F7A9D1" w:rsidR="00037424" w:rsidRPr="007B2ACB" w:rsidRDefault="00037424" w:rsidP="00DE72A6">
      <w:pPr>
        <w:pStyle w:val="NoSpacing"/>
        <w:rPr>
          <w:rFonts w:ascii="Arial" w:hAnsi="Arial" w:cs="Arial"/>
          <w:sz w:val="14"/>
          <w:szCs w:val="14"/>
          <w:lang w:val="ru-RU"/>
        </w:rPr>
      </w:pPr>
      <w:r w:rsidRPr="007B2ACB">
        <w:rPr>
          <w:rStyle w:val="FootnoteReference"/>
          <w:rFonts w:ascii="Arial" w:hAnsi="Arial" w:cs="Arial"/>
          <w:sz w:val="14"/>
          <w:szCs w:val="14"/>
        </w:rPr>
        <w:footnoteRef/>
      </w:r>
      <w:r w:rsidRPr="007B2ACB">
        <w:rPr>
          <w:rFonts w:ascii="Arial" w:hAnsi="Arial" w:cs="Arial"/>
          <w:sz w:val="14"/>
          <w:szCs w:val="14"/>
          <w:lang w:val="ru-RU"/>
        </w:rPr>
        <w:t xml:space="preserve"> </w:t>
      </w:r>
      <w:r w:rsidR="00B721A7" w:rsidRPr="007B2ACB">
        <w:rPr>
          <w:rFonts w:ascii="Arial" w:hAnsi="Arial" w:cs="Arial"/>
          <w:sz w:val="14"/>
          <w:szCs w:val="14"/>
          <w:lang w:val="ru-RU"/>
        </w:rPr>
        <w:t>Настоящее письмо содержит приложения и ссылки, которые следует читать полностью и вместе с письмом</w:t>
      </w:r>
      <w:r w:rsidRPr="007B2ACB">
        <w:rPr>
          <w:rFonts w:ascii="Arial" w:hAnsi="Arial" w:cs="Arial"/>
          <w:sz w:val="14"/>
          <w:szCs w:val="14"/>
          <w:lang w:val="ru-RU"/>
        </w:rPr>
        <w:t xml:space="preserve">. </w:t>
      </w:r>
    </w:p>
    <w:p w14:paraId="49EC2DA1" w14:textId="6FA2CB4E" w:rsidR="00037424" w:rsidRPr="007B2ACB" w:rsidRDefault="00037424" w:rsidP="00DE72A6">
      <w:pPr>
        <w:pStyle w:val="NoSpacing"/>
        <w:rPr>
          <w:rFonts w:ascii="Arial" w:hAnsi="Arial" w:cs="Arial"/>
          <w:sz w:val="14"/>
          <w:szCs w:val="14"/>
          <w:lang w:val="ru-RU"/>
        </w:rPr>
      </w:pPr>
    </w:p>
  </w:footnote>
  <w:footnote w:id="2">
    <w:p w14:paraId="015978FE" w14:textId="059C2749" w:rsidR="002978E0" w:rsidRPr="007B2ACB" w:rsidRDefault="00CD341A" w:rsidP="00DE72A6">
      <w:pPr>
        <w:pStyle w:val="NoSpacing"/>
        <w:rPr>
          <w:rFonts w:ascii="Arial" w:hAnsi="Arial" w:cs="Arial"/>
          <w:sz w:val="14"/>
          <w:szCs w:val="14"/>
          <w:lang w:val="ru-RU"/>
        </w:rPr>
      </w:pPr>
      <w:r w:rsidRPr="007B2ACB">
        <w:rPr>
          <w:rStyle w:val="FootnoteReference"/>
          <w:rFonts w:ascii="Arial" w:hAnsi="Arial" w:cs="Arial"/>
          <w:sz w:val="14"/>
          <w:szCs w:val="14"/>
        </w:rPr>
        <w:footnoteRef/>
      </w:r>
      <w:r w:rsidRPr="007B2ACB">
        <w:rPr>
          <w:rFonts w:ascii="Arial" w:hAnsi="Arial" w:cs="Arial"/>
          <w:sz w:val="14"/>
          <w:szCs w:val="14"/>
          <w:lang w:val="ru-RU"/>
        </w:rPr>
        <w:t xml:space="preserve"> </w:t>
      </w:r>
      <w:r w:rsidR="00C22441">
        <w:fldChar w:fldCharType="begin"/>
      </w:r>
      <w:r w:rsidR="00C22441" w:rsidRPr="002905E8">
        <w:rPr>
          <w:lang w:val="ru-RU"/>
        </w:rPr>
        <w:instrText xml:space="preserve"> </w:instrText>
      </w:r>
      <w:r w:rsidR="00C22441">
        <w:instrText>HYPERLINK</w:instrText>
      </w:r>
      <w:r w:rsidR="00C22441" w:rsidRPr="002905E8">
        <w:rPr>
          <w:lang w:val="ru-RU"/>
        </w:rPr>
        <w:instrText xml:space="preserve"> "</w:instrText>
      </w:r>
      <w:r w:rsidR="00C22441">
        <w:instrText>https</w:instrText>
      </w:r>
      <w:r w:rsidR="00C22441" w:rsidRPr="002905E8">
        <w:rPr>
          <w:lang w:val="ru-RU"/>
        </w:rPr>
        <w:instrText>://</w:instrText>
      </w:r>
      <w:r w:rsidR="00C22441">
        <w:instrText>www</w:instrText>
      </w:r>
      <w:r w:rsidR="00C22441" w:rsidRPr="002905E8">
        <w:rPr>
          <w:lang w:val="ru-RU"/>
        </w:rPr>
        <w:instrText>.</w:instrText>
      </w:r>
      <w:r w:rsidR="00C22441">
        <w:instrText>theglobalfund</w:instrText>
      </w:r>
      <w:r w:rsidR="00C22441" w:rsidRPr="002905E8">
        <w:rPr>
          <w:lang w:val="ru-RU"/>
        </w:rPr>
        <w:instrText>.</w:instrText>
      </w:r>
      <w:r w:rsidR="00C22441">
        <w:instrText>org</w:instrText>
      </w:r>
      <w:r w:rsidR="00C22441" w:rsidRPr="002905E8">
        <w:rPr>
          <w:lang w:val="ru-RU"/>
        </w:rPr>
        <w:instrText>/</w:instrText>
      </w:r>
      <w:r w:rsidR="00C22441">
        <w:instrText>en</w:instrText>
      </w:r>
      <w:r w:rsidR="00C22441" w:rsidRPr="002905E8">
        <w:rPr>
          <w:lang w:val="ru-RU"/>
        </w:rPr>
        <w:instrText>/</w:instrText>
      </w:r>
      <w:r w:rsidR="00C22441">
        <w:instrText>technical</w:instrText>
      </w:r>
      <w:r w:rsidR="00C22441" w:rsidRPr="002905E8">
        <w:rPr>
          <w:lang w:val="ru-RU"/>
        </w:rPr>
        <w:instrText>-</w:instrText>
      </w:r>
      <w:r w:rsidR="00C22441">
        <w:instrText>review</w:instrText>
      </w:r>
      <w:r w:rsidR="00C22441" w:rsidRPr="002905E8">
        <w:rPr>
          <w:lang w:val="ru-RU"/>
        </w:rPr>
        <w:instrText>-</w:instrText>
      </w:r>
      <w:r w:rsidR="00C22441">
        <w:instrText>panel</w:instrText>
      </w:r>
      <w:r w:rsidR="00C22441" w:rsidRPr="002905E8">
        <w:rPr>
          <w:lang w:val="ru-RU"/>
        </w:rPr>
        <w:instrText>/</w:instrText>
      </w:r>
      <w:r w:rsidR="00C22441">
        <w:instrText>reports</w:instrText>
      </w:r>
      <w:r w:rsidR="00C22441" w:rsidRPr="002905E8">
        <w:rPr>
          <w:lang w:val="ru-RU"/>
        </w:rPr>
        <w:instrText xml:space="preserve">/" </w:instrText>
      </w:r>
      <w:r w:rsidR="00C22441">
        <w:fldChar w:fldCharType="separate"/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https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://</w:t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www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.</w:t>
      </w:r>
      <w:proofErr w:type="spellStart"/>
      <w:r w:rsidR="007C727B" w:rsidRPr="00DC0DB8">
        <w:rPr>
          <w:rStyle w:val="Hyperlink"/>
          <w:rFonts w:ascii="Arial" w:hAnsi="Arial" w:cs="Arial"/>
          <w:sz w:val="14"/>
          <w:szCs w:val="14"/>
        </w:rPr>
        <w:t>theglobalfund</w:t>
      </w:r>
      <w:proofErr w:type="spellEnd"/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.</w:t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org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/</w:t>
      </w:r>
      <w:proofErr w:type="spellStart"/>
      <w:r w:rsidR="007C727B" w:rsidRPr="00DC0DB8">
        <w:rPr>
          <w:rStyle w:val="Hyperlink"/>
          <w:rFonts w:ascii="Arial" w:hAnsi="Arial" w:cs="Arial"/>
          <w:sz w:val="14"/>
          <w:szCs w:val="14"/>
        </w:rPr>
        <w:t>en</w:t>
      </w:r>
      <w:proofErr w:type="spellEnd"/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/</w:t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technical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-</w:t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review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-</w:t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panel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/</w:t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reports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/</w:t>
      </w:r>
      <w:r w:rsidR="00C22441">
        <w:rPr>
          <w:rStyle w:val="Hyperlink"/>
          <w:rFonts w:ascii="Arial" w:hAnsi="Arial" w:cs="Arial"/>
          <w:sz w:val="14"/>
          <w:szCs w:val="14"/>
          <w:lang w:val="ru-RU"/>
        </w:rPr>
        <w:fldChar w:fldCharType="end"/>
      </w:r>
      <w:r w:rsidR="007C727B">
        <w:rPr>
          <w:rFonts w:ascii="Arial" w:hAnsi="Arial" w:cs="Arial"/>
          <w:sz w:val="14"/>
          <w:szCs w:val="14"/>
          <w:lang w:val="ru-RU"/>
        </w:rPr>
        <w:t xml:space="preserve"> </w:t>
      </w:r>
      <w:r w:rsidR="002978E0" w:rsidRPr="007B2ACB">
        <w:rPr>
          <w:rFonts w:ascii="Arial" w:hAnsi="Arial" w:cs="Arial"/>
          <w:sz w:val="14"/>
          <w:szCs w:val="14"/>
          <w:lang w:val="ru-RU"/>
        </w:rPr>
        <w:t xml:space="preserve">  </w:t>
      </w:r>
    </w:p>
    <w:p w14:paraId="36D5B325" w14:textId="0D1F0789" w:rsidR="00CD341A" w:rsidRPr="007B2ACB" w:rsidRDefault="00CD341A" w:rsidP="00DE72A6">
      <w:pPr>
        <w:pStyle w:val="NoSpacing"/>
        <w:rPr>
          <w:rFonts w:ascii="Arial" w:hAnsi="Arial" w:cs="Arial"/>
          <w:sz w:val="14"/>
          <w:szCs w:val="14"/>
          <w:lang w:val="ru-RU"/>
        </w:rPr>
      </w:pPr>
    </w:p>
  </w:footnote>
  <w:footnote w:id="3">
    <w:p w14:paraId="33908F7E" w14:textId="0F0F2F91" w:rsidR="002978E0" w:rsidRPr="00815DC1" w:rsidRDefault="002978E0" w:rsidP="00DE72A6">
      <w:pPr>
        <w:pStyle w:val="NoSpacing"/>
        <w:rPr>
          <w:rFonts w:ascii="Arial" w:hAnsi="Arial" w:cs="Arial"/>
          <w:sz w:val="12"/>
          <w:szCs w:val="12"/>
          <w:lang w:val="ru-RU"/>
        </w:rPr>
      </w:pPr>
      <w:r w:rsidRPr="007B2ACB">
        <w:rPr>
          <w:rStyle w:val="FootnoteReference"/>
          <w:rFonts w:ascii="Arial" w:hAnsi="Arial" w:cs="Arial"/>
          <w:sz w:val="14"/>
          <w:szCs w:val="14"/>
        </w:rPr>
        <w:footnoteRef/>
      </w:r>
      <w:r w:rsidRPr="007B2ACB">
        <w:rPr>
          <w:rFonts w:ascii="Arial" w:hAnsi="Arial" w:cs="Arial"/>
          <w:sz w:val="14"/>
          <w:szCs w:val="14"/>
          <w:lang w:val="ru-RU"/>
        </w:rPr>
        <w:t xml:space="preserve"> </w:t>
      </w:r>
      <w:r w:rsidR="00C22441">
        <w:fldChar w:fldCharType="begin"/>
      </w:r>
      <w:r w:rsidR="00C22441" w:rsidRPr="002905E8">
        <w:rPr>
          <w:lang w:val="ru-RU"/>
        </w:rPr>
        <w:instrText xml:space="preserve"> </w:instrText>
      </w:r>
      <w:r w:rsidR="00C22441">
        <w:instrText>HYPERLINK</w:instrText>
      </w:r>
      <w:r w:rsidR="00C22441" w:rsidRPr="002905E8">
        <w:rPr>
          <w:lang w:val="ru-RU"/>
        </w:rPr>
        <w:instrText xml:space="preserve"> "</w:instrText>
      </w:r>
      <w:r w:rsidR="00C22441">
        <w:instrText>https</w:instrText>
      </w:r>
      <w:r w:rsidR="00C22441" w:rsidRPr="002905E8">
        <w:rPr>
          <w:lang w:val="ru-RU"/>
        </w:rPr>
        <w:instrText>://</w:instrText>
      </w:r>
      <w:r w:rsidR="00C22441">
        <w:instrText>www</w:instrText>
      </w:r>
      <w:r w:rsidR="00C22441" w:rsidRPr="002905E8">
        <w:rPr>
          <w:lang w:val="ru-RU"/>
        </w:rPr>
        <w:instrText>.</w:instrText>
      </w:r>
      <w:r w:rsidR="00C22441">
        <w:instrText>theglobalfund</w:instrText>
      </w:r>
      <w:r w:rsidR="00C22441" w:rsidRPr="002905E8">
        <w:rPr>
          <w:lang w:val="ru-RU"/>
        </w:rPr>
        <w:instrText>.</w:instrText>
      </w:r>
      <w:r w:rsidR="00C22441">
        <w:instrText>org</w:instrText>
      </w:r>
      <w:r w:rsidR="00C22441" w:rsidRPr="002905E8">
        <w:rPr>
          <w:lang w:val="ru-RU"/>
        </w:rPr>
        <w:instrText>/</w:instrText>
      </w:r>
      <w:r w:rsidR="00C22441">
        <w:instrText>en</w:instrText>
      </w:r>
      <w:r w:rsidR="00C22441" w:rsidRPr="002905E8">
        <w:rPr>
          <w:lang w:val="ru-RU"/>
        </w:rPr>
        <w:instrText>/</w:instrText>
      </w:r>
      <w:r w:rsidR="00C22441">
        <w:instrText>funding</w:instrText>
      </w:r>
      <w:r w:rsidR="00C22441" w:rsidRPr="002905E8">
        <w:rPr>
          <w:lang w:val="ru-RU"/>
        </w:rPr>
        <w:instrText>-</w:instrText>
      </w:r>
      <w:r w:rsidR="00C22441">
        <w:instrText>model</w:instrText>
      </w:r>
      <w:r w:rsidR="00C22441" w:rsidRPr="002905E8">
        <w:rPr>
          <w:lang w:val="ru-RU"/>
        </w:rPr>
        <w:instrText>/</w:instrText>
      </w:r>
      <w:r w:rsidR="00C22441">
        <w:instrText>applying</w:instrText>
      </w:r>
      <w:r w:rsidR="00C22441" w:rsidRPr="002905E8">
        <w:rPr>
          <w:lang w:val="ru-RU"/>
        </w:rPr>
        <w:instrText>/</w:instrText>
      </w:r>
      <w:r w:rsidR="00C22441">
        <w:instrText>resources</w:instrText>
      </w:r>
      <w:r w:rsidR="00C22441" w:rsidRPr="002905E8">
        <w:rPr>
          <w:lang w:val="ru-RU"/>
        </w:rPr>
        <w:instrText xml:space="preserve">/" </w:instrText>
      </w:r>
      <w:r w:rsidR="00C22441">
        <w:fldChar w:fldCharType="separate"/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https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://</w:t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www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.</w:t>
      </w:r>
      <w:proofErr w:type="spellStart"/>
      <w:r w:rsidR="007C727B" w:rsidRPr="00DC0DB8">
        <w:rPr>
          <w:rStyle w:val="Hyperlink"/>
          <w:rFonts w:ascii="Arial" w:hAnsi="Arial" w:cs="Arial"/>
          <w:sz w:val="14"/>
          <w:szCs w:val="14"/>
        </w:rPr>
        <w:t>theglobalfund</w:t>
      </w:r>
      <w:proofErr w:type="spellEnd"/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.</w:t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org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/</w:t>
      </w:r>
      <w:proofErr w:type="spellStart"/>
      <w:r w:rsidR="007C727B" w:rsidRPr="00DC0DB8">
        <w:rPr>
          <w:rStyle w:val="Hyperlink"/>
          <w:rFonts w:ascii="Arial" w:hAnsi="Arial" w:cs="Arial"/>
          <w:sz w:val="14"/>
          <w:szCs w:val="14"/>
        </w:rPr>
        <w:t>en</w:t>
      </w:r>
      <w:proofErr w:type="spellEnd"/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/</w:t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funding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-</w:t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model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/</w:t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applying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/</w:t>
      </w:r>
      <w:r w:rsidR="007C727B" w:rsidRPr="00DC0DB8">
        <w:rPr>
          <w:rStyle w:val="Hyperlink"/>
          <w:rFonts w:ascii="Arial" w:hAnsi="Arial" w:cs="Arial"/>
          <w:sz w:val="14"/>
          <w:szCs w:val="14"/>
        </w:rPr>
        <w:t>resources</w:t>
      </w:r>
      <w:r w:rsidR="007C727B" w:rsidRPr="00DC0DB8">
        <w:rPr>
          <w:rStyle w:val="Hyperlink"/>
          <w:rFonts w:ascii="Arial" w:hAnsi="Arial" w:cs="Arial"/>
          <w:sz w:val="14"/>
          <w:szCs w:val="14"/>
          <w:lang w:val="ru-RU"/>
        </w:rPr>
        <w:t>/</w:t>
      </w:r>
      <w:r w:rsidR="00C22441">
        <w:rPr>
          <w:rStyle w:val="Hyperlink"/>
          <w:rFonts w:ascii="Arial" w:hAnsi="Arial" w:cs="Arial"/>
          <w:sz w:val="14"/>
          <w:szCs w:val="14"/>
          <w:lang w:val="ru-RU"/>
        </w:rPr>
        <w:fldChar w:fldCharType="end"/>
      </w:r>
      <w:r w:rsidRPr="007B2ACB">
        <w:rPr>
          <w:rFonts w:ascii="Arial" w:hAnsi="Arial" w:cs="Arial"/>
          <w:sz w:val="14"/>
          <w:szCs w:val="14"/>
          <w:lang w:val="ru-RU"/>
        </w:rPr>
        <w:t xml:space="preserve">. </w:t>
      </w:r>
      <w:r w:rsidR="002C6D0D" w:rsidRPr="002C6D0D">
        <w:rPr>
          <w:rStyle w:val="tlid-translation"/>
          <w:sz w:val="12"/>
          <w:szCs w:val="12"/>
          <w:lang w:val="ru-RU"/>
        </w:rPr>
        <w:t>Каждая из четырех основных информационных заметок включает краткое резюме.</w:t>
      </w:r>
    </w:p>
  </w:footnote>
  <w:footnote w:id="4">
    <w:p w14:paraId="08356255" w14:textId="1C838E13" w:rsidR="00DE72A6" w:rsidRPr="00815DC1" w:rsidRDefault="00DE72A6" w:rsidP="00815DC1">
      <w:pPr>
        <w:pStyle w:val="NoSpacing"/>
        <w:rPr>
          <w:sz w:val="16"/>
          <w:szCs w:val="16"/>
          <w:lang w:val="ru-RU"/>
        </w:rPr>
      </w:pPr>
      <w:r w:rsidRPr="007B2ACB">
        <w:rPr>
          <w:rStyle w:val="FootnoteReference"/>
          <w:rFonts w:ascii="Arial" w:hAnsi="Arial" w:cs="Arial"/>
          <w:sz w:val="14"/>
          <w:szCs w:val="14"/>
        </w:rPr>
        <w:footnoteRef/>
      </w:r>
      <w:r w:rsidRPr="00815DC1">
        <w:rPr>
          <w:rFonts w:ascii="Arial" w:hAnsi="Arial" w:cs="Arial"/>
          <w:sz w:val="14"/>
          <w:szCs w:val="14"/>
          <w:lang w:val="ru-RU"/>
        </w:rPr>
        <w:t xml:space="preserve"> </w:t>
      </w:r>
      <w:r w:rsidR="00815DC1" w:rsidRPr="00815DC1">
        <w:rPr>
          <w:rStyle w:val="tlid-translation"/>
          <w:sz w:val="16"/>
          <w:szCs w:val="16"/>
          <w:lang w:val="ru-RU"/>
        </w:rPr>
        <w:t>Определяется из валового национального дохода (ВНД) на душу населения с использованием пороговых значений Всемирного банка по уровню дохода на 2019 год.</w:t>
      </w:r>
    </w:p>
  </w:footnote>
  <w:footnote w:id="5">
    <w:p w14:paraId="5E0BC84C" w14:textId="1B0A1E3B" w:rsidR="00670F01" w:rsidRPr="00855819" w:rsidRDefault="00670F01">
      <w:pPr>
        <w:pStyle w:val="FootnoteText"/>
        <w:rPr>
          <w:sz w:val="16"/>
          <w:szCs w:val="16"/>
          <w:lang w:val="ru-RU"/>
        </w:rPr>
      </w:pPr>
      <w:r w:rsidRPr="00855819">
        <w:rPr>
          <w:rStyle w:val="FootnoteReference"/>
          <w:sz w:val="16"/>
          <w:szCs w:val="16"/>
        </w:rPr>
        <w:footnoteRef/>
      </w:r>
      <w:r w:rsidRPr="00855819">
        <w:rPr>
          <w:sz w:val="16"/>
          <w:szCs w:val="16"/>
          <w:lang w:val="ru-RU"/>
        </w:rPr>
        <w:t xml:space="preserve"> </w:t>
      </w:r>
      <w:r w:rsidR="001852FB" w:rsidRPr="00855819">
        <w:rPr>
          <w:rStyle w:val="tlid-translation"/>
          <w:sz w:val="16"/>
          <w:szCs w:val="16"/>
          <w:lang w:val="ru-RU"/>
        </w:rPr>
        <w:t>Любое продление существующего гранта будет вы</w:t>
      </w:r>
      <w:r w:rsidR="00495996" w:rsidRPr="00855819">
        <w:rPr>
          <w:rStyle w:val="tlid-translation"/>
          <w:sz w:val="16"/>
          <w:szCs w:val="16"/>
          <w:lang w:val="ru-RU"/>
        </w:rPr>
        <w:t>с</w:t>
      </w:r>
      <w:r w:rsidR="001852FB" w:rsidRPr="00855819">
        <w:rPr>
          <w:rStyle w:val="tlid-translation"/>
          <w:sz w:val="16"/>
          <w:szCs w:val="16"/>
          <w:lang w:val="ru-RU"/>
        </w:rPr>
        <w:t>читываться из последующего периода использования ассигнований, как с точки зрения времени, так и средств, использованных в течение периода продления</w:t>
      </w:r>
      <w:r w:rsidR="000A2E51" w:rsidRPr="00855819">
        <w:rPr>
          <w:sz w:val="16"/>
          <w:szCs w:val="16"/>
          <w:lang w:val="ru-RU"/>
        </w:rPr>
        <w:t>.</w:t>
      </w:r>
    </w:p>
  </w:footnote>
  <w:footnote w:id="6">
    <w:p w14:paraId="1A8CE091" w14:textId="514FB0FD" w:rsidR="008148AF" w:rsidRPr="003A57FA" w:rsidRDefault="008148AF">
      <w:pPr>
        <w:pStyle w:val="FootnoteText"/>
        <w:rPr>
          <w:sz w:val="16"/>
          <w:szCs w:val="16"/>
          <w:lang w:val="ru-RU"/>
        </w:rPr>
      </w:pPr>
      <w:r w:rsidRPr="003A57FA">
        <w:rPr>
          <w:rStyle w:val="FootnoteReference"/>
          <w:sz w:val="16"/>
          <w:szCs w:val="16"/>
        </w:rPr>
        <w:footnoteRef/>
      </w:r>
      <w:r w:rsidRPr="003A57FA">
        <w:rPr>
          <w:sz w:val="16"/>
          <w:szCs w:val="16"/>
          <w:lang w:val="ru-RU"/>
        </w:rPr>
        <w:t xml:space="preserve"> </w:t>
      </w:r>
      <w:r w:rsidR="00C22441">
        <w:fldChar w:fldCharType="begin"/>
      </w:r>
      <w:r w:rsidR="00C22441" w:rsidRPr="002905E8">
        <w:rPr>
          <w:lang w:val="ru-RU"/>
        </w:rPr>
        <w:instrText xml:space="preserve"> </w:instrText>
      </w:r>
      <w:r w:rsidR="00C22441">
        <w:instrText>HYPERLINK</w:instrText>
      </w:r>
      <w:r w:rsidR="00C22441" w:rsidRPr="002905E8">
        <w:rPr>
          <w:lang w:val="ru-RU"/>
        </w:rPr>
        <w:instrText xml:space="preserve"> "</w:instrText>
      </w:r>
      <w:r w:rsidR="00C22441">
        <w:instrText>https</w:instrText>
      </w:r>
      <w:r w:rsidR="00C22441" w:rsidRPr="002905E8">
        <w:rPr>
          <w:lang w:val="ru-RU"/>
        </w:rPr>
        <w:instrText>://</w:instrText>
      </w:r>
      <w:r w:rsidR="00C22441">
        <w:instrText>www</w:instrText>
      </w:r>
      <w:r w:rsidR="00C22441" w:rsidRPr="002905E8">
        <w:rPr>
          <w:lang w:val="ru-RU"/>
        </w:rPr>
        <w:instrText>.</w:instrText>
      </w:r>
      <w:r w:rsidR="00C22441">
        <w:instrText>theglobalfund</w:instrText>
      </w:r>
      <w:r w:rsidR="00C22441" w:rsidRPr="002905E8">
        <w:rPr>
          <w:lang w:val="ru-RU"/>
        </w:rPr>
        <w:instrText>.</w:instrText>
      </w:r>
      <w:r w:rsidR="00C22441">
        <w:instrText>org</w:instrText>
      </w:r>
      <w:r w:rsidR="00C22441" w:rsidRPr="002905E8">
        <w:rPr>
          <w:lang w:val="ru-RU"/>
        </w:rPr>
        <w:instrText>/</w:instrText>
      </w:r>
      <w:r w:rsidR="00C22441">
        <w:instrText>en</w:instrText>
      </w:r>
      <w:r w:rsidR="00C22441" w:rsidRPr="002905E8">
        <w:rPr>
          <w:lang w:val="ru-RU"/>
        </w:rPr>
        <w:instrText>/</w:instrText>
      </w:r>
      <w:r w:rsidR="00C22441">
        <w:instrText>funding</w:instrText>
      </w:r>
      <w:r w:rsidR="00C22441" w:rsidRPr="002905E8">
        <w:rPr>
          <w:lang w:val="ru-RU"/>
        </w:rPr>
        <w:instrText>-</w:instrText>
      </w:r>
      <w:r w:rsidR="00C22441">
        <w:instrText>model</w:instrText>
      </w:r>
      <w:r w:rsidR="00C22441" w:rsidRPr="002905E8">
        <w:rPr>
          <w:lang w:val="ru-RU"/>
        </w:rPr>
        <w:instrText>/</w:instrText>
      </w:r>
      <w:r w:rsidR="00C22441">
        <w:instrText>applying</w:instrText>
      </w:r>
      <w:r w:rsidR="00C22441" w:rsidRPr="002905E8">
        <w:rPr>
          <w:lang w:val="ru-RU"/>
        </w:rPr>
        <w:instrText>/</w:instrText>
      </w:r>
      <w:r w:rsidR="00C22441">
        <w:instrText>resources</w:instrText>
      </w:r>
      <w:r w:rsidR="00C22441" w:rsidRPr="002905E8">
        <w:rPr>
          <w:lang w:val="ru-RU"/>
        </w:rPr>
        <w:instrText xml:space="preserve">/" </w:instrText>
      </w:r>
      <w:r w:rsidR="00C22441">
        <w:fldChar w:fldCharType="separate"/>
      </w:r>
      <w:r w:rsidR="00815DC1" w:rsidRPr="00DC0DB8">
        <w:rPr>
          <w:rStyle w:val="Hyperlink"/>
          <w:sz w:val="16"/>
          <w:szCs w:val="16"/>
        </w:rPr>
        <w:t>https</w:t>
      </w:r>
      <w:r w:rsidR="00815DC1" w:rsidRPr="00DC0DB8">
        <w:rPr>
          <w:rStyle w:val="Hyperlink"/>
          <w:sz w:val="16"/>
          <w:szCs w:val="16"/>
          <w:lang w:val="ru-RU"/>
        </w:rPr>
        <w:t>://</w:t>
      </w:r>
      <w:r w:rsidR="00815DC1" w:rsidRPr="00DC0DB8">
        <w:rPr>
          <w:rStyle w:val="Hyperlink"/>
          <w:sz w:val="16"/>
          <w:szCs w:val="16"/>
        </w:rPr>
        <w:t>www</w:t>
      </w:r>
      <w:r w:rsidR="00815DC1" w:rsidRPr="00DC0DB8">
        <w:rPr>
          <w:rStyle w:val="Hyperlink"/>
          <w:sz w:val="16"/>
          <w:szCs w:val="16"/>
          <w:lang w:val="ru-RU"/>
        </w:rPr>
        <w:t>.</w:t>
      </w:r>
      <w:proofErr w:type="spellStart"/>
      <w:r w:rsidR="00815DC1" w:rsidRPr="00DC0DB8">
        <w:rPr>
          <w:rStyle w:val="Hyperlink"/>
          <w:sz w:val="16"/>
          <w:szCs w:val="16"/>
        </w:rPr>
        <w:t>theglobalfund</w:t>
      </w:r>
      <w:proofErr w:type="spellEnd"/>
      <w:r w:rsidR="00815DC1" w:rsidRPr="00DC0DB8">
        <w:rPr>
          <w:rStyle w:val="Hyperlink"/>
          <w:sz w:val="16"/>
          <w:szCs w:val="16"/>
          <w:lang w:val="ru-RU"/>
        </w:rPr>
        <w:t>.</w:t>
      </w:r>
      <w:r w:rsidR="00815DC1" w:rsidRPr="00DC0DB8">
        <w:rPr>
          <w:rStyle w:val="Hyperlink"/>
          <w:sz w:val="16"/>
          <w:szCs w:val="16"/>
        </w:rPr>
        <w:t>org</w:t>
      </w:r>
      <w:r w:rsidR="00815DC1" w:rsidRPr="00DC0DB8">
        <w:rPr>
          <w:rStyle w:val="Hyperlink"/>
          <w:sz w:val="16"/>
          <w:szCs w:val="16"/>
          <w:lang w:val="ru-RU"/>
        </w:rPr>
        <w:t>/</w:t>
      </w:r>
      <w:proofErr w:type="spellStart"/>
      <w:r w:rsidR="00815DC1" w:rsidRPr="00DC0DB8">
        <w:rPr>
          <w:rStyle w:val="Hyperlink"/>
          <w:sz w:val="16"/>
          <w:szCs w:val="16"/>
        </w:rPr>
        <w:t>en</w:t>
      </w:r>
      <w:proofErr w:type="spellEnd"/>
      <w:r w:rsidR="00815DC1" w:rsidRPr="00DC0DB8">
        <w:rPr>
          <w:rStyle w:val="Hyperlink"/>
          <w:sz w:val="16"/>
          <w:szCs w:val="16"/>
          <w:lang w:val="ru-RU"/>
        </w:rPr>
        <w:t>/</w:t>
      </w:r>
      <w:r w:rsidR="00815DC1" w:rsidRPr="00DC0DB8">
        <w:rPr>
          <w:rStyle w:val="Hyperlink"/>
          <w:sz w:val="16"/>
          <w:szCs w:val="16"/>
        </w:rPr>
        <w:t>funding</w:t>
      </w:r>
      <w:r w:rsidR="00815DC1" w:rsidRPr="00DC0DB8">
        <w:rPr>
          <w:rStyle w:val="Hyperlink"/>
          <w:sz w:val="16"/>
          <w:szCs w:val="16"/>
          <w:lang w:val="ru-RU"/>
        </w:rPr>
        <w:t>-</w:t>
      </w:r>
      <w:r w:rsidR="00815DC1" w:rsidRPr="00DC0DB8">
        <w:rPr>
          <w:rStyle w:val="Hyperlink"/>
          <w:sz w:val="16"/>
          <w:szCs w:val="16"/>
        </w:rPr>
        <w:t>model</w:t>
      </w:r>
      <w:r w:rsidR="00815DC1" w:rsidRPr="00DC0DB8">
        <w:rPr>
          <w:rStyle w:val="Hyperlink"/>
          <w:sz w:val="16"/>
          <w:szCs w:val="16"/>
          <w:lang w:val="ru-RU"/>
        </w:rPr>
        <w:t>/</w:t>
      </w:r>
      <w:r w:rsidR="00815DC1" w:rsidRPr="00DC0DB8">
        <w:rPr>
          <w:rStyle w:val="Hyperlink"/>
          <w:sz w:val="16"/>
          <w:szCs w:val="16"/>
        </w:rPr>
        <w:t>applying</w:t>
      </w:r>
      <w:r w:rsidR="00815DC1" w:rsidRPr="00DC0DB8">
        <w:rPr>
          <w:rStyle w:val="Hyperlink"/>
          <w:sz w:val="16"/>
          <w:szCs w:val="16"/>
          <w:lang w:val="ru-RU"/>
        </w:rPr>
        <w:t>/</w:t>
      </w:r>
      <w:r w:rsidR="00815DC1" w:rsidRPr="00DC0DB8">
        <w:rPr>
          <w:rStyle w:val="Hyperlink"/>
          <w:sz w:val="16"/>
          <w:szCs w:val="16"/>
        </w:rPr>
        <w:t>resources</w:t>
      </w:r>
      <w:r w:rsidR="00815DC1" w:rsidRPr="00DC0DB8">
        <w:rPr>
          <w:rStyle w:val="Hyperlink"/>
          <w:sz w:val="16"/>
          <w:szCs w:val="16"/>
          <w:lang w:val="ru-RU"/>
        </w:rPr>
        <w:t>/</w:t>
      </w:r>
      <w:r w:rsidR="00C22441">
        <w:rPr>
          <w:rStyle w:val="Hyperlink"/>
          <w:sz w:val="16"/>
          <w:szCs w:val="16"/>
          <w:lang w:val="ru-RU"/>
        </w:rPr>
        <w:fldChar w:fldCharType="end"/>
      </w:r>
      <w:r w:rsidR="00815DC1">
        <w:rPr>
          <w:sz w:val="16"/>
          <w:szCs w:val="16"/>
          <w:lang w:val="ru-RU"/>
        </w:rPr>
        <w:t xml:space="preserve"> </w:t>
      </w:r>
      <w:r w:rsidR="00BA2513" w:rsidRPr="003A57FA">
        <w:rPr>
          <w:sz w:val="16"/>
          <w:szCs w:val="16"/>
          <w:lang w:val="ru-RU"/>
        </w:rPr>
        <w:t xml:space="preserve">  </w:t>
      </w:r>
    </w:p>
  </w:footnote>
  <w:footnote w:id="7">
    <w:p w14:paraId="791DBB69" w14:textId="2EC2A4E6" w:rsidR="00BA2513" w:rsidRPr="003A57FA" w:rsidRDefault="00BA2513">
      <w:pPr>
        <w:pStyle w:val="FootnoteText"/>
        <w:rPr>
          <w:sz w:val="16"/>
          <w:szCs w:val="16"/>
          <w:lang w:val="ru-RU"/>
        </w:rPr>
      </w:pPr>
      <w:r w:rsidRPr="003A57FA">
        <w:rPr>
          <w:rStyle w:val="FootnoteReference"/>
          <w:sz w:val="16"/>
          <w:szCs w:val="16"/>
        </w:rPr>
        <w:footnoteRef/>
      </w:r>
      <w:r w:rsidRPr="003A57FA">
        <w:rPr>
          <w:sz w:val="16"/>
          <w:szCs w:val="16"/>
          <w:lang w:val="ru-RU"/>
        </w:rPr>
        <w:t xml:space="preserve"> </w:t>
      </w:r>
      <w:r w:rsidR="00C22441">
        <w:fldChar w:fldCharType="begin"/>
      </w:r>
      <w:r w:rsidR="00C22441" w:rsidRPr="002905E8">
        <w:rPr>
          <w:lang w:val="ru-RU"/>
        </w:rPr>
        <w:instrText xml:space="preserve"> </w:instrText>
      </w:r>
      <w:r w:rsidR="00C22441">
        <w:instrText>HYPERLINK</w:instrText>
      </w:r>
      <w:r w:rsidR="00C22441" w:rsidRPr="002905E8">
        <w:rPr>
          <w:lang w:val="ru-RU"/>
        </w:rPr>
        <w:instrText xml:space="preserve"> "</w:instrText>
      </w:r>
      <w:r w:rsidR="00C22441">
        <w:instrText>https</w:instrText>
      </w:r>
      <w:r w:rsidR="00C22441" w:rsidRPr="002905E8">
        <w:rPr>
          <w:lang w:val="ru-RU"/>
        </w:rPr>
        <w:instrText>://</w:instrText>
      </w:r>
      <w:r w:rsidR="00C22441">
        <w:instrText>www</w:instrText>
      </w:r>
      <w:r w:rsidR="00C22441" w:rsidRPr="002905E8">
        <w:rPr>
          <w:lang w:val="ru-RU"/>
        </w:rPr>
        <w:instrText>.</w:instrText>
      </w:r>
      <w:r w:rsidR="00C22441">
        <w:instrText>theglobalfund</w:instrText>
      </w:r>
      <w:r w:rsidR="00C22441" w:rsidRPr="002905E8">
        <w:rPr>
          <w:lang w:val="ru-RU"/>
        </w:rPr>
        <w:instrText>.</w:instrText>
      </w:r>
      <w:r w:rsidR="00C22441">
        <w:instrText>org</w:instrText>
      </w:r>
      <w:r w:rsidR="00C22441" w:rsidRPr="002905E8">
        <w:rPr>
          <w:lang w:val="ru-RU"/>
        </w:rPr>
        <w:instrText>/</w:instrText>
      </w:r>
      <w:r w:rsidR="00C22441">
        <w:instrText>en</w:instrText>
      </w:r>
      <w:r w:rsidR="00C22441" w:rsidRPr="002905E8">
        <w:rPr>
          <w:lang w:val="ru-RU"/>
        </w:rPr>
        <w:instrText>/</w:instrText>
      </w:r>
      <w:r w:rsidR="00C22441">
        <w:instrText>funding</w:instrText>
      </w:r>
      <w:r w:rsidR="00C22441" w:rsidRPr="002905E8">
        <w:rPr>
          <w:lang w:val="ru-RU"/>
        </w:rPr>
        <w:instrText>-</w:instrText>
      </w:r>
      <w:r w:rsidR="00C22441">
        <w:instrText>model</w:instrText>
      </w:r>
      <w:r w:rsidR="00C22441" w:rsidRPr="002905E8">
        <w:rPr>
          <w:lang w:val="ru-RU"/>
        </w:rPr>
        <w:instrText>/</w:instrText>
      </w:r>
      <w:r w:rsidR="00C22441">
        <w:instrText>applying</w:instrText>
      </w:r>
      <w:r w:rsidR="00C22441" w:rsidRPr="002905E8">
        <w:rPr>
          <w:lang w:val="ru-RU"/>
        </w:rPr>
        <w:instrText>/</w:instrText>
      </w:r>
      <w:r w:rsidR="00C22441">
        <w:instrText>resources</w:instrText>
      </w:r>
      <w:r w:rsidR="00C22441" w:rsidRPr="002905E8">
        <w:rPr>
          <w:lang w:val="ru-RU"/>
        </w:rPr>
        <w:instrText xml:space="preserve">/" </w:instrText>
      </w:r>
      <w:r w:rsidR="00C22441">
        <w:fldChar w:fldCharType="separate"/>
      </w:r>
      <w:r w:rsidR="00815DC1" w:rsidRPr="00DC0DB8">
        <w:rPr>
          <w:rStyle w:val="Hyperlink"/>
          <w:sz w:val="16"/>
          <w:szCs w:val="16"/>
        </w:rPr>
        <w:t>https</w:t>
      </w:r>
      <w:r w:rsidR="00815DC1" w:rsidRPr="00DC0DB8">
        <w:rPr>
          <w:rStyle w:val="Hyperlink"/>
          <w:sz w:val="16"/>
          <w:szCs w:val="16"/>
          <w:lang w:val="ru-RU"/>
        </w:rPr>
        <w:t>://</w:t>
      </w:r>
      <w:r w:rsidR="00815DC1" w:rsidRPr="00DC0DB8">
        <w:rPr>
          <w:rStyle w:val="Hyperlink"/>
          <w:sz w:val="16"/>
          <w:szCs w:val="16"/>
        </w:rPr>
        <w:t>www</w:t>
      </w:r>
      <w:r w:rsidR="00815DC1" w:rsidRPr="00DC0DB8">
        <w:rPr>
          <w:rStyle w:val="Hyperlink"/>
          <w:sz w:val="16"/>
          <w:szCs w:val="16"/>
          <w:lang w:val="ru-RU"/>
        </w:rPr>
        <w:t>.</w:t>
      </w:r>
      <w:proofErr w:type="spellStart"/>
      <w:r w:rsidR="00815DC1" w:rsidRPr="00DC0DB8">
        <w:rPr>
          <w:rStyle w:val="Hyperlink"/>
          <w:sz w:val="16"/>
          <w:szCs w:val="16"/>
        </w:rPr>
        <w:t>theglobalfund</w:t>
      </w:r>
      <w:proofErr w:type="spellEnd"/>
      <w:r w:rsidR="00815DC1" w:rsidRPr="00DC0DB8">
        <w:rPr>
          <w:rStyle w:val="Hyperlink"/>
          <w:sz w:val="16"/>
          <w:szCs w:val="16"/>
          <w:lang w:val="ru-RU"/>
        </w:rPr>
        <w:t>.</w:t>
      </w:r>
      <w:r w:rsidR="00815DC1" w:rsidRPr="00DC0DB8">
        <w:rPr>
          <w:rStyle w:val="Hyperlink"/>
          <w:sz w:val="16"/>
          <w:szCs w:val="16"/>
        </w:rPr>
        <w:t>org</w:t>
      </w:r>
      <w:r w:rsidR="00815DC1" w:rsidRPr="00DC0DB8">
        <w:rPr>
          <w:rStyle w:val="Hyperlink"/>
          <w:sz w:val="16"/>
          <w:szCs w:val="16"/>
          <w:lang w:val="ru-RU"/>
        </w:rPr>
        <w:t>/</w:t>
      </w:r>
      <w:proofErr w:type="spellStart"/>
      <w:r w:rsidR="00815DC1" w:rsidRPr="00DC0DB8">
        <w:rPr>
          <w:rStyle w:val="Hyperlink"/>
          <w:sz w:val="16"/>
          <w:szCs w:val="16"/>
        </w:rPr>
        <w:t>en</w:t>
      </w:r>
      <w:proofErr w:type="spellEnd"/>
      <w:r w:rsidR="00815DC1" w:rsidRPr="00DC0DB8">
        <w:rPr>
          <w:rStyle w:val="Hyperlink"/>
          <w:sz w:val="16"/>
          <w:szCs w:val="16"/>
          <w:lang w:val="ru-RU"/>
        </w:rPr>
        <w:t>/</w:t>
      </w:r>
      <w:r w:rsidR="00815DC1" w:rsidRPr="00DC0DB8">
        <w:rPr>
          <w:rStyle w:val="Hyperlink"/>
          <w:sz w:val="16"/>
          <w:szCs w:val="16"/>
        </w:rPr>
        <w:t>funding</w:t>
      </w:r>
      <w:r w:rsidR="00815DC1" w:rsidRPr="00DC0DB8">
        <w:rPr>
          <w:rStyle w:val="Hyperlink"/>
          <w:sz w:val="16"/>
          <w:szCs w:val="16"/>
          <w:lang w:val="ru-RU"/>
        </w:rPr>
        <w:t>-</w:t>
      </w:r>
      <w:r w:rsidR="00815DC1" w:rsidRPr="00DC0DB8">
        <w:rPr>
          <w:rStyle w:val="Hyperlink"/>
          <w:sz w:val="16"/>
          <w:szCs w:val="16"/>
        </w:rPr>
        <w:t>model</w:t>
      </w:r>
      <w:r w:rsidR="00815DC1" w:rsidRPr="00DC0DB8">
        <w:rPr>
          <w:rStyle w:val="Hyperlink"/>
          <w:sz w:val="16"/>
          <w:szCs w:val="16"/>
          <w:lang w:val="ru-RU"/>
        </w:rPr>
        <w:t>/</w:t>
      </w:r>
      <w:r w:rsidR="00815DC1" w:rsidRPr="00DC0DB8">
        <w:rPr>
          <w:rStyle w:val="Hyperlink"/>
          <w:sz w:val="16"/>
          <w:szCs w:val="16"/>
        </w:rPr>
        <w:t>applying</w:t>
      </w:r>
      <w:r w:rsidR="00815DC1" w:rsidRPr="00DC0DB8">
        <w:rPr>
          <w:rStyle w:val="Hyperlink"/>
          <w:sz w:val="16"/>
          <w:szCs w:val="16"/>
          <w:lang w:val="ru-RU"/>
        </w:rPr>
        <w:t>/</w:t>
      </w:r>
      <w:r w:rsidR="00815DC1" w:rsidRPr="00DC0DB8">
        <w:rPr>
          <w:rStyle w:val="Hyperlink"/>
          <w:sz w:val="16"/>
          <w:szCs w:val="16"/>
        </w:rPr>
        <w:t>resources</w:t>
      </w:r>
      <w:r w:rsidR="00815DC1" w:rsidRPr="00DC0DB8">
        <w:rPr>
          <w:rStyle w:val="Hyperlink"/>
          <w:sz w:val="16"/>
          <w:szCs w:val="16"/>
          <w:lang w:val="ru-RU"/>
        </w:rPr>
        <w:t>/</w:t>
      </w:r>
      <w:r w:rsidR="00C22441">
        <w:rPr>
          <w:rStyle w:val="Hyperlink"/>
          <w:sz w:val="16"/>
          <w:szCs w:val="16"/>
          <w:lang w:val="ru-RU"/>
        </w:rPr>
        <w:fldChar w:fldCharType="end"/>
      </w:r>
      <w:r w:rsidR="00815DC1">
        <w:rPr>
          <w:sz w:val="16"/>
          <w:szCs w:val="16"/>
          <w:lang w:val="ru-RU"/>
        </w:rPr>
        <w:t xml:space="preserve"> </w:t>
      </w:r>
      <w:r w:rsidRPr="003A57FA">
        <w:rPr>
          <w:sz w:val="16"/>
          <w:szCs w:val="16"/>
          <w:lang w:val="ru-RU"/>
        </w:rPr>
        <w:t xml:space="preserve">  </w:t>
      </w:r>
    </w:p>
  </w:footnote>
  <w:footnote w:id="8">
    <w:p w14:paraId="1DEEC527" w14:textId="00C71207" w:rsidR="00866679" w:rsidRPr="00815DC1" w:rsidRDefault="00866679" w:rsidP="00866679">
      <w:pPr>
        <w:pStyle w:val="FootnoteText"/>
        <w:rPr>
          <w:sz w:val="16"/>
          <w:szCs w:val="16"/>
          <w:lang w:val="ru-RU"/>
        </w:rPr>
      </w:pPr>
      <w:r w:rsidRPr="003A57FA">
        <w:rPr>
          <w:rStyle w:val="FootnoteReference"/>
          <w:sz w:val="16"/>
          <w:szCs w:val="16"/>
        </w:rPr>
        <w:footnoteRef/>
      </w:r>
      <w:r w:rsidRPr="003A57FA">
        <w:rPr>
          <w:sz w:val="16"/>
          <w:szCs w:val="16"/>
          <w:lang w:val="ru-RU"/>
        </w:rPr>
        <w:t xml:space="preserve"> </w:t>
      </w:r>
      <w:r w:rsidR="00C22441">
        <w:fldChar w:fldCharType="begin"/>
      </w:r>
      <w:r w:rsidR="00C22441" w:rsidRPr="002905E8">
        <w:rPr>
          <w:lang w:val="ru-RU"/>
        </w:rPr>
        <w:instrText xml:space="preserve"> </w:instrText>
      </w:r>
      <w:r w:rsidR="00C22441">
        <w:instrText>HYPERLINK</w:instrText>
      </w:r>
      <w:r w:rsidR="00C22441" w:rsidRPr="002905E8">
        <w:rPr>
          <w:lang w:val="ru-RU"/>
        </w:rPr>
        <w:instrText xml:space="preserve"> "</w:instrText>
      </w:r>
      <w:r w:rsidR="00C22441">
        <w:instrText>https</w:instrText>
      </w:r>
      <w:r w:rsidR="00C22441" w:rsidRPr="002905E8">
        <w:rPr>
          <w:lang w:val="ru-RU"/>
        </w:rPr>
        <w:instrText>://</w:instrText>
      </w:r>
      <w:r w:rsidR="00C22441">
        <w:instrText>www</w:instrText>
      </w:r>
      <w:r w:rsidR="00C22441" w:rsidRPr="002905E8">
        <w:rPr>
          <w:lang w:val="ru-RU"/>
        </w:rPr>
        <w:instrText>.</w:instrText>
      </w:r>
      <w:r w:rsidR="00C22441">
        <w:instrText>theglobalfund</w:instrText>
      </w:r>
      <w:r w:rsidR="00C22441" w:rsidRPr="002905E8">
        <w:rPr>
          <w:lang w:val="ru-RU"/>
        </w:rPr>
        <w:instrText>.</w:instrText>
      </w:r>
      <w:r w:rsidR="00C22441">
        <w:instrText>org</w:instrText>
      </w:r>
      <w:r w:rsidR="00C22441" w:rsidRPr="002905E8">
        <w:rPr>
          <w:lang w:val="ru-RU"/>
        </w:rPr>
        <w:instrText>/</w:instrText>
      </w:r>
      <w:r w:rsidR="00C22441">
        <w:instrText>media</w:instrText>
      </w:r>
      <w:r w:rsidR="00C22441" w:rsidRPr="002905E8">
        <w:rPr>
          <w:lang w:val="ru-RU"/>
        </w:rPr>
        <w:instrText>/4221/</w:instrText>
      </w:r>
      <w:r w:rsidR="00C22441">
        <w:instrText>bm</w:instrText>
      </w:r>
      <w:r w:rsidR="00C22441" w:rsidRPr="002905E8">
        <w:rPr>
          <w:lang w:val="ru-RU"/>
        </w:rPr>
        <w:instrText>35_04-</w:instrText>
      </w:r>
      <w:r w:rsidR="00C22441">
        <w:instrText>sustainabilitytransitionandcofinancing</w:instrText>
      </w:r>
      <w:r w:rsidR="00C22441" w:rsidRPr="002905E8">
        <w:rPr>
          <w:lang w:val="ru-RU"/>
        </w:rPr>
        <w:instrText>_</w:instrText>
      </w:r>
      <w:r w:rsidR="00C22441">
        <w:instrText>p</w:instrText>
      </w:r>
      <w:r w:rsidR="00C22441">
        <w:instrText>olicy</w:instrText>
      </w:r>
      <w:r w:rsidR="00C22441" w:rsidRPr="002905E8">
        <w:rPr>
          <w:lang w:val="ru-RU"/>
        </w:rPr>
        <w:instrText>_</w:instrText>
      </w:r>
      <w:r w:rsidR="00C22441">
        <w:instrText>en</w:instrText>
      </w:r>
      <w:r w:rsidR="00C22441" w:rsidRPr="002905E8">
        <w:rPr>
          <w:lang w:val="ru-RU"/>
        </w:rPr>
        <w:instrText>.</w:instrText>
      </w:r>
      <w:r w:rsidR="00C22441">
        <w:instrText>pdf</w:instrText>
      </w:r>
      <w:r w:rsidR="00C22441" w:rsidRPr="002905E8">
        <w:rPr>
          <w:lang w:val="ru-RU"/>
        </w:rPr>
        <w:instrText xml:space="preserve">" </w:instrText>
      </w:r>
      <w:r w:rsidR="00C22441">
        <w:fldChar w:fldCharType="separate"/>
      </w:r>
      <w:r w:rsidR="00815DC1" w:rsidRPr="00DC0DB8">
        <w:rPr>
          <w:rStyle w:val="Hyperlink"/>
          <w:sz w:val="16"/>
          <w:szCs w:val="16"/>
        </w:rPr>
        <w:t>https</w:t>
      </w:r>
      <w:r w:rsidR="00815DC1" w:rsidRPr="00DC0DB8">
        <w:rPr>
          <w:rStyle w:val="Hyperlink"/>
          <w:sz w:val="16"/>
          <w:szCs w:val="16"/>
          <w:lang w:val="ru-RU"/>
        </w:rPr>
        <w:t>://</w:t>
      </w:r>
      <w:r w:rsidR="00815DC1" w:rsidRPr="00DC0DB8">
        <w:rPr>
          <w:rStyle w:val="Hyperlink"/>
          <w:sz w:val="16"/>
          <w:szCs w:val="16"/>
        </w:rPr>
        <w:t>www</w:t>
      </w:r>
      <w:r w:rsidR="00815DC1" w:rsidRPr="00DC0DB8">
        <w:rPr>
          <w:rStyle w:val="Hyperlink"/>
          <w:sz w:val="16"/>
          <w:szCs w:val="16"/>
          <w:lang w:val="ru-RU"/>
        </w:rPr>
        <w:t>.</w:t>
      </w:r>
      <w:proofErr w:type="spellStart"/>
      <w:r w:rsidR="00815DC1" w:rsidRPr="00DC0DB8">
        <w:rPr>
          <w:rStyle w:val="Hyperlink"/>
          <w:sz w:val="16"/>
          <w:szCs w:val="16"/>
        </w:rPr>
        <w:t>theglobalfund</w:t>
      </w:r>
      <w:proofErr w:type="spellEnd"/>
      <w:r w:rsidR="00815DC1" w:rsidRPr="00DC0DB8">
        <w:rPr>
          <w:rStyle w:val="Hyperlink"/>
          <w:sz w:val="16"/>
          <w:szCs w:val="16"/>
          <w:lang w:val="ru-RU"/>
        </w:rPr>
        <w:t>.</w:t>
      </w:r>
      <w:r w:rsidR="00815DC1" w:rsidRPr="00DC0DB8">
        <w:rPr>
          <w:rStyle w:val="Hyperlink"/>
          <w:sz w:val="16"/>
          <w:szCs w:val="16"/>
        </w:rPr>
        <w:t>org</w:t>
      </w:r>
      <w:r w:rsidR="00815DC1" w:rsidRPr="00DC0DB8">
        <w:rPr>
          <w:rStyle w:val="Hyperlink"/>
          <w:sz w:val="16"/>
          <w:szCs w:val="16"/>
          <w:lang w:val="ru-RU"/>
        </w:rPr>
        <w:t>/</w:t>
      </w:r>
      <w:r w:rsidR="00815DC1" w:rsidRPr="00DC0DB8">
        <w:rPr>
          <w:rStyle w:val="Hyperlink"/>
          <w:sz w:val="16"/>
          <w:szCs w:val="16"/>
        </w:rPr>
        <w:t>media</w:t>
      </w:r>
      <w:r w:rsidR="00815DC1" w:rsidRPr="00DC0DB8">
        <w:rPr>
          <w:rStyle w:val="Hyperlink"/>
          <w:sz w:val="16"/>
          <w:szCs w:val="16"/>
          <w:lang w:val="ru-RU"/>
        </w:rPr>
        <w:t>/4221/</w:t>
      </w:r>
      <w:proofErr w:type="spellStart"/>
      <w:r w:rsidR="00815DC1" w:rsidRPr="00DC0DB8">
        <w:rPr>
          <w:rStyle w:val="Hyperlink"/>
          <w:sz w:val="16"/>
          <w:szCs w:val="16"/>
        </w:rPr>
        <w:t>bm</w:t>
      </w:r>
      <w:proofErr w:type="spellEnd"/>
      <w:r w:rsidR="00815DC1" w:rsidRPr="00DC0DB8">
        <w:rPr>
          <w:rStyle w:val="Hyperlink"/>
          <w:sz w:val="16"/>
          <w:szCs w:val="16"/>
          <w:lang w:val="ru-RU"/>
        </w:rPr>
        <w:t>35_04-</w:t>
      </w:r>
      <w:proofErr w:type="spellStart"/>
      <w:r w:rsidR="00815DC1" w:rsidRPr="00DC0DB8">
        <w:rPr>
          <w:rStyle w:val="Hyperlink"/>
          <w:sz w:val="16"/>
          <w:szCs w:val="16"/>
        </w:rPr>
        <w:t>sustainabilitytransitionandcofinancing</w:t>
      </w:r>
      <w:proofErr w:type="spellEnd"/>
      <w:r w:rsidR="00815DC1" w:rsidRPr="00DC0DB8">
        <w:rPr>
          <w:rStyle w:val="Hyperlink"/>
          <w:sz w:val="16"/>
          <w:szCs w:val="16"/>
          <w:lang w:val="ru-RU"/>
        </w:rPr>
        <w:t>_</w:t>
      </w:r>
      <w:r w:rsidR="00815DC1" w:rsidRPr="00DC0DB8">
        <w:rPr>
          <w:rStyle w:val="Hyperlink"/>
          <w:sz w:val="16"/>
          <w:szCs w:val="16"/>
        </w:rPr>
        <w:t>policy</w:t>
      </w:r>
      <w:r w:rsidR="00815DC1" w:rsidRPr="00DC0DB8">
        <w:rPr>
          <w:rStyle w:val="Hyperlink"/>
          <w:sz w:val="16"/>
          <w:szCs w:val="16"/>
          <w:lang w:val="ru-RU"/>
        </w:rPr>
        <w:t>_</w:t>
      </w:r>
      <w:proofErr w:type="spellStart"/>
      <w:r w:rsidR="00815DC1" w:rsidRPr="00DC0DB8">
        <w:rPr>
          <w:rStyle w:val="Hyperlink"/>
          <w:sz w:val="16"/>
          <w:szCs w:val="16"/>
        </w:rPr>
        <w:t>en</w:t>
      </w:r>
      <w:proofErr w:type="spellEnd"/>
      <w:r w:rsidR="00815DC1" w:rsidRPr="00DC0DB8">
        <w:rPr>
          <w:rStyle w:val="Hyperlink"/>
          <w:sz w:val="16"/>
          <w:szCs w:val="16"/>
          <w:lang w:val="ru-RU"/>
        </w:rPr>
        <w:t>.</w:t>
      </w:r>
      <w:r w:rsidR="00815DC1" w:rsidRPr="00DC0DB8">
        <w:rPr>
          <w:rStyle w:val="Hyperlink"/>
          <w:sz w:val="16"/>
          <w:szCs w:val="16"/>
        </w:rPr>
        <w:t>pdf</w:t>
      </w:r>
      <w:r w:rsidR="00C22441">
        <w:rPr>
          <w:rStyle w:val="Hyperlink"/>
          <w:sz w:val="16"/>
          <w:szCs w:val="16"/>
        </w:rPr>
        <w:fldChar w:fldCharType="end"/>
      </w:r>
      <w:r w:rsidR="00815DC1">
        <w:rPr>
          <w:sz w:val="16"/>
          <w:szCs w:val="16"/>
          <w:lang w:val="ru-RU"/>
        </w:rPr>
        <w:t xml:space="preserve"> </w:t>
      </w:r>
    </w:p>
    <w:p w14:paraId="6C0E384A" w14:textId="24B19A2A" w:rsidR="00866679" w:rsidRDefault="00866679" w:rsidP="00866679">
      <w:pPr>
        <w:pStyle w:val="FootnoteText"/>
        <w:rPr>
          <w:lang w:val="ru-RU"/>
        </w:rPr>
      </w:pPr>
    </w:p>
    <w:p w14:paraId="4C73F47B" w14:textId="78BB8FF0" w:rsidR="004D6BC2" w:rsidRDefault="004D6BC2" w:rsidP="00866679">
      <w:pPr>
        <w:pStyle w:val="FootnoteText"/>
        <w:rPr>
          <w:lang w:val="ru-RU"/>
        </w:rPr>
      </w:pPr>
    </w:p>
    <w:p w14:paraId="4E8DF3D5" w14:textId="36CFFFC8" w:rsidR="00455485" w:rsidRDefault="00455485" w:rsidP="00866679">
      <w:pPr>
        <w:pStyle w:val="FootnoteText"/>
        <w:rPr>
          <w:lang w:val="ru-RU"/>
        </w:rPr>
      </w:pPr>
    </w:p>
    <w:p w14:paraId="6494677B" w14:textId="77777777" w:rsidR="00455485" w:rsidRPr="00D02DD3" w:rsidRDefault="00455485" w:rsidP="00866679">
      <w:pPr>
        <w:pStyle w:val="FootnoteText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30"/>
    <w:rsid w:val="0000346B"/>
    <w:rsid w:val="00004750"/>
    <w:rsid w:val="00010EE7"/>
    <w:rsid w:val="000364ED"/>
    <w:rsid w:val="00037424"/>
    <w:rsid w:val="00064BEB"/>
    <w:rsid w:val="000A2E51"/>
    <w:rsid w:val="000B4697"/>
    <w:rsid w:val="00102387"/>
    <w:rsid w:val="0014306A"/>
    <w:rsid w:val="00182AF3"/>
    <w:rsid w:val="00184742"/>
    <w:rsid w:val="001852FB"/>
    <w:rsid w:val="001F08C9"/>
    <w:rsid w:val="001F7AD5"/>
    <w:rsid w:val="00210B1E"/>
    <w:rsid w:val="00211D94"/>
    <w:rsid w:val="00216CFD"/>
    <w:rsid w:val="00223DCC"/>
    <w:rsid w:val="002513B7"/>
    <w:rsid w:val="002905E8"/>
    <w:rsid w:val="002956F1"/>
    <w:rsid w:val="002978E0"/>
    <w:rsid w:val="002C6D0D"/>
    <w:rsid w:val="00326170"/>
    <w:rsid w:val="003265C2"/>
    <w:rsid w:val="00343E20"/>
    <w:rsid w:val="003449E2"/>
    <w:rsid w:val="00376E06"/>
    <w:rsid w:val="00391839"/>
    <w:rsid w:val="00396762"/>
    <w:rsid w:val="003A57FA"/>
    <w:rsid w:val="003C1FCC"/>
    <w:rsid w:val="003E4CC7"/>
    <w:rsid w:val="00414C10"/>
    <w:rsid w:val="00455485"/>
    <w:rsid w:val="00477A79"/>
    <w:rsid w:val="00493DF3"/>
    <w:rsid w:val="00495996"/>
    <w:rsid w:val="004A0F32"/>
    <w:rsid w:val="004A6F49"/>
    <w:rsid w:val="004D6BC2"/>
    <w:rsid w:val="004E2B99"/>
    <w:rsid w:val="004E6EB9"/>
    <w:rsid w:val="004F01D2"/>
    <w:rsid w:val="004F37BE"/>
    <w:rsid w:val="005163ED"/>
    <w:rsid w:val="005505B7"/>
    <w:rsid w:val="00551E60"/>
    <w:rsid w:val="00564663"/>
    <w:rsid w:val="00577BB4"/>
    <w:rsid w:val="0058247C"/>
    <w:rsid w:val="00583C54"/>
    <w:rsid w:val="005A0807"/>
    <w:rsid w:val="005C13B5"/>
    <w:rsid w:val="005C3DDC"/>
    <w:rsid w:val="005E07D7"/>
    <w:rsid w:val="00604018"/>
    <w:rsid w:val="00647200"/>
    <w:rsid w:val="00670F01"/>
    <w:rsid w:val="00696D0E"/>
    <w:rsid w:val="006A1E23"/>
    <w:rsid w:val="006A7D1F"/>
    <w:rsid w:val="0071286E"/>
    <w:rsid w:val="00712A04"/>
    <w:rsid w:val="00721030"/>
    <w:rsid w:val="00796E6E"/>
    <w:rsid w:val="007A2EA5"/>
    <w:rsid w:val="007B1D8B"/>
    <w:rsid w:val="007B2ACB"/>
    <w:rsid w:val="007C727B"/>
    <w:rsid w:val="0080184D"/>
    <w:rsid w:val="00806AE3"/>
    <w:rsid w:val="008148AF"/>
    <w:rsid w:val="00815DC1"/>
    <w:rsid w:val="00824622"/>
    <w:rsid w:val="00832E9F"/>
    <w:rsid w:val="00855819"/>
    <w:rsid w:val="00866679"/>
    <w:rsid w:val="00885B3E"/>
    <w:rsid w:val="008C4A7C"/>
    <w:rsid w:val="008E2BEE"/>
    <w:rsid w:val="009A6128"/>
    <w:rsid w:val="009A6294"/>
    <w:rsid w:val="009C0FC2"/>
    <w:rsid w:val="009F76AD"/>
    <w:rsid w:val="00A12B71"/>
    <w:rsid w:val="00A35F09"/>
    <w:rsid w:val="00A4363D"/>
    <w:rsid w:val="00A56548"/>
    <w:rsid w:val="00AF2FA2"/>
    <w:rsid w:val="00B14973"/>
    <w:rsid w:val="00B338B9"/>
    <w:rsid w:val="00B33D35"/>
    <w:rsid w:val="00B37BDB"/>
    <w:rsid w:val="00B440D0"/>
    <w:rsid w:val="00B66547"/>
    <w:rsid w:val="00B71CB4"/>
    <w:rsid w:val="00B721A7"/>
    <w:rsid w:val="00B906AF"/>
    <w:rsid w:val="00BA2513"/>
    <w:rsid w:val="00BD1640"/>
    <w:rsid w:val="00BE0053"/>
    <w:rsid w:val="00C22441"/>
    <w:rsid w:val="00C35E25"/>
    <w:rsid w:val="00C610CF"/>
    <w:rsid w:val="00C935DA"/>
    <w:rsid w:val="00CD341A"/>
    <w:rsid w:val="00CD6510"/>
    <w:rsid w:val="00CF08CB"/>
    <w:rsid w:val="00CF1C74"/>
    <w:rsid w:val="00D02DD3"/>
    <w:rsid w:val="00D03662"/>
    <w:rsid w:val="00D148A9"/>
    <w:rsid w:val="00D51834"/>
    <w:rsid w:val="00D61465"/>
    <w:rsid w:val="00D75430"/>
    <w:rsid w:val="00D80F2C"/>
    <w:rsid w:val="00D86D42"/>
    <w:rsid w:val="00D972B4"/>
    <w:rsid w:val="00DE72A6"/>
    <w:rsid w:val="00E21BD6"/>
    <w:rsid w:val="00E30BBE"/>
    <w:rsid w:val="00E476DC"/>
    <w:rsid w:val="00E65035"/>
    <w:rsid w:val="00EA302C"/>
    <w:rsid w:val="00EB2C7B"/>
    <w:rsid w:val="00EB3765"/>
    <w:rsid w:val="00EE5D8D"/>
    <w:rsid w:val="00EF4E99"/>
    <w:rsid w:val="00F32242"/>
    <w:rsid w:val="00F533C5"/>
    <w:rsid w:val="00F63484"/>
    <w:rsid w:val="00F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D296"/>
  <w15:chartTrackingRefBased/>
  <w15:docId w15:val="{E0593E9D-C5B0-4DBB-8BDF-EB3BF78C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7D1F"/>
    <w:pPr>
      <w:widowControl w:val="0"/>
      <w:autoSpaceDE w:val="0"/>
      <w:autoSpaceDN w:val="0"/>
      <w:spacing w:after="0" w:line="240" w:lineRule="auto"/>
      <w:ind w:left="680"/>
      <w:jc w:val="both"/>
      <w:outlineLvl w:val="0"/>
    </w:pPr>
    <w:rPr>
      <w:rFonts w:ascii="Arial" w:eastAsia="Arial" w:hAnsi="Arial" w:cs="Arial"/>
      <w:b/>
      <w:bCs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1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551E60"/>
  </w:style>
  <w:style w:type="paragraph" w:styleId="FootnoteText">
    <w:name w:val="footnote text"/>
    <w:basedOn w:val="Normal"/>
    <w:link w:val="FootnoteTextChar"/>
    <w:uiPriority w:val="99"/>
    <w:semiHidden/>
    <w:unhideWhenUsed/>
    <w:rsid w:val="000374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4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7424"/>
    <w:rPr>
      <w:vertAlign w:val="superscript"/>
    </w:rPr>
  </w:style>
  <w:style w:type="paragraph" w:styleId="NoSpacing">
    <w:name w:val="No Spacing"/>
    <w:uiPriority w:val="1"/>
    <w:qFormat/>
    <w:rsid w:val="00DE72A6"/>
    <w:pPr>
      <w:spacing w:after="0" w:line="240" w:lineRule="auto"/>
    </w:pPr>
  </w:style>
  <w:style w:type="table" w:styleId="TableGrid">
    <w:name w:val="Table Grid"/>
    <w:basedOn w:val="TableNormal"/>
    <w:uiPriority w:val="39"/>
    <w:rsid w:val="0071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2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A7D1F"/>
    <w:rPr>
      <w:rFonts w:ascii="Arial" w:eastAsia="Arial" w:hAnsi="Arial" w:cs="Arial"/>
      <w:b/>
      <w:bCs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6A7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A7D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A7D1F"/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6A7D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globalfund.org/en/documents-by-type/implementer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heglobalfund.org/en/sourcing-management/health-product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50CB-E1DD-4D37-BA7D-23D46938C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75952-06D2-4689-A2AB-63947B2C6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C8489-1761-42F6-A0FB-627D80274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91EE0-61AE-4921-85E3-677AF5A6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2482</Words>
  <Characters>14151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7</cp:revision>
  <dcterms:created xsi:type="dcterms:W3CDTF">2019-12-17T11:24:00Z</dcterms:created>
  <dcterms:modified xsi:type="dcterms:W3CDTF">2019-12-17T11:31:00Z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