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0C" w:rsidRDefault="003C6F0C" w:rsidP="00F20467">
      <w:pPr>
        <w:jc w:val="center"/>
        <w:rPr>
          <w:rFonts w:ascii="Trebuchet MS" w:hAnsi="Trebuchet MS"/>
          <w:sz w:val="36"/>
          <w:szCs w:val="36"/>
        </w:rPr>
      </w:pPr>
    </w:p>
    <w:p w:rsidR="003C6F0C" w:rsidRDefault="003C6F0C" w:rsidP="004D3E64">
      <w:pPr>
        <w:jc w:val="center"/>
        <w:rPr>
          <w:rFonts w:ascii="Trebuchet MS" w:hAnsi="Trebuchet MS"/>
          <w:sz w:val="36"/>
          <w:szCs w:val="36"/>
          <w:lang w:val="ru-RU"/>
        </w:rPr>
      </w:pPr>
      <w:bookmarkStart w:id="0" w:name="OLE_LINK1"/>
      <w:bookmarkStart w:id="1" w:name="OLE_LINK2"/>
      <w:r>
        <w:rPr>
          <w:rFonts w:ascii="Trebuchet MS" w:hAnsi="Trebuchet MS"/>
          <w:sz w:val="36"/>
          <w:szCs w:val="36"/>
          <w:lang w:val="ru-RU"/>
        </w:rPr>
        <w:t>Аудит</w:t>
      </w:r>
      <w:r w:rsidRPr="004D1B04">
        <w:rPr>
          <w:rFonts w:ascii="Trebuchet MS" w:hAnsi="Trebuchet MS"/>
          <w:sz w:val="36"/>
          <w:szCs w:val="36"/>
          <w:lang w:val="ru-RU"/>
        </w:rPr>
        <w:t xml:space="preserve"> </w:t>
      </w:r>
      <w:r>
        <w:rPr>
          <w:rFonts w:ascii="Trebuchet MS" w:hAnsi="Trebuchet MS"/>
          <w:sz w:val="36"/>
          <w:szCs w:val="36"/>
          <w:lang w:val="ru-RU"/>
        </w:rPr>
        <w:t>ОГИ</w:t>
      </w:r>
      <w:r w:rsidRPr="004D1B04">
        <w:rPr>
          <w:rFonts w:ascii="Trebuchet MS" w:hAnsi="Trebuchet MS"/>
          <w:sz w:val="36"/>
          <w:szCs w:val="36"/>
          <w:lang w:val="ru-RU"/>
        </w:rPr>
        <w:t xml:space="preserve"> </w:t>
      </w:r>
      <w:r>
        <w:rPr>
          <w:rFonts w:ascii="Trebuchet MS" w:hAnsi="Trebuchet MS"/>
          <w:sz w:val="36"/>
          <w:szCs w:val="36"/>
          <w:lang w:val="ru-RU"/>
        </w:rPr>
        <w:t>по</w:t>
      </w:r>
      <w:r w:rsidRPr="004D1B04">
        <w:rPr>
          <w:rFonts w:ascii="Trebuchet MS" w:hAnsi="Trebuchet MS"/>
          <w:sz w:val="36"/>
          <w:szCs w:val="36"/>
          <w:lang w:val="ru-RU"/>
        </w:rPr>
        <w:t xml:space="preserve"> </w:t>
      </w:r>
      <w:r>
        <w:rPr>
          <w:rFonts w:ascii="Trebuchet MS" w:hAnsi="Trebuchet MS"/>
          <w:sz w:val="36"/>
          <w:szCs w:val="36"/>
          <w:lang w:val="ru-RU"/>
        </w:rPr>
        <w:t>грантам</w:t>
      </w:r>
      <w:r w:rsidRPr="004D1B04">
        <w:rPr>
          <w:rFonts w:ascii="Trebuchet MS" w:hAnsi="Trebuchet MS"/>
          <w:sz w:val="36"/>
          <w:szCs w:val="36"/>
          <w:lang w:val="ru-RU"/>
        </w:rPr>
        <w:t xml:space="preserve"> </w:t>
      </w:r>
      <w:r>
        <w:rPr>
          <w:rFonts w:ascii="Trebuchet MS" w:hAnsi="Trebuchet MS"/>
          <w:sz w:val="36"/>
          <w:szCs w:val="36"/>
          <w:lang w:val="ru-RU"/>
        </w:rPr>
        <w:t>Глобального</w:t>
      </w:r>
      <w:r w:rsidRPr="004D1B04">
        <w:rPr>
          <w:rFonts w:ascii="Trebuchet MS" w:hAnsi="Trebuchet MS"/>
          <w:sz w:val="36"/>
          <w:szCs w:val="36"/>
          <w:lang w:val="ru-RU"/>
        </w:rPr>
        <w:t xml:space="preserve"> </w:t>
      </w:r>
      <w:r>
        <w:rPr>
          <w:rFonts w:ascii="Trebuchet MS" w:hAnsi="Trebuchet MS"/>
          <w:sz w:val="36"/>
          <w:szCs w:val="36"/>
          <w:lang w:val="ru-RU"/>
        </w:rPr>
        <w:t xml:space="preserve">Фонда </w:t>
      </w:r>
    </w:p>
    <w:p w:rsidR="003C6F0C" w:rsidRPr="00470B90" w:rsidRDefault="003C6F0C" w:rsidP="004D3E64">
      <w:pPr>
        <w:jc w:val="center"/>
        <w:rPr>
          <w:rFonts w:ascii="Trebuchet MS" w:hAnsi="Trebuchet MS"/>
          <w:sz w:val="36"/>
          <w:szCs w:val="36"/>
          <w:lang w:val="ru-RU"/>
        </w:rPr>
      </w:pPr>
      <w:r>
        <w:rPr>
          <w:rFonts w:ascii="Trebuchet MS" w:hAnsi="Trebuchet MS"/>
          <w:sz w:val="36"/>
          <w:szCs w:val="36"/>
          <w:lang w:val="ru-RU"/>
        </w:rPr>
        <w:t>в</w:t>
      </w:r>
      <w:r w:rsidRPr="00470B90">
        <w:rPr>
          <w:rFonts w:ascii="Trebuchet MS" w:hAnsi="Trebuchet MS"/>
          <w:sz w:val="36"/>
          <w:szCs w:val="36"/>
          <w:lang w:val="ru-RU"/>
        </w:rPr>
        <w:t xml:space="preserve"> </w:t>
      </w:r>
      <w:r>
        <w:rPr>
          <w:rFonts w:ascii="Trebuchet MS" w:hAnsi="Trebuchet MS"/>
          <w:sz w:val="36"/>
          <w:szCs w:val="36"/>
          <w:lang w:val="ru-RU"/>
        </w:rPr>
        <w:t>Республике</w:t>
      </w:r>
      <w:r w:rsidRPr="00470B90">
        <w:rPr>
          <w:rFonts w:ascii="Trebuchet MS" w:hAnsi="Trebuchet MS"/>
          <w:sz w:val="36"/>
          <w:szCs w:val="36"/>
          <w:lang w:val="ru-RU"/>
        </w:rPr>
        <w:t xml:space="preserve"> </w:t>
      </w:r>
      <w:r>
        <w:rPr>
          <w:rFonts w:ascii="Trebuchet MS" w:hAnsi="Trebuchet MS"/>
          <w:sz w:val="36"/>
          <w:szCs w:val="36"/>
          <w:lang w:val="ru-RU"/>
        </w:rPr>
        <w:t>Казахстан</w:t>
      </w:r>
      <w:r w:rsidRPr="00470B90">
        <w:rPr>
          <w:rFonts w:ascii="Trebuchet MS" w:hAnsi="Trebuchet MS"/>
          <w:sz w:val="36"/>
          <w:szCs w:val="36"/>
          <w:lang w:val="ru-RU"/>
        </w:rPr>
        <w:t xml:space="preserve"> </w:t>
      </w:r>
    </w:p>
    <w:p w:rsidR="003C6F0C" w:rsidRPr="00470B90" w:rsidRDefault="003C6F0C" w:rsidP="00F20467">
      <w:pPr>
        <w:jc w:val="center"/>
        <w:rPr>
          <w:rFonts w:ascii="Trebuchet MS" w:hAnsi="Trebuchet MS"/>
          <w:sz w:val="36"/>
          <w:szCs w:val="36"/>
          <w:lang w:val="ru-RU"/>
        </w:rPr>
      </w:pPr>
    </w:p>
    <w:p w:rsidR="003C6F0C" w:rsidRPr="004D1B04" w:rsidRDefault="003C6F0C" w:rsidP="004D3E64">
      <w:pPr>
        <w:jc w:val="center"/>
        <w:rPr>
          <w:rFonts w:ascii="Trebuchet MS" w:hAnsi="Trebuchet MS"/>
          <w:sz w:val="36"/>
          <w:szCs w:val="36"/>
          <w:lang w:val="ru-RU"/>
        </w:rPr>
      </w:pPr>
      <w:r>
        <w:rPr>
          <w:rFonts w:ascii="Trebuchet MS" w:hAnsi="Trebuchet MS"/>
          <w:sz w:val="36"/>
          <w:szCs w:val="36"/>
          <w:lang w:val="ru-RU"/>
        </w:rPr>
        <w:t>Предварительные</w:t>
      </w:r>
      <w:r w:rsidRPr="004D1B04">
        <w:rPr>
          <w:rFonts w:ascii="Trebuchet MS" w:hAnsi="Trebuchet MS"/>
          <w:sz w:val="36"/>
          <w:szCs w:val="36"/>
          <w:lang w:val="ru-RU"/>
        </w:rPr>
        <w:t xml:space="preserve"> Рекомендаци</w:t>
      </w:r>
      <w:r>
        <w:rPr>
          <w:rFonts w:ascii="Trebuchet MS" w:hAnsi="Trebuchet MS"/>
          <w:sz w:val="36"/>
          <w:szCs w:val="36"/>
          <w:lang w:val="ru-RU"/>
        </w:rPr>
        <w:t>и</w:t>
      </w:r>
    </w:p>
    <w:bookmarkEnd w:id="0"/>
    <w:bookmarkEnd w:id="1"/>
    <w:p w:rsidR="003C6F0C" w:rsidRPr="004D1B04" w:rsidRDefault="003C6F0C" w:rsidP="00F20467">
      <w:pPr>
        <w:jc w:val="center"/>
        <w:rPr>
          <w:rFonts w:ascii="Trebuchet MS" w:hAnsi="Trebuchet MS"/>
          <w:sz w:val="36"/>
          <w:szCs w:val="36"/>
          <w:lang w:val="ru-RU"/>
        </w:rPr>
      </w:pPr>
    </w:p>
    <w:p w:rsidR="003C6F0C" w:rsidRPr="004D1B04" w:rsidRDefault="003C6F0C" w:rsidP="004D1B04">
      <w:pPr>
        <w:jc w:val="center"/>
        <w:rPr>
          <w:b/>
          <w:bCs/>
          <w:i/>
          <w:color w:val="0070C0"/>
          <w:sz w:val="26"/>
          <w:szCs w:val="26"/>
          <w:lang w:val="ru-RU"/>
        </w:rPr>
      </w:pPr>
      <w:r w:rsidRPr="004D1B04">
        <w:rPr>
          <w:b/>
          <w:bCs/>
          <w:i/>
          <w:color w:val="0070C0"/>
          <w:sz w:val="26"/>
          <w:szCs w:val="26"/>
          <w:lang w:val="ru-RU"/>
        </w:rPr>
        <w:t>Национальный центр проблем туберкулеза</w:t>
      </w:r>
      <w:r>
        <w:rPr>
          <w:b/>
          <w:bCs/>
          <w:i/>
          <w:color w:val="0070C0"/>
          <w:sz w:val="26"/>
          <w:szCs w:val="26"/>
          <w:lang w:val="ru-RU"/>
        </w:rPr>
        <w:t xml:space="preserve"> (НЦПТ)</w:t>
      </w:r>
      <w:r w:rsidRPr="004D1B04">
        <w:rPr>
          <w:b/>
          <w:bCs/>
          <w:i/>
          <w:color w:val="0070C0"/>
          <w:sz w:val="26"/>
          <w:szCs w:val="26"/>
          <w:lang w:val="ru-RU"/>
        </w:rPr>
        <w:t xml:space="preserve">   </w:t>
      </w:r>
    </w:p>
    <w:p w:rsidR="003C6F0C" w:rsidRPr="004D1B04" w:rsidRDefault="003C6F0C" w:rsidP="004D1B04">
      <w:pPr>
        <w:jc w:val="center"/>
        <w:rPr>
          <w:b/>
          <w:bCs/>
          <w:i/>
          <w:color w:val="0070C0"/>
          <w:sz w:val="26"/>
          <w:szCs w:val="26"/>
          <w:lang w:val="ru-RU"/>
        </w:rPr>
      </w:pPr>
      <w:r w:rsidRPr="004D1B04">
        <w:rPr>
          <w:b/>
          <w:bCs/>
          <w:i/>
          <w:color w:val="0070C0"/>
          <w:sz w:val="26"/>
          <w:szCs w:val="26"/>
          <w:lang w:val="ru-RU"/>
        </w:rPr>
        <w:t>Министерства здравоохранения Республики Казахстан</w:t>
      </w:r>
      <w:r>
        <w:rPr>
          <w:b/>
          <w:bCs/>
          <w:i/>
          <w:color w:val="0070C0"/>
          <w:sz w:val="26"/>
          <w:szCs w:val="26"/>
          <w:lang w:val="ru-RU"/>
        </w:rPr>
        <w:t xml:space="preserve"> </w:t>
      </w:r>
    </w:p>
    <w:p w:rsidR="003C6F0C" w:rsidRPr="00443C38" w:rsidRDefault="003C6F0C" w:rsidP="00F20467">
      <w:pPr>
        <w:jc w:val="center"/>
        <w:rPr>
          <w:b/>
          <w:i/>
          <w:color w:val="0070C0"/>
          <w:sz w:val="26"/>
          <w:szCs w:val="26"/>
          <w:lang w:val="en-GB"/>
        </w:rPr>
      </w:pPr>
    </w:p>
    <w:p w:rsidR="003C6F0C" w:rsidRDefault="003C6F0C" w:rsidP="00F20467">
      <w:pPr>
        <w:jc w:val="center"/>
        <w:rPr>
          <w:rFonts w:ascii="Trebuchet MS" w:hAnsi="Trebuchet MS"/>
          <w:sz w:val="36"/>
          <w:szCs w:val="36"/>
        </w:rPr>
        <w:sectPr w:rsidR="003C6F0C" w:rsidSect="00B22C83">
          <w:footerReference w:type="default" r:id="rId7"/>
          <w:pgSz w:w="16838" w:h="11906" w:orient="landscape"/>
          <w:pgMar w:top="1134" w:right="1134" w:bottom="1304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7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9"/>
        <w:gridCol w:w="2357"/>
      </w:tblGrid>
      <w:tr w:rsidR="003C6F0C" w:rsidRPr="00B26C3B" w:rsidTr="00B26C3B">
        <w:trPr>
          <w:trHeight w:val="278"/>
        </w:trPr>
        <w:tc>
          <w:tcPr>
            <w:tcW w:w="12805" w:type="dxa"/>
            <w:shd w:val="clear" w:color="auto" w:fill="FDE9D9"/>
          </w:tcPr>
          <w:p w:rsidR="003C6F0C" w:rsidRPr="00B26C3B" w:rsidRDefault="003C6F0C" w:rsidP="00B26C3B">
            <w:pPr>
              <w:pStyle w:val="ListParagraph"/>
              <w:spacing w:before="100" w:beforeAutospacing="1" w:line="240" w:lineRule="auto"/>
              <w:jc w:val="center"/>
              <w:rPr>
                <w:b/>
                <w:i/>
                <w:sz w:val="26"/>
                <w:szCs w:val="26"/>
                <w:u w:val="single"/>
                <w:lang w:val="ru-RU"/>
              </w:rPr>
            </w:pPr>
            <w:r w:rsidRPr="00B26C3B">
              <w:rPr>
                <w:b/>
                <w:i/>
                <w:sz w:val="26"/>
                <w:szCs w:val="26"/>
                <w:u w:val="single"/>
                <w:lang w:val="ru-RU"/>
              </w:rPr>
              <w:t>Рекомендация</w:t>
            </w:r>
          </w:p>
        </w:tc>
        <w:tc>
          <w:tcPr>
            <w:tcW w:w="1981" w:type="dxa"/>
            <w:shd w:val="clear" w:color="auto" w:fill="FDE9D9"/>
          </w:tcPr>
          <w:p w:rsidR="003C6F0C" w:rsidRPr="00B26C3B" w:rsidRDefault="003C6F0C" w:rsidP="00B26C3B">
            <w:pPr>
              <w:pStyle w:val="ListParagraph"/>
              <w:spacing w:line="240" w:lineRule="auto"/>
              <w:ind w:left="-57" w:right="-82" w:hanging="25"/>
              <w:rPr>
                <w:b/>
                <w:i/>
                <w:sz w:val="26"/>
                <w:szCs w:val="26"/>
                <w:u w:val="single"/>
                <w:lang w:val="ru-RU"/>
              </w:rPr>
            </w:pPr>
            <w:r w:rsidRPr="00B26C3B">
              <w:rPr>
                <w:b/>
                <w:i/>
                <w:sz w:val="26"/>
                <w:szCs w:val="26"/>
                <w:u w:val="single"/>
                <w:lang w:val="ru-RU"/>
              </w:rPr>
              <w:t>Приоритетность</w:t>
            </w:r>
          </w:p>
          <w:p w:rsidR="003C6F0C" w:rsidRPr="00B26C3B" w:rsidRDefault="003C6F0C" w:rsidP="00B26C3B">
            <w:pPr>
              <w:pStyle w:val="ListParagraph"/>
              <w:spacing w:line="240" w:lineRule="auto"/>
              <w:ind w:left="-57" w:right="-82" w:hanging="25"/>
              <w:rPr>
                <w:sz w:val="26"/>
                <w:szCs w:val="26"/>
                <w:u w:val="single"/>
              </w:rPr>
            </w:pPr>
            <w:r w:rsidRPr="00B26C3B">
              <w:rPr>
                <w:b/>
                <w:i/>
                <w:sz w:val="26"/>
                <w:szCs w:val="26"/>
                <w:u w:val="single"/>
                <w:lang w:val="ru-RU"/>
              </w:rPr>
              <w:t xml:space="preserve"> </w:t>
            </w:r>
            <w:r w:rsidRPr="00B26C3B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</w:p>
        </w:tc>
      </w:tr>
      <w:tr w:rsidR="003C6F0C" w:rsidRPr="00B26C3B" w:rsidTr="00B26C3B">
        <w:trPr>
          <w:trHeight w:val="189"/>
        </w:trPr>
        <w:tc>
          <w:tcPr>
            <w:tcW w:w="14786" w:type="dxa"/>
            <w:gridSpan w:val="2"/>
            <w:shd w:val="clear" w:color="auto" w:fill="D9D9D9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6C3B">
              <w:rPr>
                <w:b/>
                <w:i/>
                <w:sz w:val="24"/>
                <w:szCs w:val="24"/>
                <w:lang w:val="ru-RU"/>
              </w:rPr>
              <w:t>ОБЩЕСТВЕННОЕ ЗДРАВООХРАНЕНИЕ</w:t>
            </w:r>
          </w:p>
        </w:tc>
      </w:tr>
      <w:tr w:rsidR="003C6F0C" w:rsidRPr="00B26C3B" w:rsidTr="00B26C3B">
        <w:trPr>
          <w:trHeight w:val="677"/>
        </w:trPr>
        <w:tc>
          <w:tcPr>
            <w:tcW w:w="12805" w:type="dxa"/>
          </w:tcPr>
          <w:p w:rsidR="003C6F0C" w:rsidRPr="00370C2D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370C2D">
              <w:rPr>
                <w:b/>
                <w:i/>
                <w:lang w:val="ru-RU"/>
              </w:rPr>
              <w:t xml:space="preserve">Рекомендация 1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НЦПТ должен </w:t>
            </w:r>
            <w:r w:rsidRPr="00B26C3B">
              <w:rPr>
                <w:lang w:val="ru-RU"/>
              </w:rPr>
              <w:t xml:space="preserve"> 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оказать содейс</w:t>
            </w:r>
            <w:r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твие в разработке комплексного п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лана мероприятий по борьбе с ТБ как в пенитенциарном, так и в гражданском секторах в рамках программы «Саламаты Казахстан», который должен отображать все необходимые детали, включая суммы и источники финансирования по всем мероприятиям.   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688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 xml:space="preserve">Рекомендация 2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НЦПТ должен оказать содействие в разработке Национального стратегического плана по борьбе с ко-инфекцией ТБ/ВИЧ, а также Национального руководства по инфекционному контролю над туберкулёзом.  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677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 xml:space="preserve">Рекомендация 3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НЦПТ должен обеспечить то, чтобы через грантовые средства ГФ, а также через госбюджетные средства закупалось достаточное количество экспресс-тестов на лекарственную устойчивость, чтобы обеспечить тестированием всех ТБ-пациентов как в гражданском, так и в пенитенциарном секторах согласно национальным руководствам. В стране должна быть разработана и внедрена внешняя система обеспечения к</w:t>
            </w:r>
            <w:r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ачества для экспресс-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тестов на лекарственную устойчивость.  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1022"/>
        </w:trPr>
        <w:tc>
          <w:tcPr>
            <w:tcW w:w="12805" w:type="dxa"/>
          </w:tcPr>
          <w:p w:rsidR="003C6F0C" w:rsidRPr="00370C2D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370C2D">
              <w:rPr>
                <w:b/>
                <w:i/>
                <w:lang w:val="ru-RU"/>
              </w:rPr>
              <w:t xml:space="preserve">Рекомендация 4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НЦПТ должен поддержать улучшение контроля и борьбы с ко-инфекцией ВИЧ/СПИД, включая диагностические исследования ко-инфицированных пациентов, а также совмещённое АРВ- и противо-ТБ лечение. В первую очередь, есть необходимость улучшения координации между национальными программами по борьбе с ТБ и ВИЧ/СПИД. НЦПТ должен поддержать улучшение клинического лечения</w:t>
            </w:r>
            <w:r w:rsidRPr="00B26C3B">
              <w:rPr>
                <w:lang w:val="ru-RU"/>
              </w:rPr>
              <w:t xml:space="preserve"> 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побочных действий противо-ТБ препаратов второго ряда, а также клинического лечения сопутствующих заболеваний, так чтобы все терапевтические вмешательства, используемые на практике, </w:t>
            </w:r>
            <w:r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соответствовали принципам доказательной медицины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.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855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 xml:space="preserve">Рекомендация 5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НЦПТ должен продолжить контроль качества противо-ТБ препаратов второго ряда, путём, как мониторинга клинических исходов болезни среди пациентов, так и повторного лабораторного тестирования стандартов качества препаратов.    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69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 xml:space="preserve">Рекомендация 6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НЦПТ рекомендуется  оказать содействие в разработке Планов по инфекционному контролю для всех противо-ТБ учреждений, чтобы обеспечить наличие и исполнение руководств по  инфекционному контролю над туберкулёзом во всех  противо-ТБ учреждениях, а также обеспечить надлежащее обучение медработников в этом вопросе.  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178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 xml:space="preserve">Рекомендация 7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Касательно тренингов по «ДОТС», НЦПТ рекомендуется направить ресурсы на «тренинг тренеров», а также посодействовать в том, чтобы достаточное количество медработников первичного звена здравоохранения прошли обучение из средств местных бюджетов.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 xml:space="preserve">Рекомендация 8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НЦПТ рекомендуется перепроектировать компонент по оказанию социальной поддержки в рамках гранта по Раунду 8, а именно:  пищевые/гигиенические пакеты для МЛУ-ТБ пациентов должны предоставляться только в гражданском секторе.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 xml:space="preserve">Рекомендация 9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НЦПТ рекомендуется спланировать разработку и внедрение электронной системы мониторинга и учёта запасов лекарственных средств на центральном и региональном уровнях.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 xml:space="preserve">Рекомендация 10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НЦПТ рекомендуется продолжить укрепление единой функциональной сети ТБ лабораторий, чтобы обеспечить охват надлежащими лабораторными услугами во всех противо-ТБ учреждениях пенитенциарного сектора.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11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НЦПТ рекомендуется разработать стандартные детальные критерии по выбору ТБ-пациентов для дальнейшего предоставления им  пищевых/гигиенических пакетов, как в рамках грантовых программ по        Раунду 6, так и по Раунду 8. 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 xml:space="preserve">Рекомендация 12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НЦПТ должен усовершенствовать формат Грантовых Соглашений с суб-реципиентами, чтобы они (Соглашения) охватывали все наиважнейшие компоненты, включая объём работ, график выполнения и план по МиО, который, в свою очередь, должен быть достаточно детальным, чтобы обеспечить надлежащее выполнение мероприятий.    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13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НЦПТ должен оказать содействие в разработке Национального плана по МиО для мероприятий по борьбе с ко-инфекцией ТБ/ВИЧ. Формат/содержание Плана должны соответствовать передовым международным стандартам, чтобы он обеспечил надлежащее выполнение мероприятий на всех уровнях и внёс эффективный вклад в борьбу с ко-инфекцией ТБ/ВИЧ на национальном уровне.  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370C2D" w:rsidTr="00B26C3B">
        <w:trPr>
          <w:trHeight w:val="96"/>
        </w:trPr>
        <w:tc>
          <w:tcPr>
            <w:tcW w:w="12805" w:type="dxa"/>
          </w:tcPr>
          <w:p w:rsidR="003C6F0C" w:rsidRPr="00370C2D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370C2D">
              <w:rPr>
                <w:b/>
                <w:i/>
                <w:lang w:val="ru-RU"/>
              </w:rPr>
              <w:t>Рекомендация 14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НЦПТ рекомендуется объединить две отдельные базы данных по эпиднадзору за ТБ, существующих в гражданском и пенитенциарном секторах, для того, чтобы национальные индикаторы выводились наиболее точно и вовремя.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</w:p>
        </w:tc>
      </w:tr>
      <w:tr w:rsidR="003C6F0C" w:rsidRPr="00B26C3B" w:rsidTr="00B26C3B">
        <w:trPr>
          <w:trHeight w:val="96"/>
        </w:trPr>
        <w:tc>
          <w:tcPr>
            <w:tcW w:w="14786" w:type="dxa"/>
            <w:gridSpan w:val="2"/>
            <w:shd w:val="clear" w:color="auto" w:fill="D9D9D9"/>
          </w:tcPr>
          <w:p w:rsidR="003C6F0C" w:rsidRPr="00B26C3B" w:rsidRDefault="003C6F0C" w:rsidP="00B26C3B">
            <w:pPr>
              <w:spacing w:after="0" w:line="240" w:lineRule="auto"/>
              <w:jc w:val="center"/>
              <w:rPr>
                <w:b/>
                <w:i/>
              </w:rPr>
            </w:pPr>
            <w:r w:rsidRPr="00B26C3B">
              <w:rPr>
                <w:b/>
                <w:i/>
                <w:sz w:val="24"/>
                <w:szCs w:val="24"/>
                <w:lang w:val="ru-RU"/>
              </w:rPr>
              <w:t>ЗАКУПКИ</w:t>
            </w:r>
            <w:r w:rsidRPr="00B26C3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26C3B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B26C3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26C3B">
              <w:rPr>
                <w:b/>
                <w:i/>
                <w:sz w:val="24"/>
                <w:szCs w:val="24"/>
                <w:lang w:val="ru-RU"/>
              </w:rPr>
              <w:t>УПРАВЛЕНИЕ</w:t>
            </w:r>
            <w:r w:rsidRPr="00B26C3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26C3B">
              <w:rPr>
                <w:b/>
                <w:i/>
                <w:sz w:val="24"/>
                <w:szCs w:val="24"/>
                <w:lang w:val="ru-RU"/>
              </w:rPr>
              <w:t>ПОСТАВКАМИ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15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НЦПТ должен соблюдать Закон РК «О государственных закупках» при осуществлении закупочных мероприятий.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16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НЦПТ должен внедрить специальную Информационную Систему Управления (ИСУ) по прогнозированию и </w:t>
            </w:r>
            <w:r w:rsidRPr="00B26C3B">
              <w:rPr>
                <w:rFonts w:ascii="Trebuchet MS" w:hAnsi="Trebuchet MS"/>
                <w:i/>
                <w:lang w:val="ru-RU"/>
              </w:rPr>
              <w:t xml:space="preserve"> количественному 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определению.  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17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НЦПТ должен обеспечить полную прозрачность и конкурсную конкуренцию при закупе товаров и услуг за средства Глобального Фонда, а также обеспечить</w:t>
            </w:r>
            <w:r w:rsidRPr="00B26C3B">
              <w:rPr>
                <w:rFonts w:ascii="Trebuchet MS" w:hAnsi="Trebuchet MS"/>
                <w:i/>
                <w:lang w:val="ru-RU"/>
              </w:rPr>
              <w:t xml:space="preserve"> наилучшее 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соотношение цены и качества.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а) Проводить открытые конкурсные торги по товарам и услугам, а закупку товаров и услуг на безальтернативной основе производить только в случаях, предусмотренных Законом, притом, осуществлять закупку напрямую от производителей.      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б) Размещать объявления об открытых тендерах на международных широко-известных сайтах (например:  «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</w:rPr>
              <w:t>UN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 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</w:rPr>
              <w:t>Development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 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</w:rPr>
              <w:t>Business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», «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</w:rPr>
              <w:t>dgMarket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», «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</w:rPr>
              <w:t>DevEx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», и др.), а также не допускать упоминания каких-либо торговых марок (брэндовых наименований) в Плане закупок.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в) Просчитывать потребности/объёмы закупок и указывать их в тендерной документации.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г) В тендерной документации: предписывать обязательное предоставление банковских гарантий, и не уменьшать суммы банковских гарантий для определенных поставщиков.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д)  В тендерной документации: чётко и детально указывать</w:t>
            </w:r>
            <w:r w:rsidRPr="00B26C3B">
              <w:rPr>
                <w:lang w:val="ru-RU"/>
              </w:rPr>
              <w:t xml:space="preserve"> </w:t>
            </w: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технические спецификации закупаемой продукции.</w:t>
            </w:r>
          </w:p>
          <w:p w:rsidR="003C6F0C" w:rsidRPr="00B26C3B" w:rsidRDefault="003C6F0C" w:rsidP="00B26C3B">
            <w:pPr>
              <w:pStyle w:val="ListParagraph"/>
              <w:spacing w:after="0" w:line="240" w:lineRule="auto"/>
              <w:rPr>
                <w:rFonts w:cs="Arial"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18</w:t>
            </w:r>
          </w:p>
          <w:p w:rsidR="003C6F0C" w:rsidRPr="00B26C3B" w:rsidRDefault="003C6F0C" w:rsidP="00B26C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>НЦПТ следует внимательно оценивать полученные тендерные предложения, а также любую сопутствующую документацию, в целях недопущения потенциального конфликта интересов или «фиктивных» тендеров.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19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НЦПТ не должен допускать каких-либо дополнений к контрактам, продлевающих сроки исполнения контрактов, а также изменения условий оплаты или увеличения объёмов и стоимости без проведения дополнительных конкурсных торгов.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20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НЦПТ не должен выплачивать более 20% от стоимости контракта в виде авансового платежа, и должен воздерживаться от уплаты 100%-ных авансов.   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21</w:t>
            </w:r>
          </w:p>
          <w:p w:rsidR="003C6F0C" w:rsidRPr="00B26C3B" w:rsidRDefault="003C6F0C" w:rsidP="00B26C3B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НЦПТ должен внедрить систему учёта и мониторинга за распределением товаров, которая должна чётко отображать все поставки по каждому закупочному контракту, даты поставок, местонахождение, наименование и стоимость распределённой продукции. 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4786" w:type="dxa"/>
            <w:gridSpan w:val="2"/>
            <w:shd w:val="clear" w:color="auto" w:fill="BFBFBF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  <w:sz w:val="24"/>
                <w:szCs w:val="24"/>
                <w:lang w:val="ru-RU"/>
              </w:rPr>
              <w:t>СИСТЕМА ФИНАНСОВОГО УПРАВЛЕНИЯ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370C2D" w:rsidRDefault="003C6F0C" w:rsidP="00B26C3B">
            <w:pPr>
              <w:spacing w:after="0" w:line="240" w:lineRule="auto"/>
              <w:rPr>
                <w:rFonts w:ascii="Trebuchet MS" w:hAnsi="Trebuchet MS"/>
                <w:lang w:val="ru-RU"/>
              </w:rPr>
            </w:pPr>
            <w:r w:rsidRPr="00370C2D">
              <w:rPr>
                <w:b/>
                <w:i/>
                <w:lang w:val="ru-RU"/>
              </w:rPr>
              <w:t>Рекомендация 22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/>
                <w:i/>
                <w:lang w:val="ru-RU"/>
              </w:rPr>
            </w:pPr>
            <w:r w:rsidRPr="00B26C3B">
              <w:rPr>
                <w:rFonts w:ascii="Trebuchet MS" w:hAnsi="Trebuchet MS"/>
                <w:i/>
                <w:lang w:val="ru-RU"/>
              </w:rPr>
              <w:t xml:space="preserve">Для улучшения мониторинга за бюджетом, а также усовершенствования бюджетных процедур, НЦПТ должен: 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/>
                <w:i/>
                <w:lang w:val="ru-RU"/>
              </w:rPr>
            </w:pPr>
            <w:r w:rsidRPr="00B26C3B">
              <w:rPr>
                <w:rFonts w:ascii="Trebuchet MS" w:hAnsi="Trebuchet MS"/>
                <w:i/>
                <w:lang w:val="ru-RU"/>
              </w:rPr>
              <w:t xml:space="preserve">а) Установить процедуры по процессу проверки/анализа бюджета; 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/>
                <w:i/>
                <w:lang w:val="ru-RU"/>
              </w:rPr>
            </w:pPr>
            <w:r w:rsidRPr="00B26C3B">
              <w:rPr>
                <w:rFonts w:ascii="Trebuchet MS" w:hAnsi="Trebuchet MS"/>
                <w:i/>
                <w:lang w:val="ru-RU"/>
              </w:rPr>
              <w:t xml:space="preserve">б) На ежемесячной основе осуществлять проверку бюджета по бюджетным линиям (План/Выполнение), чтобы убедиться, что расходы классифицированы правильно; 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/>
                <w:i/>
                <w:lang w:val="ru-RU"/>
              </w:rPr>
            </w:pPr>
            <w:r w:rsidRPr="00B26C3B">
              <w:rPr>
                <w:rFonts w:ascii="Trebuchet MS" w:hAnsi="Trebuchet MS"/>
                <w:i/>
                <w:lang w:val="ru-RU"/>
              </w:rPr>
              <w:t xml:space="preserve">в) Документировать процесс периодической проверки бюджета.  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23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/>
                <w:i/>
                <w:lang w:val="ru-RU"/>
              </w:rPr>
            </w:pPr>
            <w:r w:rsidRPr="00B26C3B">
              <w:rPr>
                <w:rFonts w:ascii="Trebuchet MS" w:hAnsi="Trebuchet MS"/>
                <w:i/>
                <w:lang w:val="ru-RU"/>
              </w:rPr>
              <w:t xml:space="preserve">НЦПТ должен обновить своё  Руководство по административно-финансовым вопросам, путём принятия детальных учётных процедур для практического применения соответствующих механизмов и принципов в повседневной деятельности ОР/ГРП: Как, Кто, Когда? 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24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</w:pPr>
            <w:r w:rsidRPr="00B26C3B">
              <w:rPr>
                <w:rFonts w:ascii="Trebuchet MS" w:hAnsi="Trebuchet MS" w:cs="Arial"/>
                <w:bCs/>
                <w:i/>
                <w:iCs/>
                <w:color w:val="000000"/>
                <w:lang w:val="ru-RU"/>
              </w:rPr>
              <w:t xml:space="preserve">При практической возможности, с учётом имеющихся человеческих ресурсов, НЦПТ должен обеспечить чёткое разделение ролей в функциях внутреннего контроля, особенно в разделении несовместимых функций контроля. Такое разделение должно также охватывать права доступа к автоматизированной системе бухучёта.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(Значимая)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25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/>
                <w:i/>
                <w:lang w:val="ru-RU"/>
              </w:rPr>
            </w:pPr>
            <w:r w:rsidRPr="00B26C3B">
              <w:rPr>
                <w:rFonts w:ascii="Trebuchet MS" w:hAnsi="Trebuchet MS"/>
                <w:i/>
                <w:lang w:val="ru-RU"/>
              </w:rPr>
              <w:t>НЦПТ должен переделать годовые отчёты «</w:t>
            </w:r>
            <w:r w:rsidRPr="00B26C3B">
              <w:rPr>
                <w:rFonts w:ascii="Trebuchet MS" w:hAnsi="Trebuchet MS"/>
                <w:i/>
                <w:lang w:val="en-US"/>
              </w:rPr>
              <w:t>EFR</w:t>
            </w:r>
            <w:r w:rsidRPr="00B26C3B">
              <w:rPr>
                <w:rFonts w:ascii="Trebuchet MS" w:hAnsi="Trebuchet MS"/>
                <w:i/>
                <w:lang w:val="ru-RU"/>
              </w:rPr>
              <w:t xml:space="preserve">» (ИФАР), исключив суммы </w:t>
            </w:r>
            <w:r w:rsidRPr="00B26C3B">
              <w:rPr>
                <w:lang w:val="ru-RU"/>
              </w:rPr>
              <w:t xml:space="preserve"> </w:t>
            </w:r>
            <w:r w:rsidRPr="00B26C3B">
              <w:rPr>
                <w:rFonts w:ascii="Trebuchet MS" w:hAnsi="Trebuchet MS"/>
                <w:i/>
                <w:lang w:val="ru-RU"/>
              </w:rPr>
              <w:t xml:space="preserve">непогашенных авансов и/или коррекций, чтобы отобразить </w:t>
            </w:r>
            <w:r w:rsidRPr="00B26C3B">
              <w:rPr>
                <w:lang w:val="ru-RU"/>
              </w:rPr>
              <w:t xml:space="preserve"> </w:t>
            </w:r>
            <w:r w:rsidRPr="00B26C3B">
              <w:rPr>
                <w:rFonts w:ascii="Trebuchet MS" w:hAnsi="Trebuchet MS"/>
                <w:i/>
                <w:lang w:val="ru-RU"/>
              </w:rPr>
              <w:t xml:space="preserve">фактические расходы, а также должен изменить практику отображения в отчётах </w:t>
            </w:r>
            <w:r w:rsidRPr="00B26C3B">
              <w:rPr>
                <w:lang w:val="ru-RU"/>
              </w:rPr>
              <w:t xml:space="preserve"> </w:t>
            </w:r>
            <w:r w:rsidRPr="00B26C3B">
              <w:rPr>
                <w:rFonts w:ascii="Trebuchet MS" w:hAnsi="Trebuchet MS"/>
                <w:i/>
                <w:lang w:val="ru-RU"/>
              </w:rPr>
              <w:t>«</w:t>
            </w:r>
            <w:r w:rsidRPr="00B26C3B">
              <w:rPr>
                <w:rFonts w:ascii="Trebuchet MS" w:hAnsi="Trebuchet MS"/>
                <w:i/>
                <w:lang w:val="en-US"/>
              </w:rPr>
              <w:t>EFR</w:t>
            </w:r>
            <w:r w:rsidRPr="00B26C3B">
              <w:rPr>
                <w:rFonts w:ascii="Trebuchet MS" w:hAnsi="Trebuchet MS"/>
                <w:i/>
                <w:lang w:val="ru-RU"/>
              </w:rPr>
              <w:t xml:space="preserve">» (ИФАР) непогашенных авансов для СР-тов, поставщиков или персонала как «расходы». НЦПТ также должен связать/соотнести свою финансовую документацию, желательно, со справочной/каталоговой системой на месте, для того чтобы облегчить поиск документации, подтверждающей те или иные финансовые операции.  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370C2D" w:rsidRDefault="003C6F0C" w:rsidP="00B26C3B">
            <w:pPr>
              <w:spacing w:after="0" w:line="240" w:lineRule="auto"/>
              <w:rPr>
                <w:b/>
                <w:i/>
                <w:lang w:val="ru-RU"/>
              </w:rPr>
            </w:pPr>
            <w:r w:rsidRPr="00370C2D">
              <w:rPr>
                <w:b/>
                <w:i/>
                <w:lang w:val="ru-RU"/>
              </w:rPr>
              <w:t>Рекомендация 26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 w:cs="Arial"/>
                <w:i/>
                <w:lang w:val="ru-RU"/>
              </w:rPr>
            </w:pPr>
            <w:r w:rsidRPr="00B26C3B">
              <w:rPr>
                <w:rFonts w:ascii="Trebuchet MS" w:hAnsi="Trebuchet MS" w:cs="Arial"/>
                <w:i/>
                <w:lang w:val="ru-RU"/>
              </w:rPr>
              <w:t>НЦПТ должен обновить Техзадание для Независимого Аудитора, сделав его более точным/чётким, а также должен чётко определить обязательства аудиторов и объекта аудита в соответствии с «</w:t>
            </w:r>
            <w:r w:rsidRPr="00B26C3B">
              <w:rPr>
                <w:rFonts w:ascii="Trebuchet MS" w:hAnsi="Trebuchet MS" w:cs="Arial"/>
                <w:i/>
                <w:lang w:val="en-US"/>
              </w:rPr>
              <w:t>ISA</w:t>
            </w:r>
            <w:r w:rsidRPr="00B26C3B">
              <w:rPr>
                <w:rFonts w:ascii="Trebuchet MS" w:hAnsi="Trebuchet MS" w:cs="Arial"/>
                <w:i/>
                <w:lang w:val="ru-RU"/>
              </w:rPr>
              <w:t xml:space="preserve">» (Международными Стандартами Аудита).   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(Значимая)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27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/>
                <w:i/>
                <w:lang w:val="ru-RU"/>
              </w:rPr>
            </w:pPr>
            <w:r w:rsidRPr="00B26C3B">
              <w:rPr>
                <w:rFonts w:ascii="Trebuchet MS" w:hAnsi="Trebuchet MS"/>
                <w:i/>
                <w:lang w:val="ru-RU"/>
              </w:rPr>
              <w:t xml:space="preserve">НЦПТ должен уменьшить риск не возврата НДС вследствие ликвидации поставщиков, путём представления более частых заявок на возврат НДС в соответствующие государственные органы (на ежемесячной или ежеквартальной основе). НДС, выплаченный в предыдущие периоды, должен быть возвращён в Проект.    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28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/>
                <w:i/>
                <w:lang w:val="ru-RU"/>
              </w:rPr>
            </w:pPr>
            <w:r w:rsidRPr="00B26C3B">
              <w:rPr>
                <w:rFonts w:ascii="Trebuchet MS" w:hAnsi="Trebuchet MS"/>
                <w:i/>
                <w:lang w:val="ru-RU"/>
              </w:rPr>
              <w:t xml:space="preserve">НЦПТ должен формализовать процесс кассовой/банковской сверки, путём надлежащего документирования этого процесса. Сверка должна верифицироваться независимым менеджером на регулярной основе.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(Высокая)</w:t>
            </w:r>
          </w:p>
        </w:tc>
      </w:tr>
      <w:tr w:rsidR="003C6F0C" w:rsidRPr="00370C2D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29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/>
                <w:i/>
                <w:lang w:val="ru-RU"/>
              </w:rPr>
            </w:pPr>
            <w:r w:rsidRPr="00B26C3B">
              <w:rPr>
                <w:rFonts w:ascii="Trebuchet MS" w:hAnsi="Trebuchet MS"/>
                <w:i/>
                <w:lang w:val="ru-RU"/>
              </w:rPr>
              <w:t xml:space="preserve">НЦПТ должен внедрить комплексный процесс по прогнозированию кассового оборота, который основывался бы не просто на бюджете, но также учитывал бы операционные реалии, включая предусмотренные программные мероприятия, контракты в иностранной валюте, обязательства, непогашенные авансы и т.д.  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30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/>
                <w:i/>
                <w:lang w:val="ru-RU"/>
              </w:rPr>
            </w:pPr>
            <w:r w:rsidRPr="00B26C3B">
              <w:rPr>
                <w:rFonts w:ascii="Trebuchet MS" w:hAnsi="Trebuchet MS"/>
                <w:i/>
                <w:lang w:val="ru-RU"/>
              </w:rPr>
              <w:t xml:space="preserve">НЦПТ должен формализовать процесс аттестации работников и использовать систему формализации и документирования важных кадровых решений, например, продвижение по работе, премирование, обучение и повышение квалификации и т.д. НЦПТ также должен разработать Техзадание для консультантов и тренеров, и надлежащим образом документировать и обосновывать выбор тех или иных консультантов и тренеров;      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(Значимая)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rPr>
                <w:b/>
                <w:i/>
                <w:lang w:val="ru-RU"/>
              </w:rPr>
            </w:pPr>
            <w:r w:rsidRPr="00370C2D">
              <w:rPr>
                <w:b/>
                <w:i/>
                <w:lang w:val="ru-RU"/>
              </w:rPr>
              <w:t>Рекомендация 31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/>
                <w:i/>
                <w:lang w:val="ru-RU"/>
              </w:rPr>
            </w:pPr>
            <w:r w:rsidRPr="00B26C3B">
              <w:rPr>
                <w:rFonts w:ascii="Trebuchet MS" w:hAnsi="Trebuchet MS"/>
                <w:i/>
                <w:lang w:val="ru-RU"/>
              </w:rPr>
              <w:t>Для укрепления контроля над суб-реципиентами, НЦПТ должен: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/>
                <w:i/>
                <w:lang w:val="ru-RU"/>
              </w:rPr>
            </w:pPr>
          </w:p>
          <w:p w:rsidR="003C6F0C" w:rsidRPr="00B26C3B" w:rsidRDefault="003C6F0C" w:rsidP="00B26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/>
                <w:lang w:val="ru-RU"/>
              </w:rPr>
            </w:pPr>
            <w:r w:rsidRPr="00B26C3B">
              <w:rPr>
                <w:i/>
                <w:lang w:val="ru-RU"/>
              </w:rPr>
              <w:t>Проводить предварительную оценку СР-тов с целью определения их</w:t>
            </w:r>
            <w:r w:rsidRPr="00B26C3B">
              <w:rPr>
                <w:lang w:val="ru-RU"/>
              </w:rPr>
              <w:t xml:space="preserve"> </w:t>
            </w:r>
            <w:r w:rsidRPr="00B26C3B">
              <w:rPr>
                <w:i/>
                <w:lang w:val="ru-RU"/>
              </w:rPr>
              <w:t xml:space="preserve">институционального потенциала до подписания с ними каких-либо соглашений; </w:t>
            </w:r>
          </w:p>
          <w:p w:rsidR="003C6F0C" w:rsidRPr="00B26C3B" w:rsidRDefault="003C6F0C" w:rsidP="00B26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/>
                <w:lang w:val="ru-RU"/>
              </w:rPr>
            </w:pPr>
            <w:r w:rsidRPr="00B26C3B">
              <w:rPr>
                <w:i/>
                <w:lang w:val="ru-RU"/>
              </w:rPr>
              <w:t xml:space="preserve">Обеспечить присутствие в составе Оценочной Комиссии специалистов с организационными, финансовыми и операционными навыками, для более тщательной оценки/выбора СР-тов; </w:t>
            </w:r>
          </w:p>
          <w:p w:rsidR="003C6F0C" w:rsidRPr="00B26C3B" w:rsidRDefault="003C6F0C" w:rsidP="00B26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/>
                <w:lang w:val="ru-RU"/>
              </w:rPr>
            </w:pPr>
            <w:r w:rsidRPr="00B26C3B">
              <w:rPr>
                <w:i/>
                <w:lang w:val="ru-RU"/>
              </w:rPr>
              <w:t xml:space="preserve">Увеличить охват и частоту финансового мониторинга СР-тов;     </w:t>
            </w:r>
            <w:r w:rsidRPr="00B26C3B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(Значимая)</w:t>
            </w:r>
          </w:p>
        </w:tc>
      </w:tr>
      <w:tr w:rsidR="003C6F0C" w:rsidRPr="00B26C3B" w:rsidTr="00B26C3B">
        <w:trPr>
          <w:trHeight w:val="96"/>
        </w:trPr>
        <w:tc>
          <w:tcPr>
            <w:tcW w:w="12805" w:type="dxa"/>
          </w:tcPr>
          <w:p w:rsidR="003C6F0C" w:rsidRPr="00B26C3B" w:rsidRDefault="003C6F0C" w:rsidP="00B26C3B">
            <w:pPr>
              <w:spacing w:after="0" w:line="240" w:lineRule="auto"/>
              <w:rPr>
                <w:b/>
                <w:i/>
                <w:lang w:val="ru-RU"/>
              </w:rPr>
            </w:pPr>
            <w:r w:rsidRPr="00B26C3B">
              <w:rPr>
                <w:b/>
                <w:i/>
                <w:lang w:val="ru-RU"/>
              </w:rPr>
              <w:t>Рекомендация 32</w:t>
            </w:r>
          </w:p>
          <w:p w:rsidR="003C6F0C" w:rsidRPr="00B26C3B" w:rsidRDefault="003C6F0C" w:rsidP="00B26C3B">
            <w:pPr>
              <w:spacing w:after="0" w:line="240" w:lineRule="auto"/>
              <w:rPr>
                <w:rFonts w:ascii="Trebuchet MS" w:hAnsi="Trebuchet MS"/>
                <w:i/>
                <w:lang w:val="ru-RU"/>
              </w:rPr>
            </w:pPr>
            <w:r w:rsidRPr="00B26C3B">
              <w:rPr>
                <w:rFonts w:ascii="Trebuchet MS" w:hAnsi="Trebuchet MS"/>
                <w:i/>
                <w:lang w:val="ru-RU"/>
              </w:rPr>
              <w:t xml:space="preserve">НЦПТ должен обеспечить сохранность активов  Проекта, путём ведения Реестра основных фондов суб-реципиентов, а также должен проводить периодическую физическую проверку основных фондов, чтобы убедиться в наличие этих активов на местах. </w:t>
            </w:r>
          </w:p>
        </w:tc>
        <w:tc>
          <w:tcPr>
            <w:tcW w:w="1981" w:type="dxa"/>
          </w:tcPr>
          <w:p w:rsidR="003C6F0C" w:rsidRPr="00B26C3B" w:rsidRDefault="003C6F0C" w:rsidP="00B26C3B">
            <w:pPr>
              <w:spacing w:after="0" w:line="240" w:lineRule="auto"/>
              <w:jc w:val="center"/>
            </w:pPr>
            <w:r w:rsidRPr="00B26C3B">
              <w:rPr>
                <w:b/>
                <w:i/>
              </w:rPr>
              <w:t>(Значимая)</w:t>
            </w:r>
          </w:p>
        </w:tc>
      </w:tr>
    </w:tbl>
    <w:p w:rsidR="003C6F0C" w:rsidRDefault="003C6F0C" w:rsidP="00164CB8">
      <w:pPr>
        <w:rPr>
          <w:rFonts w:ascii="Trebuchet MS" w:hAnsi="Trebuchet MS"/>
          <w:sz w:val="36"/>
          <w:szCs w:val="36"/>
        </w:rPr>
      </w:pPr>
    </w:p>
    <w:sectPr w:rsidR="003C6F0C" w:rsidSect="00B22C83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0C" w:rsidRDefault="003C6F0C" w:rsidP="000012F8">
      <w:pPr>
        <w:spacing w:after="0" w:line="240" w:lineRule="auto"/>
      </w:pPr>
      <w:r>
        <w:separator/>
      </w:r>
    </w:p>
  </w:endnote>
  <w:endnote w:type="continuationSeparator" w:id="0">
    <w:p w:rsidR="003C6F0C" w:rsidRDefault="003C6F0C" w:rsidP="0000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0C" w:rsidRDefault="003C6F0C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3C6F0C" w:rsidRDefault="003C6F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0C" w:rsidRDefault="003C6F0C" w:rsidP="000012F8">
      <w:pPr>
        <w:spacing w:after="0" w:line="240" w:lineRule="auto"/>
      </w:pPr>
      <w:r>
        <w:separator/>
      </w:r>
    </w:p>
  </w:footnote>
  <w:footnote w:type="continuationSeparator" w:id="0">
    <w:p w:rsidR="003C6F0C" w:rsidRDefault="003C6F0C" w:rsidP="00001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001C47"/>
    <w:multiLevelType w:val="hybridMultilevel"/>
    <w:tmpl w:val="0C08E5F8"/>
    <w:lvl w:ilvl="0" w:tplc="08090017">
      <w:start w:val="1"/>
      <w:numFmt w:val="lowerLetter"/>
      <w:lvlText w:val="%1)"/>
      <w:lvlJc w:val="left"/>
      <w:pPr>
        <w:ind w:left="79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>
    <w:nsid w:val="07CE2B26"/>
    <w:multiLevelType w:val="hybridMultilevel"/>
    <w:tmpl w:val="3968D5EA"/>
    <w:lvl w:ilvl="0" w:tplc="7DA225F6">
      <w:start w:val="1"/>
      <w:numFmt w:val="bullet"/>
      <w:pStyle w:val="TananiaRecommendation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E0528B"/>
    <w:multiLevelType w:val="hybridMultilevel"/>
    <w:tmpl w:val="CB1EBD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4044A"/>
    <w:multiLevelType w:val="hybridMultilevel"/>
    <w:tmpl w:val="18FCC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C0EED"/>
    <w:multiLevelType w:val="hybridMultilevel"/>
    <w:tmpl w:val="D824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C3B81"/>
    <w:multiLevelType w:val="hybridMultilevel"/>
    <w:tmpl w:val="03C615B2"/>
    <w:lvl w:ilvl="0" w:tplc="494C5E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FD7C51"/>
    <w:multiLevelType w:val="hybridMultilevel"/>
    <w:tmpl w:val="214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B538D"/>
    <w:multiLevelType w:val="hybridMultilevel"/>
    <w:tmpl w:val="1B3412C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9714592"/>
    <w:multiLevelType w:val="hybridMultilevel"/>
    <w:tmpl w:val="60A287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624AA2"/>
    <w:multiLevelType w:val="hybridMultilevel"/>
    <w:tmpl w:val="BB9AA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94E48"/>
    <w:multiLevelType w:val="hybridMultilevel"/>
    <w:tmpl w:val="BBB6B11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2106129B"/>
    <w:multiLevelType w:val="hybridMultilevel"/>
    <w:tmpl w:val="CA92E6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7078AF"/>
    <w:multiLevelType w:val="hybridMultilevel"/>
    <w:tmpl w:val="761C7490"/>
    <w:lvl w:ilvl="0" w:tplc="48F8E702">
      <w:start w:val="1"/>
      <w:numFmt w:val="lowerLetter"/>
      <w:lvlText w:val="(%1)"/>
      <w:lvlJc w:val="left"/>
      <w:pPr>
        <w:ind w:left="1353" w:hanging="360"/>
      </w:pPr>
      <w:rPr>
        <w:rFonts w:ascii="Trebuchet MS" w:hAnsi="Trebuchet MS" w:cs="Times New Roman" w:hint="default"/>
        <w:i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2E6F1815"/>
    <w:multiLevelType w:val="hybridMultilevel"/>
    <w:tmpl w:val="328EB8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5721D"/>
    <w:multiLevelType w:val="hybridMultilevel"/>
    <w:tmpl w:val="28129C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AF6461"/>
    <w:multiLevelType w:val="hybridMultilevel"/>
    <w:tmpl w:val="0C08E5F8"/>
    <w:lvl w:ilvl="0" w:tplc="08090017">
      <w:start w:val="1"/>
      <w:numFmt w:val="lowerLetter"/>
      <w:lvlText w:val="%1)"/>
      <w:lvlJc w:val="left"/>
      <w:pPr>
        <w:ind w:left="79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7">
    <w:nsid w:val="4C9D59C0"/>
    <w:multiLevelType w:val="hybridMultilevel"/>
    <w:tmpl w:val="41387D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23603C"/>
    <w:multiLevelType w:val="hybridMultilevel"/>
    <w:tmpl w:val="57CCAB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5A2C81"/>
    <w:multiLevelType w:val="hybridMultilevel"/>
    <w:tmpl w:val="3176F9CC"/>
    <w:lvl w:ilvl="0" w:tplc="C596A83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396B89"/>
    <w:multiLevelType w:val="hybridMultilevel"/>
    <w:tmpl w:val="03C615B2"/>
    <w:lvl w:ilvl="0" w:tplc="494C5E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A7486C"/>
    <w:multiLevelType w:val="hybridMultilevel"/>
    <w:tmpl w:val="3388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FCE0E9F"/>
    <w:multiLevelType w:val="hybridMultilevel"/>
    <w:tmpl w:val="2920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D40D8"/>
    <w:multiLevelType w:val="hybridMultilevel"/>
    <w:tmpl w:val="CB1EBD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963E2D"/>
    <w:multiLevelType w:val="hybridMultilevel"/>
    <w:tmpl w:val="2DCAEAF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76AC6997"/>
    <w:multiLevelType w:val="hybridMultilevel"/>
    <w:tmpl w:val="1430D7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314BE0"/>
    <w:multiLevelType w:val="hybridMultilevel"/>
    <w:tmpl w:val="417A6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7256F"/>
    <w:multiLevelType w:val="hybridMultilevel"/>
    <w:tmpl w:val="876A67C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"/>
  </w:num>
  <w:num w:numId="5">
    <w:abstractNumId w:val="18"/>
  </w:num>
  <w:num w:numId="6">
    <w:abstractNumId w:val="23"/>
  </w:num>
  <w:num w:numId="7">
    <w:abstractNumId w:val="17"/>
  </w:num>
  <w:num w:numId="8">
    <w:abstractNumId w:val="1"/>
  </w:num>
  <w:num w:numId="9">
    <w:abstractNumId w:val="25"/>
  </w:num>
  <w:num w:numId="10">
    <w:abstractNumId w:val="6"/>
  </w:num>
  <w:num w:numId="11">
    <w:abstractNumId w:val="16"/>
  </w:num>
  <w:num w:numId="12">
    <w:abstractNumId w:val="3"/>
  </w:num>
  <w:num w:numId="13">
    <w:abstractNumId w:val="20"/>
  </w:num>
  <w:num w:numId="14">
    <w:abstractNumId w:val="12"/>
  </w:num>
  <w:num w:numId="15">
    <w:abstractNumId w:val="4"/>
  </w:num>
  <w:num w:numId="16">
    <w:abstractNumId w:val="13"/>
  </w:num>
  <w:num w:numId="17">
    <w:abstractNumId w:val="26"/>
  </w:num>
  <w:num w:numId="18">
    <w:abstractNumId w:val="24"/>
  </w:num>
  <w:num w:numId="19">
    <w:abstractNumId w:val="27"/>
  </w:num>
  <w:num w:numId="20">
    <w:abstractNumId w:val="8"/>
  </w:num>
  <w:num w:numId="21">
    <w:abstractNumId w:val="11"/>
  </w:num>
  <w:num w:numId="22">
    <w:abstractNumId w:val="14"/>
  </w:num>
  <w:num w:numId="23">
    <w:abstractNumId w:val="19"/>
  </w:num>
  <w:num w:numId="24">
    <w:abstractNumId w:val="15"/>
  </w:num>
  <w:num w:numId="25">
    <w:abstractNumId w:val="9"/>
  </w:num>
  <w:num w:numId="26">
    <w:abstractNumId w:val="7"/>
  </w:num>
  <w:num w:numId="27">
    <w:abstractNumId w:val="10"/>
  </w:num>
  <w:num w:numId="28">
    <w:abstractNumId w:val="21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1F4"/>
    <w:rsid w:val="000012F8"/>
    <w:rsid w:val="0004677F"/>
    <w:rsid w:val="00067CCB"/>
    <w:rsid w:val="000736D7"/>
    <w:rsid w:val="00086944"/>
    <w:rsid w:val="000C3D6D"/>
    <w:rsid w:val="00102DF3"/>
    <w:rsid w:val="00115974"/>
    <w:rsid w:val="001401C7"/>
    <w:rsid w:val="00150601"/>
    <w:rsid w:val="00164CB8"/>
    <w:rsid w:val="00181850"/>
    <w:rsid w:val="001A6D77"/>
    <w:rsid w:val="002012D3"/>
    <w:rsid w:val="00202020"/>
    <w:rsid w:val="00207C51"/>
    <w:rsid w:val="00221289"/>
    <w:rsid w:val="0025680E"/>
    <w:rsid w:val="0027648C"/>
    <w:rsid w:val="002B2655"/>
    <w:rsid w:val="002E0AE0"/>
    <w:rsid w:val="002E103B"/>
    <w:rsid w:val="00343906"/>
    <w:rsid w:val="00352C7C"/>
    <w:rsid w:val="00370C2D"/>
    <w:rsid w:val="00397357"/>
    <w:rsid w:val="003C6F0C"/>
    <w:rsid w:val="003D6A99"/>
    <w:rsid w:val="003F0EC8"/>
    <w:rsid w:val="003F1C31"/>
    <w:rsid w:val="004200E4"/>
    <w:rsid w:val="004238D4"/>
    <w:rsid w:val="004366AD"/>
    <w:rsid w:val="00443C38"/>
    <w:rsid w:val="004522B6"/>
    <w:rsid w:val="004669B8"/>
    <w:rsid w:val="00470B90"/>
    <w:rsid w:val="00492223"/>
    <w:rsid w:val="004A4C04"/>
    <w:rsid w:val="004A613F"/>
    <w:rsid w:val="004B1EA7"/>
    <w:rsid w:val="004C69F5"/>
    <w:rsid w:val="004D1B04"/>
    <w:rsid w:val="004D3E64"/>
    <w:rsid w:val="004E2EF4"/>
    <w:rsid w:val="004E3B52"/>
    <w:rsid w:val="005169A6"/>
    <w:rsid w:val="00526F6A"/>
    <w:rsid w:val="005402C5"/>
    <w:rsid w:val="0054534B"/>
    <w:rsid w:val="0055278F"/>
    <w:rsid w:val="00565158"/>
    <w:rsid w:val="00572862"/>
    <w:rsid w:val="00595A4C"/>
    <w:rsid w:val="005C5AD0"/>
    <w:rsid w:val="0061655D"/>
    <w:rsid w:val="00625A7E"/>
    <w:rsid w:val="00633794"/>
    <w:rsid w:val="00643201"/>
    <w:rsid w:val="00681829"/>
    <w:rsid w:val="006E2DB6"/>
    <w:rsid w:val="006F61F9"/>
    <w:rsid w:val="007043CC"/>
    <w:rsid w:val="007437CD"/>
    <w:rsid w:val="007454CE"/>
    <w:rsid w:val="00751405"/>
    <w:rsid w:val="00780B65"/>
    <w:rsid w:val="007E4A1E"/>
    <w:rsid w:val="008052D1"/>
    <w:rsid w:val="00885B3E"/>
    <w:rsid w:val="008A4CBE"/>
    <w:rsid w:val="0091600D"/>
    <w:rsid w:val="00921891"/>
    <w:rsid w:val="00926787"/>
    <w:rsid w:val="009418FA"/>
    <w:rsid w:val="00993003"/>
    <w:rsid w:val="009A13DD"/>
    <w:rsid w:val="009C1D65"/>
    <w:rsid w:val="009E2DD8"/>
    <w:rsid w:val="00A40D5F"/>
    <w:rsid w:val="00A41D77"/>
    <w:rsid w:val="00A578BA"/>
    <w:rsid w:val="00A738AA"/>
    <w:rsid w:val="00A923B6"/>
    <w:rsid w:val="00AA0246"/>
    <w:rsid w:val="00AF1DB8"/>
    <w:rsid w:val="00AF2530"/>
    <w:rsid w:val="00B22C83"/>
    <w:rsid w:val="00B26C3B"/>
    <w:rsid w:val="00B50767"/>
    <w:rsid w:val="00B5191D"/>
    <w:rsid w:val="00B62103"/>
    <w:rsid w:val="00B64294"/>
    <w:rsid w:val="00B85FD9"/>
    <w:rsid w:val="00B86975"/>
    <w:rsid w:val="00BD42E9"/>
    <w:rsid w:val="00BE7417"/>
    <w:rsid w:val="00BF1F86"/>
    <w:rsid w:val="00C3212C"/>
    <w:rsid w:val="00C43D1C"/>
    <w:rsid w:val="00C462D6"/>
    <w:rsid w:val="00C56B91"/>
    <w:rsid w:val="00C61B59"/>
    <w:rsid w:val="00C657AC"/>
    <w:rsid w:val="00C74D14"/>
    <w:rsid w:val="00C80E9D"/>
    <w:rsid w:val="00CA06A2"/>
    <w:rsid w:val="00CC7B1C"/>
    <w:rsid w:val="00CE13F9"/>
    <w:rsid w:val="00CF0A61"/>
    <w:rsid w:val="00D06E42"/>
    <w:rsid w:val="00D44238"/>
    <w:rsid w:val="00D7394D"/>
    <w:rsid w:val="00D75088"/>
    <w:rsid w:val="00DF0D14"/>
    <w:rsid w:val="00E16813"/>
    <w:rsid w:val="00E65FA5"/>
    <w:rsid w:val="00E97682"/>
    <w:rsid w:val="00EB26C5"/>
    <w:rsid w:val="00EB44C3"/>
    <w:rsid w:val="00ED23FC"/>
    <w:rsid w:val="00EE519C"/>
    <w:rsid w:val="00EF0529"/>
    <w:rsid w:val="00EF2B91"/>
    <w:rsid w:val="00F17AD2"/>
    <w:rsid w:val="00F20467"/>
    <w:rsid w:val="00F45001"/>
    <w:rsid w:val="00F642C8"/>
    <w:rsid w:val="00F832C4"/>
    <w:rsid w:val="00FB5114"/>
    <w:rsid w:val="00FB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F4"/>
    <w:pPr>
      <w:spacing w:after="200" w:line="276" w:lineRule="auto"/>
    </w:pPr>
    <w:rPr>
      <w:rFonts w:eastAsia="Times New Roman"/>
      <w:lang w:val="en-ZA" w:eastAsia="en-Z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51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012F8"/>
    <w:pPr>
      <w:spacing w:after="120"/>
      <w:ind w:left="720"/>
      <w:contextualSpacing/>
      <w:jc w:val="both"/>
    </w:pPr>
    <w:rPr>
      <w:rFonts w:ascii="Trebuchet MS" w:eastAsia="Calibri" w:hAnsi="Trebuchet MS"/>
      <w:lang w:val="en-US" w:eastAsia="en-US"/>
    </w:rPr>
  </w:style>
  <w:style w:type="paragraph" w:customStyle="1" w:styleId="TableCells">
    <w:name w:val="Table Cells"/>
    <w:basedOn w:val="Normal"/>
    <w:uiPriority w:val="99"/>
    <w:rsid w:val="000012F8"/>
    <w:pPr>
      <w:spacing w:before="60" w:after="60" w:line="240" w:lineRule="auto"/>
    </w:pPr>
    <w:rPr>
      <w:rFonts w:ascii="Trebuchet MS" w:eastAsia="Calibri" w:hAnsi="Trebuchet MS"/>
      <w:sz w:val="18"/>
      <w:szCs w:val="18"/>
      <w:lang w:val="en-US" w:eastAsia="en-US"/>
    </w:rPr>
  </w:style>
  <w:style w:type="character" w:styleId="FootnoteReference">
    <w:name w:val="footnote reference"/>
    <w:basedOn w:val="DefaultParagraphFont"/>
    <w:uiPriority w:val="99"/>
    <w:rsid w:val="000012F8"/>
    <w:rPr>
      <w:rFonts w:cs="Times New Roman"/>
      <w:vertAlign w:val="superscript"/>
    </w:rPr>
  </w:style>
  <w:style w:type="paragraph" w:customStyle="1" w:styleId="TananiaRecommendations">
    <w:name w:val="Tanania Recommendations"/>
    <w:basedOn w:val="Normal"/>
    <w:uiPriority w:val="99"/>
    <w:rsid w:val="000012F8"/>
    <w:pPr>
      <w:numPr>
        <w:numId w:val="3"/>
      </w:numPr>
      <w:spacing w:after="0" w:line="240" w:lineRule="auto"/>
      <w:jc w:val="both"/>
    </w:pPr>
    <w:rPr>
      <w:rFonts w:ascii="Arial" w:hAnsi="Arial" w:cs="Arial"/>
      <w:i/>
      <w:iCs/>
      <w:sz w:val="24"/>
      <w:szCs w:val="20"/>
      <w:lang w:val="en-GB" w:eastAsia="en-GB"/>
    </w:rPr>
  </w:style>
  <w:style w:type="character" w:customStyle="1" w:styleId="A3">
    <w:name w:val="A3"/>
    <w:uiPriority w:val="99"/>
    <w:rsid w:val="000012F8"/>
    <w:rPr>
      <w:color w:val="000000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4D3E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D3E64"/>
    <w:rPr>
      <w:rFonts w:eastAsia="Times New Roman" w:cs="Times New Roman"/>
      <w:sz w:val="20"/>
      <w:szCs w:val="20"/>
      <w:lang w:val="en-ZA" w:eastAsia="en-ZA"/>
    </w:rPr>
  </w:style>
  <w:style w:type="paragraph" w:styleId="NormalWeb">
    <w:name w:val="Normal (Web)"/>
    <w:basedOn w:val="Normal"/>
    <w:uiPriority w:val="99"/>
    <w:semiHidden/>
    <w:rsid w:val="009E2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256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680E"/>
    <w:rPr>
      <w:rFonts w:eastAsia="Times New Roman" w:cs="Times New Roman"/>
      <w:lang w:val="en-ZA" w:eastAsia="en-ZA"/>
    </w:rPr>
  </w:style>
  <w:style w:type="paragraph" w:styleId="Footer">
    <w:name w:val="footer"/>
    <w:basedOn w:val="Normal"/>
    <w:link w:val="FooterChar"/>
    <w:uiPriority w:val="99"/>
    <w:rsid w:val="00256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680E"/>
    <w:rPr>
      <w:rFonts w:eastAsia="Times New Roman" w:cs="Times New Roman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457</TotalTime>
  <Pages>6</Pages>
  <Words>1608</Words>
  <Characters>9169</Characters>
  <Application>Microsoft Office Outlook</Application>
  <DocSecurity>0</DocSecurity>
  <Lines>0</Lines>
  <Paragraphs>0</Paragraphs>
  <ScaleCrop>false</ScaleCrop>
  <Company>The Global Fund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Loukili</dc:creator>
  <cp:keywords/>
  <dc:description/>
  <cp:lastModifiedBy>A.</cp:lastModifiedBy>
  <cp:revision>35</cp:revision>
  <dcterms:created xsi:type="dcterms:W3CDTF">2011-08-02T09:26:00Z</dcterms:created>
  <dcterms:modified xsi:type="dcterms:W3CDTF">2011-08-09T06:29:00Z</dcterms:modified>
</cp:coreProperties>
</file>