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21204" w14:textId="299411B1" w:rsidR="00E14288" w:rsidRPr="005540B1" w:rsidRDefault="00E14288" w:rsidP="00686466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mallCaps w:val="0"/>
          <w:spacing w:val="0"/>
          <w:sz w:val="40"/>
          <w:szCs w:val="24"/>
        </w:rPr>
      </w:pPr>
      <w:r w:rsidRPr="005540B1">
        <w:rPr>
          <w:rFonts w:ascii="Times New Roman" w:hAnsi="Times New Roman" w:cs="Times New Roman"/>
          <w:b/>
          <w:bCs/>
          <w:i w:val="0"/>
          <w:iCs w:val="0"/>
          <w:smallCaps w:val="0"/>
          <w:spacing w:val="0"/>
          <w:sz w:val="40"/>
          <w:szCs w:val="24"/>
        </w:rPr>
        <w:br/>
      </w:r>
    </w:p>
    <w:p w14:paraId="1AA9E94A" w14:textId="77777777" w:rsidR="00E14288" w:rsidRDefault="00E14288" w:rsidP="00E14288">
      <w:pPr>
        <w:pStyle w:val="Subtitle"/>
        <w:jc w:val="center"/>
        <w:rPr>
          <w:rFonts w:ascii="Times New Roman" w:hAnsi="Times New Roman" w:cs="Times New Roman"/>
          <w:b/>
          <w:bCs/>
          <w:i w:val="0"/>
          <w:iCs w:val="0"/>
          <w:smallCaps w:val="0"/>
          <w:spacing w:val="0"/>
          <w:sz w:val="40"/>
          <w:szCs w:val="24"/>
        </w:rPr>
      </w:pPr>
    </w:p>
    <w:p w14:paraId="5F0B57CC" w14:textId="77777777" w:rsidR="00686466" w:rsidRDefault="00686466" w:rsidP="00686466"/>
    <w:p w14:paraId="51341D6D" w14:textId="77777777" w:rsidR="00686466" w:rsidRDefault="00686466" w:rsidP="00686466"/>
    <w:p w14:paraId="5759C326" w14:textId="77777777" w:rsidR="00686466" w:rsidRDefault="00686466" w:rsidP="00686466"/>
    <w:p w14:paraId="29A07FDE" w14:textId="77777777" w:rsidR="00686466" w:rsidRDefault="00686466" w:rsidP="00686466"/>
    <w:p w14:paraId="0D56332E" w14:textId="77777777" w:rsidR="00686466" w:rsidRPr="00686466" w:rsidRDefault="00686466" w:rsidP="00686466"/>
    <w:p w14:paraId="03677A74" w14:textId="6AE8AD5D" w:rsidR="00E14288" w:rsidRPr="005540B1" w:rsidRDefault="00E14288" w:rsidP="00E14288">
      <w:pPr>
        <w:pStyle w:val="Subtitle"/>
        <w:jc w:val="center"/>
        <w:rPr>
          <w:rFonts w:ascii="Times New Roman" w:hAnsi="Times New Roman" w:cs="Times New Roman"/>
          <w:sz w:val="40"/>
          <w:szCs w:val="24"/>
        </w:rPr>
      </w:pPr>
      <w:r w:rsidRPr="005540B1">
        <w:rPr>
          <w:rFonts w:ascii="Times New Roman" w:hAnsi="Times New Roman" w:cs="Times New Roman"/>
          <w:b/>
          <w:bCs/>
          <w:i w:val="0"/>
          <w:iCs w:val="0"/>
          <w:smallCaps w:val="0"/>
          <w:spacing w:val="0"/>
          <w:sz w:val="40"/>
          <w:szCs w:val="24"/>
        </w:rPr>
        <w:t>План устойчивости и готовности к переходу от международного к внутреннему финансированию мероприятий по борьбе с туберкулезом</w:t>
      </w:r>
    </w:p>
    <w:p w14:paraId="33D15AF4" w14:textId="77777777" w:rsidR="00E14288" w:rsidRPr="005540B1" w:rsidRDefault="00E14288" w:rsidP="00E14288">
      <w:pPr>
        <w:pStyle w:val="Subtitle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252034682"/>
      <w:bookmarkStart w:id="1" w:name="_Toc252035117"/>
      <w:bookmarkStart w:id="2" w:name="_Toc347850904"/>
      <w:bookmarkStart w:id="3" w:name="_Toc348123856"/>
    </w:p>
    <w:p w14:paraId="019B1FEE" w14:textId="77777777" w:rsidR="00E14288" w:rsidRPr="005540B1" w:rsidRDefault="00E14288" w:rsidP="00E14288">
      <w:pPr>
        <w:jc w:val="both"/>
      </w:pPr>
    </w:p>
    <w:p w14:paraId="3724A668" w14:textId="77777777" w:rsidR="00E14288" w:rsidRPr="005540B1" w:rsidRDefault="00E14288" w:rsidP="00E14288">
      <w:pPr>
        <w:jc w:val="both"/>
      </w:pPr>
    </w:p>
    <w:p w14:paraId="1410BF6C" w14:textId="77777777" w:rsidR="00E14288" w:rsidRPr="005540B1" w:rsidRDefault="00E14288" w:rsidP="00E14288">
      <w:pPr>
        <w:jc w:val="both"/>
      </w:pPr>
    </w:p>
    <w:p w14:paraId="0932DA3D" w14:textId="77777777" w:rsidR="00E14288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348123859"/>
      <w:bookmarkStart w:id="5" w:name="_Toc347850907"/>
      <w:bookmarkStart w:id="6" w:name="_Toc252035120"/>
      <w:bookmarkStart w:id="7" w:name="_Toc252034685"/>
      <w:bookmarkEnd w:id="0"/>
      <w:bookmarkEnd w:id="1"/>
      <w:bookmarkEnd w:id="2"/>
      <w:bookmarkEnd w:id="3"/>
    </w:p>
    <w:p w14:paraId="5305E35D" w14:textId="77777777" w:rsidR="00951FE4" w:rsidRDefault="00951FE4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F0419A" w14:textId="77777777" w:rsidR="00951FE4" w:rsidRDefault="00951FE4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16A1D" w14:textId="77777777" w:rsidR="00951FE4" w:rsidRDefault="00951FE4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B11CD" w14:textId="77777777" w:rsidR="00E14288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622C9" w14:textId="77777777" w:rsidR="00686466" w:rsidRPr="005540B1" w:rsidRDefault="00686466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A0F4C4" w14:textId="77777777" w:rsidR="00354734" w:rsidRDefault="00354734" w:rsidP="00E14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14"/>
          <w:tab w:val="left" w:pos="4956"/>
          <w:tab w:val="left" w:pos="5664"/>
          <w:tab w:val="right" w:pos="9029"/>
        </w:tabs>
        <w:jc w:val="center"/>
        <w:rPr>
          <w:rFonts w:ascii="Times New Roman" w:hAnsi="Times New Roman" w:cs="Times New Roman"/>
          <w:sz w:val="28"/>
          <w:szCs w:val="24"/>
        </w:rPr>
      </w:pPr>
    </w:p>
    <w:p w14:paraId="1B16D5CB" w14:textId="77777777" w:rsidR="00E14288" w:rsidRPr="005540B1" w:rsidRDefault="00E14288" w:rsidP="00E14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14"/>
          <w:tab w:val="left" w:pos="4956"/>
          <w:tab w:val="left" w:pos="5664"/>
          <w:tab w:val="right" w:pos="9029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5540B1">
        <w:rPr>
          <w:rFonts w:ascii="Times New Roman" w:hAnsi="Times New Roman" w:cs="Times New Roman"/>
          <w:sz w:val="28"/>
          <w:szCs w:val="24"/>
        </w:rPr>
        <w:t>Алматы 2018 год</w:t>
      </w:r>
    </w:p>
    <w:p w14:paraId="56148B03" w14:textId="77777777" w:rsidR="00E14288" w:rsidRPr="005540B1" w:rsidRDefault="00E14288" w:rsidP="00E14288">
      <w:pPr>
        <w:tabs>
          <w:tab w:val="center" w:pos="4514"/>
          <w:tab w:val="right" w:pos="9029"/>
        </w:tabs>
        <w:jc w:val="both"/>
        <w:rPr>
          <w:rFonts w:ascii="Times New Roman" w:hAnsi="Times New Roman" w:cs="Times New Roman"/>
          <w:sz w:val="24"/>
          <w:szCs w:val="24"/>
        </w:rPr>
        <w:sectPr w:rsidR="00E14288" w:rsidRPr="005540B1" w:rsidSect="003547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2016" w:right="1440" w:bottom="1440" w:left="1440" w:header="720" w:footer="403" w:gutter="0"/>
          <w:pgNumType w:fmt="lowerRoman" w:start="1"/>
          <w:cols w:space="720"/>
          <w:titlePg/>
          <w:docGrid w:linePitch="360"/>
        </w:sectPr>
      </w:pPr>
    </w:p>
    <w:p w14:paraId="679FE99D" w14:textId="77777777" w:rsidR="00A10C77" w:rsidRDefault="006B0999" w:rsidP="006B0999">
      <w:pPr>
        <w:spacing w:after="0" w:line="240" w:lineRule="auto"/>
        <w:jc w:val="right"/>
        <w:outlineLvl w:val="0"/>
        <w:rPr>
          <w:b/>
          <w:sz w:val="24"/>
          <w:szCs w:val="24"/>
        </w:rPr>
      </w:pPr>
      <w:bookmarkStart w:id="8" w:name="_Toc487460935"/>
      <w:bookmarkEnd w:id="4"/>
      <w:bookmarkEnd w:id="5"/>
      <w:bookmarkEnd w:id="6"/>
      <w:bookmarkEnd w:id="7"/>
      <w:r w:rsidRPr="006B0999">
        <w:rPr>
          <w:b/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14:paraId="25EC725A" w14:textId="2BDDD438" w:rsidR="00A10C77" w:rsidRPr="00A10C77" w:rsidRDefault="00A10C77" w:rsidP="00A10C77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6B0">
        <w:rPr>
          <w:rFonts w:ascii="Times New Roman" w:hAnsi="Times New Roman" w:cs="Times New Roman"/>
          <w:sz w:val="28"/>
          <w:szCs w:val="28"/>
        </w:rPr>
        <w:t>ПРОГРАММА БОРЬБЫ С ТУБЕРКУЛЕЗОМ В РЕСПУБЛИКЕ КАЗАХСТАН</w:t>
      </w:r>
    </w:p>
    <w:p w14:paraId="3DF33FB9" w14:textId="77777777" w:rsidR="00A10C77" w:rsidRDefault="00A10C77" w:rsidP="00A10C77">
      <w:pPr>
        <w:spacing w:after="0" w:line="240" w:lineRule="auto"/>
        <w:outlineLvl w:val="0"/>
        <w:rPr>
          <w:b/>
          <w:sz w:val="24"/>
          <w:szCs w:val="24"/>
        </w:rPr>
      </w:pPr>
    </w:p>
    <w:p w14:paraId="37E06DF4" w14:textId="77777777" w:rsidR="00A10C77" w:rsidRDefault="00A10C77" w:rsidP="006B0999">
      <w:pPr>
        <w:spacing w:after="0" w:line="240" w:lineRule="auto"/>
        <w:jc w:val="right"/>
        <w:outlineLvl w:val="0"/>
        <w:rPr>
          <w:b/>
          <w:sz w:val="24"/>
          <w:szCs w:val="24"/>
        </w:rPr>
      </w:pPr>
    </w:p>
    <w:p w14:paraId="289F8A4D" w14:textId="7CD22BEF" w:rsidR="006B0999" w:rsidRPr="00AD47B2" w:rsidRDefault="006B0999" w:rsidP="00AD47B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9" w:name="_Toc532477373"/>
      <w:r w:rsidRPr="00AD47B2">
        <w:rPr>
          <w:rFonts w:ascii="Times New Roman" w:hAnsi="Times New Roman" w:cs="Times New Roman"/>
          <w:sz w:val="24"/>
          <w:szCs w:val="24"/>
        </w:rPr>
        <w:t>«УТВЕРЖДЕН»</w:t>
      </w:r>
      <w:bookmarkEnd w:id="9"/>
    </w:p>
    <w:p w14:paraId="0E8AA736" w14:textId="37BF7593" w:rsidR="006B0999" w:rsidRPr="00AD47B2" w:rsidRDefault="006B0999" w:rsidP="00FD48AA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792A86BD" w14:textId="6A7C008F" w:rsidR="006B0999" w:rsidRPr="00AD47B2" w:rsidRDefault="006B0999" w:rsidP="00FD48A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AD47B2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10" w:name="_Toc532477374"/>
      <w:r w:rsidRPr="00AD47B2">
        <w:rPr>
          <w:rFonts w:ascii="Times New Roman" w:hAnsi="Times New Roman" w:cs="Times New Roman"/>
          <w:sz w:val="24"/>
          <w:szCs w:val="24"/>
        </w:rPr>
        <w:t>Директор РГП на ПХВ «Национальный</w:t>
      </w:r>
      <w:bookmarkEnd w:id="10"/>
      <w:r w:rsidRPr="00AD47B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86177AE" w14:textId="191DC607" w:rsidR="006B0999" w:rsidRPr="00AD47B2" w:rsidRDefault="006B0999" w:rsidP="00FD48AA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D47B2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11" w:name="_Toc532477375"/>
      <w:r w:rsidRPr="00AD47B2">
        <w:rPr>
          <w:rFonts w:ascii="Times New Roman" w:hAnsi="Times New Roman" w:cs="Times New Roman"/>
          <w:sz w:val="24"/>
          <w:szCs w:val="24"/>
        </w:rPr>
        <w:t>научный центр фтизиопульмонологии» МЗРК</w:t>
      </w:r>
      <w:bookmarkEnd w:id="11"/>
      <w:r w:rsidRPr="00AD47B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D0A56ED" w14:textId="77777777" w:rsidR="006B0999" w:rsidRPr="00AD47B2" w:rsidRDefault="006B0999" w:rsidP="00AD47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E394532" w14:textId="00CB5E76" w:rsidR="006B0999" w:rsidRPr="00AD47B2" w:rsidRDefault="006B0999" w:rsidP="00AD47B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AD47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12" w:name="_Toc532477376"/>
      <w:r w:rsidRPr="00AD47B2">
        <w:rPr>
          <w:rFonts w:ascii="Times New Roman" w:hAnsi="Times New Roman" w:cs="Times New Roman"/>
          <w:sz w:val="24"/>
          <w:szCs w:val="24"/>
        </w:rPr>
        <w:t>Аденов М.М.</w:t>
      </w:r>
      <w:bookmarkEnd w:id="12"/>
      <w:r w:rsidRPr="00AD47B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3187E2E" w14:textId="77777777" w:rsidR="006B0999" w:rsidRPr="00AD47B2" w:rsidRDefault="006B0999" w:rsidP="00AD47B2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E12B38E" w14:textId="5889C10A" w:rsidR="00354734" w:rsidRPr="00AD47B2" w:rsidRDefault="006B0999" w:rsidP="00AD47B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47B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D48A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13" w:name="_Toc532477377"/>
      <w:r w:rsidR="00FD48AA">
        <w:rPr>
          <w:rFonts w:ascii="Times New Roman" w:hAnsi="Times New Roman" w:cs="Times New Roman"/>
          <w:sz w:val="24"/>
          <w:szCs w:val="24"/>
        </w:rPr>
        <w:t>от «</w:t>
      </w:r>
      <w:r w:rsidRPr="00AD47B2">
        <w:rPr>
          <w:rFonts w:ascii="Times New Roman" w:hAnsi="Times New Roman" w:cs="Times New Roman"/>
          <w:sz w:val="24"/>
          <w:szCs w:val="24"/>
        </w:rPr>
        <w:t xml:space="preserve">         »__________201</w:t>
      </w:r>
      <w:r w:rsidR="0053195E" w:rsidRPr="00AD47B2">
        <w:rPr>
          <w:rFonts w:ascii="Times New Roman" w:hAnsi="Times New Roman" w:cs="Times New Roman"/>
          <w:sz w:val="24"/>
          <w:szCs w:val="24"/>
        </w:rPr>
        <w:t>8</w:t>
      </w:r>
      <w:r w:rsidRPr="00AD47B2">
        <w:rPr>
          <w:rFonts w:ascii="Times New Roman" w:hAnsi="Times New Roman" w:cs="Times New Roman"/>
          <w:sz w:val="24"/>
          <w:szCs w:val="24"/>
        </w:rPr>
        <w:t xml:space="preserve"> г.</w:t>
      </w:r>
      <w:bookmarkEnd w:id="13"/>
    </w:p>
    <w:p w14:paraId="2AFA35D1" w14:textId="77777777" w:rsidR="006216B0" w:rsidRDefault="006216B0" w:rsidP="00AD47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94C1C6" w14:textId="77777777" w:rsidR="006216B0" w:rsidRDefault="006216B0" w:rsidP="00AD47B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65E1E03" w14:textId="77777777" w:rsidR="006216B0" w:rsidRDefault="006216B0" w:rsidP="006216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B23687" w14:textId="77777777" w:rsidR="006216B0" w:rsidRDefault="006216B0" w:rsidP="006216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C5730A" w14:textId="5EF03C25" w:rsidR="00E14288" w:rsidRPr="006216B0" w:rsidRDefault="00354734" w:rsidP="006216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6B0">
        <w:rPr>
          <w:rFonts w:ascii="Times New Roman" w:hAnsi="Times New Roman" w:cs="Times New Roman"/>
          <w:b/>
          <w:sz w:val="32"/>
          <w:szCs w:val="32"/>
        </w:rPr>
        <w:t xml:space="preserve">ПЛАН УСТОЙЧИВОСТИ И ГОТОВНОСТИ К ПЕРЕХОДУ ОТ МЕЖДУНАРОДНОГО </w:t>
      </w:r>
      <w:r w:rsidR="006216B0" w:rsidRPr="006216B0">
        <w:rPr>
          <w:rFonts w:ascii="Times New Roman" w:hAnsi="Times New Roman" w:cs="Times New Roman"/>
          <w:b/>
          <w:sz w:val="32"/>
          <w:szCs w:val="32"/>
        </w:rPr>
        <w:t>К ВНУТРЕННЕМУ ФИНАНСИРОВАНИЮ</w:t>
      </w:r>
      <w:r w:rsidR="00383FF5">
        <w:rPr>
          <w:rFonts w:ascii="Times New Roman" w:hAnsi="Times New Roman" w:cs="Times New Roman"/>
          <w:b/>
          <w:sz w:val="32"/>
          <w:szCs w:val="32"/>
        </w:rPr>
        <w:t xml:space="preserve"> МЕРОПРИЯТИЙ ПО БО</w:t>
      </w:r>
      <w:r w:rsidR="006216B0" w:rsidRPr="006216B0">
        <w:rPr>
          <w:rFonts w:ascii="Times New Roman" w:hAnsi="Times New Roman" w:cs="Times New Roman"/>
          <w:b/>
          <w:sz w:val="32"/>
          <w:szCs w:val="32"/>
        </w:rPr>
        <w:t>РЬБЕ С ТУБЕРКУЛЕЗОМ</w:t>
      </w:r>
    </w:p>
    <w:p w14:paraId="79DB2D48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51D83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A1C42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AD883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A0C679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DF318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3881B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C57842" w14:textId="77777777" w:rsidR="005F4544" w:rsidRDefault="005F4544" w:rsidP="006216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A338F8" w14:textId="77777777" w:rsidR="005F4544" w:rsidRDefault="005F4544" w:rsidP="006216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CD5663" w14:textId="77777777" w:rsidR="005F4544" w:rsidRDefault="005F4544" w:rsidP="006216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6A7A56" w14:textId="3AC28B15" w:rsidR="00354734" w:rsidRPr="005F4544" w:rsidRDefault="006216B0" w:rsidP="005F4544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6B0">
        <w:rPr>
          <w:rFonts w:ascii="Times New Roman" w:hAnsi="Times New Roman" w:cs="Times New Roman"/>
          <w:sz w:val="28"/>
          <w:szCs w:val="28"/>
        </w:rPr>
        <w:t>г. Алматы - 2018</w:t>
      </w:r>
      <w:bookmarkEnd w:id="8"/>
    </w:p>
    <w:p w14:paraId="68CFB707" w14:textId="77777777" w:rsidR="00354734" w:rsidRPr="002D0DF0" w:rsidRDefault="00354734" w:rsidP="00354734">
      <w:pPr>
        <w:pStyle w:val="TOCHeading"/>
        <w:numPr>
          <w:ilvl w:val="0"/>
          <w:numId w:val="0"/>
        </w:numPr>
        <w:ind w:left="432" w:hanging="43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D0DF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содержание </w:t>
      </w:r>
    </w:p>
    <w:p w14:paraId="03AD8713" w14:textId="77777777" w:rsidR="00354734" w:rsidRPr="002D0DF0" w:rsidRDefault="00354734" w:rsidP="00354734">
      <w:pPr>
        <w:jc w:val="both"/>
        <w:rPr>
          <w:rFonts w:ascii="Times New Roman" w:hAnsi="Times New Roman" w:cs="Times New Roman"/>
          <w:lang w:bidi="en-US"/>
        </w:rPr>
      </w:pPr>
    </w:p>
    <w:p w14:paraId="18B96D3F" w14:textId="58292653" w:rsidR="002D0DF0" w:rsidRPr="002D0DF0" w:rsidRDefault="00354734" w:rsidP="002D0DF0">
      <w:pPr>
        <w:pStyle w:val="TOC1"/>
        <w:rPr>
          <w:rFonts w:ascii="Times New Roman" w:eastAsiaTheme="minorEastAsia" w:hAnsi="Times New Roman" w:cs="Times New Roman"/>
          <w:color w:val="auto"/>
          <w:lang w:val="en-US"/>
        </w:rPr>
      </w:pPr>
      <w:r w:rsidRPr="002D0DF0">
        <w:rPr>
          <w:rFonts w:ascii="Times New Roman" w:hAnsi="Times New Roman" w:cs="Times New Roman"/>
          <w:color w:val="auto"/>
        </w:rPr>
        <w:fldChar w:fldCharType="begin"/>
      </w:r>
      <w:r w:rsidRPr="002D0DF0">
        <w:rPr>
          <w:rFonts w:ascii="Times New Roman" w:hAnsi="Times New Roman" w:cs="Times New Roman"/>
          <w:color w:val="auto"/>
        </w:rPr>
        <w:instrText xml:space="preserve"> TOC \o "1-3" \h \z \u </w:instrText>
      </w:r>
      <w:r w:rsidRPr="002D0DF0">
        <w:rPr>
          <w:rFonts w:ascii="Times New Roman" w:hAnsi="Times New Roman" w:cs="Times New Roman"/>
          <w:color w:val="auto"/>
        </w:rPr>
        <w:fldChar w:fldCharType="separate"/>
      </w:r>
    </w:p>
    <w:p w14:paraId="1CA0B7AC" w14:textId="77777777" w:rsidR="002D0DF0" w:rsidRPr="002D0DF0" w:rsidRDefault="00426FBE">
      <w:pPr>
        <w:pStyle w:val="TOC1"/>
        <w:rPr>
          <w:rFonts w:ascii="Times New Roman" w:eastAsiaTheme="minorEastAsia" w:hAnsi="Times New Roman" w:cs="Times New Roman"/>
          <w:color w:val="auto"/>
          <w:lang w:val="en-US"/>
        </w:rPr>
      </w:pPr>
      <w:hyperlink w:anchor="_Toc532477378" w:history="1">
        <w:r w:rsidR="002D0DF0" w:rsidRPr="002D0DF0">
          <w:rPr>
            <w:rStyle w:val="Hyperlink"/>
            <w:rFonts w:ascii="Times New Roman" w:hAnsi="Times New Roman" w:cs="Times New Roman"/>
            <w:color w:val="auto"/>
          </w:rPr>
          <w:t>ВВЕДЕНИЕ</w:t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tab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begin"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instrText xml:space="preserve"> PAGEREF _Toc532477378 \h </w:instrText>
        </w:r>
        <w:r w:rsidR="002D0DF0" w:rsidRPr="002D0DF0">
          <w:rPr>
            <w:rFonts w:ascii="Times New Roman" w:hAnsi="Times New Roman" w:cs="Times New Roman"/>
            <w:webHidden/>
            <w:color w:val="auto"/>
          </w:rPr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separate"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t>4</w:t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end"/>
        </w:r>
      </w:hyperlink>
    </w:p>
    <w:p w14:paraId="58527434" w14:textId="77777777" w:rsidR="002D0DF0" w:rsidRPr="002D0DF0" w:rsidRDefault="00426FBE">
      <w:pPr>
        <w:pStyle w:val="TOC1"/>
        <w:rPr>
          <w:rFonts w:ascii="Times New Roman" w:eastAsiaTheme="minorEastAsia" w:hAnsi="Times New Roman" w:cs="Times New Roman"/>
          <w:color w:val="auto"/>
          <w:lang w:val="en-US"/>
        </w:rPr>
      </w:pPr>
      <w:hyperlink w:anchor="_Toc532477380" w:history="1">
        <w:r w:rsidR="002D0DF0" w:rsidRPr="002D0DF0">
          <w:rPr>
            <w:rStyle w:val="Hyperlink"/>
            <w:rFonts w:ascii="Times New Roman" w:hAnsi="Times New Roman" w:cs="Times New Roman"/>
            <w:color w:val="auto"/>
          </w:rPr>
          <w:t>СТРАНОВОЙ КОНТЕКСТ</w:t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tab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begin"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instrText xml:space="preserve"> PAGEREF _Toc532477380 \h </w:instrText>
        </w:r>
        <w:r w:rsidR="002D0DF0" w:rsidRPr="002D0DF0">
          <w:rPr>
            <w:rFonts w:ascii="Times New Roman" w:hAnsi="Times New Roman" w:cs="Times New Roman"/>
            <w:webHidden/>
            <w:color w:val="auto"/>
          </w:rPr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separate"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t>5</w:t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end"/>
        </w:r>
      </w:hyperlink>
    </w:p>
    <w:p w14:paraId="6E40C701" w14:textId="77777777" w:rsidR="002D0DF0" w:rsidRPr="002D0DF0" w:rsidRDefault="00426FBE">
      <w:pPr>
        <w:pStyle w:val="TOC1"/>
        <w:rPr>
          <w:rFonts w:ascii="Times New Roman" w:eastAsiaTheme="minorEastAsia" w:hAnsi="Times New Roman" w:cs="Times New Roman"/>
          <w:color w:val="auto"/>
          <w:lang w:val="en-US"/>
        </w:rPr>
      </w:pPr>
      <w:hyperlink w:anchor="_Toc532477381" w:history="1">
        <w:r w:rsidR="002D0DF0" w:rsidRPr="002D0DF0">
          <w:rPr>
            <w:rStyle w:val="Hyperlink"/>
            <w:rFonts w:ascii="Times New Roman" w:hAnsi="Times New Roman" w:cs="Times New Roman"/>
            <w:color w:val="auto"/>
          </w:rPr>
          <w:t>ВНУТРЕННЯЯ СРЕДА</w:t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tab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begin"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instrText xml:space="preserve"> PAGEREF _Toc532477381 \h </w:instrText>
        </w:r>
        <w:r w:rsidR="002D0DF0" w:rsidRPr="002D0DF0">
          <w:rPr>
            <w:rFonts w:ascii="Times New Roman" w:hAnsi="Times New Roman" w:cs="Times New Roman"/>
            <w:webHidden/>
            <w:color w:val="auto"/>
          </w:rPr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separate"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t>10</w:t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end"/>
        </w:r>
      </w:hyperlink>
    </w:p>
    <w:p w14:paraId="048BEA77" w14:textId="77777777" w:rsidR="002D0DF0" w:rsidRPr="002D0DF0" w:rsidRDefault="00426FBE" w:rsidP="002D0DF0">
      <w:pPr>
        <w:pStyle w:val="TOC3"/>
        <w:tabs>
          <w:tab w:val="right" w:leader="dot" w:pos="9016"/>
        </w:tabs>
        <w:ind w:left="0"/>
        <w:rPr>
          <w:rFonts w:ascii="Times New Roman" w:eastAsiaTheme="minorEastAsia" w:hAnsi="Times New Roman" w:cs="Times New Roman"/>
          <w:noProof/>
          <w:lang w:val="en-US"/>
        </w:rPr>
      </w:pPr>
      <w:hyperlink w:anchor="_Toc532477384" w:history="1">
        <w:r w:rsidR="002D0DF0" w:rsidRPr="002D0DF0">
          <w:rPr>
            <w:rStyle w:val="Hyperlink"/>
            <w:rFonts w:ascii="Times New Roman" w:hAnsi="Times New Roman" w:cs="Times New Roman"/>
            <w:noProof/>
            <w:color w:val="auto"/>
          </w:rPr>
          <w:t>ФИНАНСОВЫЕ РЕСУРСЫ ДЛЯ БОРЬБЫ С ТБ</w:t>
        </w:r>
        <w:r w:rsidR="002D0DF0" w:rsidRPr="002D0DF0">
          <w:rPr>
            <w:rFonts w:ascii="Times New Roman" w:hAnsi="Times New Roman" w:cs="Times New Roman"/>
            <w:noProof/>
            <w:webHidden/>
          </w:rPr>
          <w:tab/>
        </w:r>
        <w:r w:rsidR="002D0DF0" w:rsidRPr="002D0DF0">
          <w:rPr>
            <w:rFonts w:ascii="Times New Roman" w:hAnsi="Times New Roman" w:cs="Times New Roman"/>
            <w:noProof/>
            <w:webHidden/>
          </w:rPr>
          <w:fldChar w:fldCharType="begin"/>
        </w:r>
        <w:r w:rsidR="002D0DF0" w:rsidRPr="002D0DF0">
          <w:rPr>
            <w:rFonts w:ascii="Times New Roman" w:hAnsi="Times New Roman" w:cs="Times New Roman"/>
            <w:noProof/>
            <w:webHidden/>
          </w:rPr>
          <w:instrText xml:space="preserve"> PAGEREF _Toc532477384 \h </w:instrText>
        </w:r>
        <w:r w:rsidR="002D0DF0" w:rsidRPr="002D0DF0">
          <w:rPr>
            <w:rFonts w:ascii="Times New Roman" w:hAnsi="Times New Roman" w:cs="Times New Roman"/>
            <w:noProof/>
            <w:webHidden/>
          </w:rPr>
        </w:r>
        <w:r w:rsidR="002D0DF0" w:rsidRPr="002D0DF0">
          <w:rPr>
            <w:rFonts w:ascii="Times New Roman" w:hAnsi="Times New Roman" w:cs="Times New Roman"/>
            <w:noProof/>
            <w:webHidden/>
          </w:rPr>
          <w:fldChar w:fldCharType="separate"/>
        </w:r>
        <w:r w:rsidR="002D0DF0" w:rsidRPr="002D0DF0">
          <w:rPr>
            <w:rFonts w:ascii="Times New Roman" w:hAnsi="Times New Roman" w:cs="Times New Roman"/>
            <w:noProof/>
            <w:webHidden/>
          </w:rPr>
          <w:t>12</w:t>
        </w:r>
        <w:r w:rsidR="002D0DF0" w:rsidRPr="002D0DF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6AE7CC6" w14:textId="77777777" w:rsidR="002D0DF0" w:rsidRPr="002D0DF0" w:rsidRDefault="00426FBE" w:rsidP="002D0DF0">
      <w:pPr>
        <w:pStyle w:val="TOC3"/>
        <w:tabs>
          <w:tab w:val="right" w:leader="dot" w:pos="9016"/>
        </w:tabs>
        <w:ind w:left="0"/>
        <w:rPr>
          <w:rFonts w:ascii="Times New Roman" w:eastAsiaTheme="minorEastAsia" w:hAnsi="Times New Roman" w:cs="Times New Roman"/>
          <w:noProof/>
          <w:lang w:val="en-US"/>
        </w:rPr>
      </w:pPr>
      <w:hyperlink w:anchor="_Toc532477385" w:history="1">
        <w:r w:rsidR="002D0DF0" w:rsidRPr="002D0DF0">
          <w:rPr>
            <w:rStyle w:val="Hyperlink"/>
            <w:rFonts w:ascii="Times New Roman" w:eastAsia="Arial" w:hAnsi="Times New Roman" w:cs="Times New Roman"/>
            <w:noProof/>
            <w:color w:val="auto"/>
          </w:rPr>
          <w:t>ЧЕЛОВЕЧЕСКИЕ РЕСУРСЫ</w:t>
        </w:r>
        <w:r w:rsidR="002D0DF0" w:rsidRPr="002D0DF0">
          <w:rPr>
            <w:rFonts w:ascii="Times New Roman" w:hAnsi="Times New Roman" w:cs="Times New Roman"/>
            <w:noProof/>
            <w:webHidden/>
          </w:rPr>
          <w:tab/>
        </w:r>
        <w:r w:rsidR="002D0DF0" w:rsidRPr="002D0DF0">
          <w:rPr>
            <w:rFonts w:ascii="Times New Roman" w:hAnsi="Times New Roman" w:cs="Times New Roman"/>
            <w:noProof/>
            <w:webHidden/>
          </w:rPr>
          <w:fldChar w:fldCharType="begin"/>
        </w:r>
        <w:r w:rsidR="002D0DF0" w:rsidRPr="002D0DF0">
          <w:rPr>
            <w:rFonts w:ascii="Times New Roman" w:hAnsi="Times New Roman" w:cs="Times New Roman"/>
            <w:noProof/>
            <w:webHidden/>
          </w:rPr>
          <w:instrText xml:space="preserve"> PAGEREF _Toc532477385 \h </w:instrText>
        </w:r>
        <w:r w:rsidR="002D0DF0" w:rsidRPr="002D0DF0">
          <w:rPr>
            <w:rFonts w:ascii="Times New Roman" w:hAnsi="Times New Roman" w:cs="Times New Roman"/>
            <w:noProof/>
            <w:webHidden/>
          </w:rPr>
        </w:r>
        <w:r w:rsidR="002D0DF0" w:rsidRPr="002D0DF0">
          <w:rPr>
            <w:rFonts w:ascii="Times New Roman" w:hAnsi="Times New Roman" w:cs="Times New Roman"/>
            <w:noProof/>
            <w:webHidden/>
          </w:rPr>
          <w:fldChar w:fldCharType="separate"/>
        </w:r>
        <w:r w:rsidR="002D0DF0" w:rsidRPr="002D0DF0">
          <w:rPr>
            <w:rFonts w:ascii="Times New Roman" w:hAnsi="Times New Roman" w:cs="Times New Roman"/>
            <w:noProof/>
            <w:webHidden/>
          </w:rPr>
          <w:t>15</w:t>
        </w:r>
        <w:r w:rsidR="002D0DF0" w:rsidRPr="002D0DF0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EF56B7A" w14:textId="77777777" w:rsidR="002D0DF0" w:rsidRPr="002D0DF0" w:rsidRDefault="00426FBE">
      <w:pPr>
        <w:pStyle w:val="TOC1"/>
        <w:rPr>
          <w:rFonts w:ascii="Times New Roman" w:eastAsiaTheme="minorEastAsia" w:hAnsi="Times New Roman" w:cs="Times New Roman"/>
          <w:color w:val="auto"/>
          <w:lang w:val="en-US"/>
        </w:rPr>
      </w:pPr>
      <w:hyperlink w:anchor="_Toc532477386" w:history="1">
        <w:r w:rsidR="002D0DF0" w:rsidRPr="002D0DF0">
          <w:rPr>
            <w:rStyle w:val="Hyperlink"/>
            <w:rFonts w:ascii="Times New Roman" w:hAnsi="Times New Roman" w:cs="Times New Roman"/>
            <w:color w:val="auto"/>
          </w:rPr>
          <w:t>ПЛАНИРОВАНИЕ ПЕРЕХОДА</w:t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tab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begin"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instrText xml:space="preserve"> PAGEREF _Toc532477386 \h </w:instrText>
        </w:r>
        <w:r w:rsidR="002D0DF0" w:rsidRPr="002D0DF0">
          <w:rPr>
            <w:rFonts w:ascii="Times New Roman" w:hAnsi="Times New Roman" w:cs="Times New Roman"/>
            <w:webHidden/>
            <w:color w:val="auto"/>
          </w:rPr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separate"/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t>18</w:t>
        </w:r>
        <w:r w:rsidR="002D0DF0" w:rsidRPr="002D0DF0">
          <w:rPr>
            <w:rFonts w:ascii="Times New Roman" w:hAnsi="Times New Roman" w:cs="Times New Roman"/>
            <w:webHidden/>
            <w:color w:val="auto"/>
          </w:rPr>
          <w:fldChar w:fldCharType="end"/>
        </w:r>
      </w:hyperlink>
    </w:p>
    <w:p w14:paraId="2BE41A3F" w14:textId="63E6E337" w:rsidR="00354734" w:rsidRPr="005F4544" w:rsidRDefault="00354734" w:rsidP="00354734">
      <w:pPr>
        <w:pStyle w:val="Heading1"/>
        <w:numPr>
          <w:ilvl w:val="0"/>
          <w:numId w:val="0"/>
        </w:numPr>
        <w:ind w:left="432" w:hanging="43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2D0DF0">
        <w:rPr>
          <w:rFonts w:ascii="Times New Roman" w:hAnsi="Times New Roman" w:cs="Times New Roman"/>
          <w:b/>
          <w:bCs/>
          <w:noProof/>
          <w:sz w:val="22"/>
          <w:szCs w:val="22"/>
        </w:rPr>
        <w:fldChar w:fldCharType="end"/>
      </w:r>
    </w:p>
    <w:p w14:paraId="14DD6AE3" w14:textId="77777777" w:rsidR="00354734" w:rsidRDefault="00354734" w:rsidP="00354734"/>
    <w:p w14:paraId="0D5A335A" w14:textId="77777777" w:rsidR="00354734" w:rsidRDefault="00354734" w:rsidP="00354734"/>
    <w:p w14:paraId="5870AF9A" w14:textId="77777777" w:rsidR="00354734" w:rsidRDefault="00354734" w:rsidP="00354734"/>
    <w:p w14:paraId="760D91B7" w14:textId="77777777" w:rsidR="00354734" w:rsidRDefault="00354734" w:rsidP="00354734"/>
    <w:p w14:paraId="019C1378" w14:textId="77777777" w:rsidR="00354734" w:rsidRDefault="00354734" w:rsidP="00354734"/>
    <w:p w14:paraId="5BA38AFB" w14:textId="77777777" w:rsidR="00354734" w:rsidRDefault="00354734" w:rsidP="00354734"/>
    <w:p w14:paraId="2C17955B" w14:textId="77777777" w:rsidR="00354734" w:rsidRDefault="00354734" w:rsidP="00354734"/>
    <w:p w14:paraId="1FC97EA8" w14:textId="77777777" w:rsidR="00354734" w:rsidRDefault="00354734" w:rsidP="00354734"/>
    <w:p w14:paraId="100CA829" w14:textId="77777777" w:rsidR="00354734" w:rsidRDefault="00354734" w:rsidP="00354734"/>
    <w:p w14:paraId="509BD80D" w14:textId="77777777" w:rsidR="00354734" w:rsidRDefault="00354734" w:rsidP="00354734"/>
    <w:p w14:paraId="05BC5C8B" w14:textId="77777777" w:rsidR="00354734" w:rsidRDefault="00354734" w:rsidP="00354734"/>
    <w:p w14:paraId="2636F09A" w14:textId="77777777" w:rsidR="00354734" w:rsidRDefault="00354734" w:rsidP="00354734"/>
    <w:p w14:paraId="24B90EF3" w14:textId="77777777" w:rsidR="00354734" w:rsidRDefault="00354734" w:rsidP="00354734"/>
    <w:p w14:paraId="6A7F534C" w14:textId="77777777" w:rsidR="00354734" w:rsidRDefault="00354734" w:rsidP="00354734"/>
    <w:p w14:paraId="1722649D" w14:textId="77777777" w:rsidR="00354734" w:rsidRPr="00354734" w:rsidRDefault="00354734" w:rsidP="00354734"/>
    <w:p w14:paraId="0A949210" w14:textId="77777777" w:rsidR="002D0DF0" w:rsidRDefault="002D0DF0" w:rsidP="00E14288">
      <w:pPr>
        <w:pStyle w:val="Heading1"/>
        <w:numPr>
          <w:ilvl w:val="0"/>
          <w:numId w:val="0"/>
        </w:numPr>
        <w:ind w:left="432" w:hanging="432"/>
        <w:jc w:val="both"/>
        <w:rPr>
          <w:sz w:val="28"/>
        </w:rPr>
      </w:pPr>
      <w:bookmarkStart w:id="14" w:name="_Toc532477378"/>
    </w:p>
    <w:p w14:paraId="00B430DB" w14:textId="77777777" w:rsidR="002D0DF0" w:rsidRDefault="002D0DF0" w:rsidP="00E14288">
      <w:pPr>
        <w:pStyle w:val="Heading1"/>
        <w:numPr>
          <w:ilvl w:val="0"/>
          <w:numId w:val="0"/>
        </w:numPr>
        <w:ind w:left="432" w:hanging="432"/>
        <w:jc w:val="both"/>
        <w:rPr>
          <w:sz w:val="28"/>
        </w:rPr>
      </w:pPr>
    </w:p>
    <w:p w14:paraId="1BC2E826" w14:textId="77777777" w:rsidR="002D0DF0" w:rsidRDefault="002D0DF0" w:rsidP="00E14288">
      <w:pPr>
        <w:pStyle w:val="Heading1"/>
        <w:numPr>
          <w:ilvl w:val="0"/>
          <w:numId w:val="0"/>
        </w:numPr>
        <w:ind w:left="432" w:hanging="432"/>
        <w:jc w:val="both"/>
        <w:rPr>
          <w:sz w:val="28"/>
        </w:rPr>
      </w:pPr>
    </w:p>
    <w:p w14:paraId="1F50C230" w14:textId="77777777" w:rsidR="002D0DF0" w:rsidRDefault="002D0DF0" w:rsidP="00E14288">
      <w:pPr>
        <w:pStyle w:val="Heading1"/>
        <w:numPr>
          <w:ilvl w:val="0"/>
          <w:numId w:val="0"/>
        </w:numPr>
        <w:ind w:left="432" w:hanging="432"/>
        <w:jc w:val="both"/>
        <w:rPr>
          <w:sz w:val="28"/>
        </w:rPr>
      </w:pPr>
    </w:p>
    <w:p w14:paraId="78367C3F" w14:textId="77777777" w:rsidR="002D0DF0" w:rsidRDefault="002D0DF0" w:rsidP="00E14288">
      <w:pPr>
        <w:pStyle w:val="Heading1"/>
        <w:numPr>
          <w:ilvl w:val="0"/>
          <w:numId w:val="0"/>
        </w:numPr>
        <w:ind w:left="432" w:hanging="432"/>
        <w:jc w:val="both"/>
        <w:rPr>
          <w:sz w:val="28"/>
        </w:rPr>
      </w:pPr>
    </w:p>
    <w:p w14:paraId="253F09C1" w14:textId="77777777" w:rsidR="00E14288" w:rsidRPr="002D0DF0" w:rsidRDefault="00E14288" w:rsidP="00E14288">
      <w:pPr>
        <w:pStyle w:val="Heading1"/>
        <w:numPr>
          <w:ilvl w:val="0"/>
          <w:numId w:val="0"/>
        </w:numPr>
        <w:ind w:left="432" w:hanging="432"/>
        <w:jc w:val="both"/>
        <w:rPr>
          <w:rFonts w:ascii="Times New Roman" w:hAnsi="Times New Roman" w:cs="Times New Roman"/>
          <w:sz w:val="28"/>
        </w:rPr>
      </w:pPr>
      <w:r w:rsidRPr="002D0DF0">
        <w:rPr>
          <w:rFonts w:ascii="Times New Roman" w:hAnsi="Times New Roman" w:cs="Times New Roman"/>
          <w:sz w:val="28"/>
        </w:rPr>
        <w:t>ВВЕДЕНИЕ</w:t>
      </w:r>
      <w:bookmarkEnd w:id="14"/>
    </w:p>
    <w:p w14:paraId="7E66040E" w14:textId="77777777" w:rsidR="00E14288" w:rsidRPr="005540B1" w:rsidRDefault="00E14288" w:rsidP="00E14288">
      <w:pPr>
        <w:tabs>
          <w:tab w:val="left" w:pos="15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B1">
        <w:rPr>
          <w:rFonts w:ascii="Times New Roman" w:hAnsi="Times New Roman" w:cs="Times New Roman"/>
          <w:b/>
          <w:sz w:val="24"/>
          <w:szCs w:val="24"/>
        </w:rPr>
        <w:tab/>
      </w:r>
    </w:p>
    <w:p w14:paraId="2AB69036" w14:textId="77777777" w:rsidR="00E14288" w:rsidRPr="005540B1" w:rsidRDefault="00E14288" w:rsidP="00E1428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540B1">
        <w:rPr>
          <w:rFonts w:ascii="Times New Roman" w:eastAsia="Cambria" w:hAnsi="Times New Roman" w:cs="Times New Roman"/>
          <w:sz w:val="24"/>
          <w:szCs w:val="24"/>
        </w:rPr>
        <w:t>Глобальный фонд оказывает поддержку Национальной программе по борьб</w:t>
      </w:r>
      <w:r>
        <w:rPr>
          <w:rFonts w:ascii="Times New Roman" w:eastAsia="Cambria" w:hAnsi="Times New Roman" w:cs="Times New Roman"/>
          <w:sz w:val="24"/>
          <w:szCs w:val="24"/>
        </w:rPr>
        <w:t>е</w:t>
      </w:r>
      <w:r w:rsidRPr="005540B1">
        <w:rPr>
          <w:rFonts w:ascii="Times New Roman" w:eastAsia="Cambria" w:hAnsi="Times New Roman" w:cs="Times New Roman"/>
          <w:sz w:val="24"/>
          <w:szCs w:val="24"/>
        </w:rPr>
        <w:t xml:space="preserve"> с туберкулезом в Казахстане с 2007 года.</w:t>
      </w:r>
      <w:r w:rsidRPr="0074507F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К</w:t>
      </w:r>
      <w:r w:rsidRPr="00BF6696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31 октября 2018 года было инвестировано 79,17 млн. доллара США</w:t>
      </w:r>
      <w:r w:rsidRPr="005540B1">
        <w:rPr>
          <w:rStyle w:val="FootnoteReference"/>
          <w:rFonts w:ascii="Times New Roman" w:eastAsia="Cambria" w:hAnsi="Times New Roman" w:cs="Times New Roman"/>
        </w:rPr>
        <w:footnoteReference w:id="1"/>
      </w:r>
      <w:r w:rsidRPr="005540B1">
        <w:rPr>
          <w:rFonts w:ascii="Times New Roman" w:eastAsia="Cambria" w:hAnsi="Times New Roman" w:cs="Times New Roman"/>
          <w:sz w:val="24"/>
          <w:szCs w:val="24"/>
        </w:rPr>
        <w:t>. Текущий грант составляет 17,64 млн. доллара США сроком на три года (по декабрь 2019 года). Он оказывает поддержку в достижении цели Комплексного плана по борьбе с туберкулезом в Республике Казахстан на 2014-2020 годы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по снижению бремени туберкулеза в стране через реформирование системы контроля над заболеванием и усиление менеджмента лекарственно-устойчивых форм туберкулеза путем обеспечения универсального доступа к диагностике и лечению ЛУ-ТБ и удовлетворению потребностей групп риска - заключенных, людей</w:t>
      </w:r>
      <w:r>
        <w:rPr>
          <w:rFonts w:ascii="Times New Roman" w:eastAsia="Cambria" w:hAnsi="Times New Roman" w:cs="Times New Roman"/>
          <w:sz w:val="24"/>
          <w:szCs w:val="24"/>
        </w:rPr>
        <w:t>,</w:t>
      </w:r>
      <w:r w:rsidRPr="005540B1">
        <w:rPr>
          <w:rFonts w:ascii="Times New Roman" w:eastAsia="Cambria" w:hAnsi="Times New Roman" w:cs="Times New Roman"/>
          <w:sz w:val="24"/>
          <w:szCs w:val="24"/>
        </w:rPr>
        <w:t xml:space="preserve"> живущих с ВИЧ и трудовых мигрантов.</w:t>
      </w:r>
    </w:p>
    <w:p w14:paraId="38C73CA9" w14:textId="77777777" w:rsidR="00E14288" w:rsidRPr="005540B1" w:rsidRDefault="00E14288" w:rsidP="00E14288">
      <w:pPr>
        <w:spacing w:line="240" w:lineRule="auto"/>
        <w:ind w:right="4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E6EFF74" w14:textId="777C20BA" w:rsidR="00E14288" w:rsidRPr="005540B1" w:rsidRDefault="00E14288" w:rsidP="00E14288">
      <w:pPr>
        <w:spacing w:line="240" w:lineRule="auto"/>
        <w:ind w:right="43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540B1">
        <w:rPr>
          <w:rFonts w:ascii="Times New Roman" w:eastAsia="Cambria" w:hAnsi="Times New Roman" w:cs="Times New Roman"/>
          <w:sz w:val="24"/>
          <w:szCs w:val="24"/>
        </w:rPr>
        <w:t>Глобальный фонд оказывает финансовую поддержку по следующим основным задачам: (а) Поддержка реформирования противотуберкулезной помощи путем усиления менеджмента Национальной противотуберкулезной программы, мониторинга и оценки, и усиления потенциала;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(б) Улучшение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своевременного выявления случаев и качества диагностики ТБ и ЛУ-ТБ;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(в) Содействие качественному и основанному на доказательствах лечению случаев ЛУ-ТБ;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(г) Усиление сотрудничества и ответного действия  по контролю ТБ/ВИЧ ко-инфекции;</w:t>
      </w:r>
      <w:r w:rsidR="002D0DF0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(д) Усиление контроля над ТБ и ЛУ-ТБ в пенитенциарной системе;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(е) Усиление партнерства с гражданским сектором для эффективного контроля над ТБ, ЛУ-ТБ и ТБ/ВИЧ;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(ж) Разработка и внедрение высокоэффективных мероприятий контроля над ТБ, М/ШЛУ-ТБ и ТБ/ВИЧ у внутренних и внешних мигрантов.</w:t>
      </w:r>
    </w:p>
    <w:p w14:paraId="134AD9BD" w14:textId="77777777" w:rsidR="00E14288" w:rsidRPr="005540B1" w:rsidRDefault="00E14288" w:rsidP="00E1428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98FDDE9" w14:textId="77777777" w:rsidR="00E14288" w:rsidRPr="005540B1" w:rsidRDefault="00E14288" w:rsidP="00E14288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540B1">
        <w:rPr>
          <w:rFonts w:ascii="Times New Roman" w:eastAsia="Cambria" w:hAnsi="Times New Roman" w:cs="Times New Roman"/>
          <w:sz w:val="24"/>
          <w:szCs w:val="24"/>
        </w:rPr>
        <w:t>В соответствии с подпунктом 5.6 Грантового соглашения между Республикой Казахстан и Глобальным Фондом по борьбе со СПИД</w:t>
      </w:r>
      <w:r>
        <w:rPr>
          <w:rFonts w:ascii="Times New Roman" w:eastAsia="Cambria" w:hAnsi="Times New Roman" w:cs="Times New Roman"/>
          <w:sz w:val="24"/>
          <w:szCs w:val="24"/>
        </w:rPr>
        <w:t>ом</w:t>
      </w:r>
      <w:r w:rsidRPr="005540B1">
        <w:rPr>
          <w:rFonts w:ascii="Times New Roman" w:eastAsia="Cambria" w:hAnsi="Times New Roman" w:cs="Times New Roman"/>
          <w:sz w:val="24"/>
          <w:szCs w:val="24"/>
        </w:rPr>
        <w:t>, Туберкулезом и Малярией от 28 ноября 2016 года, «Не позднее 31 декабря 2018 года Грантополучатель, действующий через Основного реципиента, в сотрудничестве с Страновым координационным комитетом Казахстана (СКК), другими заинтересованными сторонами и партнерами в Республике Казахстан, подготовит и предоставит Глобальному фонду План перехода Национальной программы борьбы с туберкулезом по форме и содержанию, удовлетворяющих Глобальный Фонд».</w:t>
      </w:r>
    </w:p>
    <w:p w14:paraId="5F40FA9A" w14:textId="77777777" w:rsidR="00E14288" w:rsidRPr="005540B1" w:rsidRDefault="00E14288" w:rsidP="00E14288">
      <w:pPr>
        <w:spacing w:line="231" w:lineRule="auto"/>
        <w:ind w:left="5" w:right="4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540B1">
        <w:rPr>
          <w:rFonts w:ascii="Times New Roman" w:eastAsia="Cambria" w:hAnsi="Times New Roman" w:cs="Times New Roman"/>
          <w:sz w:val="24"/>
          <w:szCs w:val="24"/>
        </w:rPr>
        <w:t>Основной целью данного плана является обеспечение плавного перехода от поддержки Глобального Фонда к внутреннему финансированию мероприятий по борьбе с туберкулезом в стране. 12 апреля 2018 года Страновой координационный комитет Казахстана, своим постановлением определил этапы и состав рабочей группы по разработке плана перехода и устойчивого развития в процесс</w:t>
      </w:r>
      <w:r>
        <w:rPr>
          <w:rFonts w:ascii="Times New Roman" w:eastAsia="Cambria" w:hAnsi="Times New Roman" w:cs="Times New Roman"/>
          <w:sz w:val="24"/>
          <w:szCs w:val="24"/>
        </w:rPr>
        <w:t>е</w:t>
      </w:r>
      <w:r w:rsidRPr="005540B1">
        <w:rPr>
          <w:rFonts w:ascii="Times New Roman" w:eastAsia="Cambria" w:hAnsi="Times New Roman" w:cs="Times New Roman"/>
          <w:sz w:val="24"/>
          <w:szCs w:val="24"/>
        </w:rPr>
        <w:t xml:space="preserve"> перехода.</w:t>
      </w:r>
    </w:p>
    <w:p w14:paraId="5ADAC04F" w14:textId="77777777" w:rsidR="00E14288" w:rsidRPr="005540B1" w:rsidRDefault="00E14288" w:rsidP="00E14288">
      <w:pPr>
        <w:spacing w:line="231" w:lineRule="auto"/>
        <w:ind w:left="5" w:right="40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540B1">
        <w:rPr>
          <w:rFonts w:ascii="Times New Roman" w:eastAsia="Cambria" w:hAnsi="Times New Roman" w:cs="Times New Roman"/>
          <w:sz w:val="24"/>
          <w:szCs w:val="24"/>
        </w:rPr>
        <w:t>Основным моментом на сегодняшний день является тот факт, что правительство страны уже предприняло значительные шаги по обеспечению финансирования ключевых программных мероприятий. Это отражено в утвержденном Комплексном плане по борьбе с туберкулезом в Республике Казахстан на 2014-2020 годы, который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в значительной степени включает в себя обязательства по переходу, и финансирование которого из национальных источников составило более 90% в течении последних лет.</w:t>
      </w:r>
    </w:p>
    <w:p w14:paraId="151072CA" w14:textId="77777777" w:rsidR="00E14288" w:rsidRPr="005540B1" w:rsidRDefault="00E14288" w:rsidP="00E14288">
      <w:pPr>
        <w:spacing w:line="231" w:lineRule="auto"/>
        <w:ind w:left="5" w:right="40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33106BED" w14:textId="6A524F1E" w:rsidR="00E14288" w:rsidRPr="002D0DF0" w:rsidRDefault="002D0DF0" w:rsidP="00E14288">
      <w:pPr>
        <w:pStyle w:val="Heading2"/>
        <w:numPr>
          <w:ilvl w:val="0"/>
          <w:numId w:val="0"/>
        </w:numPr>
        <w:ind w:left="576" w:hanging="576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>ОСНОВНЫЕ ОПРЕДЕЛЕНИЯ</w:t>
      </w:r>
    </w:p>
    <w:p w14:paraId="180933F3" w14:textId="77777777" w:rsidR="00E14288" w:rsidRPr="005540B1" w:rsidRDefault="00E14288" w:rsidP="00E14288">
      <w:pPr>
        <w:spacing w:line="238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341AA461" w14:textId="77777777" w:rsidR="00E14288" w:rsidRPr="005540B1" w:rsidRDefault="00E14288" w:rsidP="00E14288">
      <w:pPr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40B1">
        <w:rPr>
          <w:rFonts w:ascii="Times New Roman" w:eastAsia="Arial" w:hAnsi="Times New Roman" w:cs="Times New Roman"/>
          <w:b/>
          <w:sz w:val="24"/>
          <w:szCs w:val="24"/>
        </w:rPr>
        <w:t>Переход</w:t>
      </w:r>
      <w:r w:rsidRPr="005540B1">
        <w:rPr>
          <w:rFonts w:ascii="Times New Roman" w:eastAsia="Arial" w:hAnsi="Times New Roman" w:cs="Times New Roman"/>
          <w:sz w:val="24"/>
          <w:szCs w:val="24"/>
        </w:rPr>
        <w:t xml:space="preserve"> определяется, как </w:t>
      </w:r>
      <w:r w:rsidRPr="005540B1">
        <w:rPr>
          <w:rFonts w:ascii="Times New Roman" w:eastAsia="Arial" w:hAnsi="Times New Roman" w:cs="Times New Roman"/>
          <w:i/>
          <w:sz w:val="24"/>
          <w:szCs w:val="24"/>
        </w:rPr>
        <w:t>«механизм, посредством которого страна или страна-компонент идет к полному финансированию и осуществлению своих программ в области здравоохранения независимо от поддержки Глобального фонда, продолжая при этом поддерживать и наращивать прибыль по мере возможности»</w:t>
      </w:r>
      <w:r w:rsidRPr="005540B1">
        <w:rPr>
          <w:rFonts w:ascii="Times New Roman" w:eastAsia="Arial" w:hAnsi="Times New Roman" w:cs="Times New Roman"/>
          <w:sz w:val="24"/>
          <w:szCs w:val="24"/>
        </w:rPr>
        <w:t>.</w:t>
      </w:r>
    </w:p>
    <w:p w14:paraId="7D20F26E" w14:textId="77777777" w:rsidR="00E14288" w:rsidRPr="005540B1" w:rsidRDefault="00E14288" w:rsidP="00E14288">
      <w:pPr>
        <w:spacing w:line="238" w:lineRule="auto"/>
        <w:ind w:left="20" w:right="20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5540B1">
        <w:rPr>
          <w:rFonts w:ascii="Times New Roman" w:eastAsia="Arial" w:hAnsi="Times New Roman" w:cs="Times New Roman"/>
          <w:b/>
          <w:sz w:val="24"/>
          <w:szCs w:val="24"/>
        </w:rPr>
        <w:t>Устойчивость</w:t>
      </w:r>
      <w:r w:rsidRPr="005540B1">
        <w:rPr>
          <w:rFonts w:ascii="Times New Roman" w:eastAsia="Arial" w:hAnsi="Times New Roman" w:cs="Times New Roman"/>
          <w:i/>
          <w:sz w:val="24"/>
          <w:szCs w:val="24"/>
        </w:rPr>
        <w:t xml:space="preserve"> - «способность программы здравоохранения или страны как поддерживать, так и расширять зону действия услуг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5540B1">
        <w:rPr>
          <w:rFonts w:ascii="Times New Roman" w:eastAsia="Arial" w:hAnsi="Times New Roman" w:cs="Times New Roman"/>
          <w:i/>
          <w:sz w:val="24"/>
          <w:szCs w:val="24"/>
        </w:rPr>
        <w:t>до уровня (в соответствии с эпидемиологической ситуацией), который будет обеспечивать постоянный контроль над проблемой общественного здравоохранения и поддерживать усилия по искоренению трех заболеваний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5540B1">
        <w:rPr>
          <w:rFonts w:ascii="Times New Roman" w:eastAsia="Arial" w:hAnsi="Times New Roman" w:cs="Times New Roman"/>
          <w:i/>
          <w:sz w:val="24"/>
          <w:szCs w:val="24"/>
        </w:rPr>
        <w:t>– даже после устранения внешнего финансирования Глобальным фондом и другими крупными внешними донорами».</w:t>
      </w:r>
    </w:p>
    <w:p w14:paraId="740153F4" w14:textId="77777777" w:rsidR="00E14288" w:rsidRPr="005540B1" w:rsidRDefault="00E14288" w:rsidP="00E14288">
      <w:pPr>
        <w:spacing w:line="230" w:lineRule="auto"/>
        <w:ind w:right="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540B1">
        <w:rPr>
          <w:rFonts w:ascii="Times New Roman" w:eastAsia="Cambria" w:hAnsi="Times New Roman" w:cs="Times New Roman"/>
          <w:sz w:val="24"/>
          <w:szCs w:val="24"/>
        </w:rPr>
        <w:t>Анализ возможных рисков при переходе на полное финансирование мероприятий по борьбе с туберкулезом</w:t>
      </w:r>
      <w:r>
        <w:rPr>
          <w:rFonts w:ascii="Times New Roman" w:eastAsia="Cambria" w:hAnsi="Times New Roman" w:cs="Times New Roman"/>
          <w:sz w:val="24"/>
          <w:szCs w:val="24"/>
        </w:rPr>
        <w:t xml:space="preserve"> в</w:t>
      </w:r>
      <w:r w:rsidRPr="005540B1">
        <w:rPr>
          <w:rFonts w:ascii="Times New Roman" w:eastAsia="Cambria" w:hAnsi="Times New Roman" w:cs="Times New Roman"/>
          <w:sz w:val="24"/>
          <w:szCs w:val="24"/>
        </w:rPr>
        <w:t xml:space="preserve"> Казахстане из национальных источников представлен ниже.</w:t>
      </w:r>
    </w:p>
    <w:p w14:paraId="71FEAA5A" w14:textId="77777777" w:rsidR="00E14288" w:rsidRPr="005540B1" w:rsidRDefault="00E14288" w:rsidP="00E14288">
      <w:pPr>
        <w:pStyle w:val="Heading1"/>
        <w:numPr>
          <w:ilvl w:val="0"/>
          <w:numId w:val="0"/>
        </w:numPr>
        <w:ind w:left="432" w:hanging="432"/>
        <w:jc w:val="both"/>
        <w:rPr>
          <w:rFonts w:ascii="Times New Roman" w:hAnsi="Times New Roman" w:cs="Times New Roman"/>
          <w:sz w:val="28"/>
          <w:szCs w:val="24"/>
        </w:rPr>
      </w:pPr>
      <w:bookmarkStart w:id="15" w:name="_Toc532477380"/>
      <w:r w:rsidRPr="005540B1">
        <w:rPr>
          <w:rFonts w:ascii="Times New Roman" w:hAnsi="Times New Roman" w:cs="Times New Roman"/>
          <w:sz w:val="28"/>
          <w:szCs w:val="24"/>
        </w:rPr>
        <w:t>СТРАНОВОЙ КОНТЕКСТ</w:t>
      </w:r>
      <w:bookmarkEnd w:id="15"/>
    </w:p>
    <w:p w14:paraId="51DA427E" w14:textId="77777777" w:rsidR="00E14288" w:rsidRPr="005540B1" w:rsidRDefault="00E14288" w:rsidP="00E14288">
      <w:pPr>
        <w:jc w:val="both"/>
      </w:pPr>
    </w:p>
    <w:p w14:paraId="3D35C918" w14:textId="72B20EBB" w:rsidR="00E14288" w:rsidRPr="005540B1" w:rsidRDefault="00E14288" w:rsidP="00E14288">
      <w:pPr>
        <w:spacing w:line="240" w:lineRule="auto"/>
        <w:ind w:right="43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5540B1">
        <w:rPr>
          <w:rFonts w:ascii="Times New Roman" w:eastAsia="Cambria" w:hAnsi="Times New Roman" w:cs="Times New Roman"/>
          <w:sz w:val="24"/>
          <w:szCs w:val="24"/>
        </w:rPr>
        <w:t>Республика Казахстан находится в Центральной Азии и является девятой по площади страной в мире (2,724,900 кв. км). На начало 2018 года, население страны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составляло 18,157,377 человек, из которых городское население – 10,423,569 (57.4%) и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сельское – 7,733,768 (42.6%)</w:t>
      </w:r>
      <w:r w:rsidRPr="005540B1">
        <w:rPr>
          <w:rStyle w:val="FootnoteReference"/>
          <w:rFonts w:ascii="Times New Roman" w:eastAsia="Cambria" w:hAnsi="Times New Roman" w:cs="Times New Roman"/>
        </w:rPr>
        <w:footnoteReference w:id="2"/>
      </w:r>
      <w:r w:rsidRPr="005540B1">
        <w:rPr>
          <w:rFonts w:ascii="Times New Roman" w:eastAsia="Cambria" w:hAnsi="Times New Roman" w:cs="Times New Roman"/>
          <w:sz w:val="24"/>
          <w:szCs w:val="24"/>
        </w:rPr>
        <w:t>. Общая плотность населения составляет 6.7 жителей на 1кв. км.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Административное деление страны первого уровня включает 17 регионов</w:t>
      </w:r>
      <w:r w:rsidRPr="005540B1">
        <w:rPr>
          <w:rFonts w:ascii="Times New Roman" w:eastAsia="Cambria" w:hAnsi="Times New Roman" w:cs="Times New Roman"/>
          <w:smallCaps/>
          <w:sz w:val="24"/>
          <w:szCs w:val="24"/>
        </w:rPr>
        <w:t>: 14</w:t>
      </w:r>
      <w:r w:rsidR="002D0DF0">
        <w:rPr>
          <w:rFonts w:ascii="Times New Roman" w:eastAsia="Cambria" w:hAnsi="Times New Roman" w:cs="Times New Roman"/>
          <w:smallCaps/>
          <w:sz w:val="24"/>
          <w:szCs w:val="24"/>
        </w:rPr>
        <w:t xml:space="preserve"> </w:t>
      </w:r>
      <w:r w:rsidRPr="005540B1">
        <w:rPr>
          <w:rFonts w:ascii="Times New Roman" w:eastAsia="Cambria" w:hAnsi="Times New Roman" w:cs="Times New Roman"/>
          <w:sz w:val="24"/>
          <w:szCs w:val="24"/>
        </w:rPr>
        <w:t>областей и три города республиканского значения – Астана, Алматы и Шымкент</w:t>
      </w:r>
      <w:r w:rsidRPr="005540B1">
        <w:rPr>
          <w:rStyle w:val="FootnoteReference"/>
          <w:rFonts w:ascii="Times New Roman" w:eastAsia="Cambria" w:hAnsi="Times New Roman" w:cs="Times New Roman"/>
          <w:smallCaps/>
        </w:rPr>
        <w:footnoteReference w:id="3"/>
      </w:r>
      <w:r w:rsidRPr="005540B1">
        <w:rPr>
          <w:rFonts w:ascii="Times New Roman" w:eastAsia="Cambria" w:hAnsi="Times New Roman" w:cs="Times New Roman"/>
          <w:sz w:val="24"/>
          <w:szCs w:val="24"/>
        </w:rPr>
        <w:t>. Второй уровень административного деления образуют 160 сельских районов, 16 городских районов и 37 городов областного значения. Согласно классификации Всемирного банка по величине валового национального дохода (ВНД), Казахстан входит в группу стран с доходами выше среднего уровня; ВНД на душу населения в 2017 году оценивался в размере 7,890 долл. США</w:t>
      </w:r>
      <w:r w:rsidRPr="005540B1">
        <w:rPr>
          <w:rStyle w:val="FootnoteReference"/>
          <w:rFonts w:ascii="Times New Roman" w:eastAsia="Cambria" w:hAnsi="Times New Roman" w:cs="Times New Roman"/>
        </w:rPr>
        <w:footnoteReference w:id="4"/>
      </w:r>
      <w:r w:rsidRPr="005540B1">
        <w:rPr>
          <w:rFonts w:ascii="Times New Roman" w:eastAsia="Cambria" w:hAnsi="Times New Roman" w:cs="Times New Roman"/>
          <w:sz w:val="24"/>
          <w:szCs w:val="24"/>
        </w:rPr>
        <w:t xml:space="preserve">. </w:t>
      </w:r>
    </w:p>
    <w:p w14:paraId="53707815" w14:textId="0670729F" w:rsidR="00E14288" w:rsidRPr="005540B1" w:rsidRDefault="00E14288" w:rsidP="00E14288">
      <w:pPr>
        <w:spacing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Туберкулез (ТБ) вновь стал серьезной проблемой общественного здравоохранения в Казахстане в 1990-х годах, и его бремя остается достаточно высоким. По последним данным ВОЗ, оценочный уровень заболеваемости ТБ (новые случаи и рецидивы) за 2017 год составляет 66 случаев на 100,000 населения; по этому показателю Казахстан находится на 9-м месте среди 53 стран Европейского региона ВОЗ</w:t>
      </w:r>
      <w:r w:rsidRPr="005540B1">
        <w:rPr>
          <w:rStyle w:val="FootnoteReference"/>
          <w:rFonts w:ascii="Times New Roman" w:hAnsi="Times New Roman" w:cs="Times New Roman"/>
        </w:rPr>
        <w:footnoteReference w:id="5"/>
      </w:r>
      <w:r w:rsidRPr="005540B1">
        <w:rPr>
          <w:rFonts w:ascii="Times New Roman" w:hAnsi="Times New Roman" w:cs="Times New Roman"/>
          <w:sz w:val="24"/>
          <w:szCs w:val="24"/>
        </w:rPr>
        <w:t xml:space="preserve">. В то же время, оценочный уровень смертности в 2017 году был относительно невысок (0.89 случаев на 100,000 без учета ТБ/ВИЧ и 0.20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5540B1">
        <w:rPr>
          <w:rFonts w:ascii="Times New Roman" w:hAnsi="Times New Roman" w:cs="Times New Roman"/>
          <w:sz w:val="24"/>
          <w:szCs w:val="24"/>
        </w:rPr>
        <w:t xml:space="preserve"> 100,000 случаев смертности от ВИЧ-ассоциированного ТБ). Необходимо отметить, что за последнее десятилетие ВОЗ </w:t>
      </w:r>
      <w:r w:rsidRPr="005540B1">
        <w:rPr>
          <w:rFonts w:ascii="Times New Roman" w:hAnsi="Times New Roman" w:cs="Times New Roman"/>
          <w:sz w:val="24"/>
          <w:szCs w:val="24"/>
        </w:rPr>
        <w:lastRenderedPageBreak/>
        <w:t xml:space="preserve">значительно снизила оценочный уровень заболеваемости ТБ в Казахстане (с более чем 150 случаев на 100,000 населения в 2008-2009 гг. до 66 </w:t>
      </w:r>
      <w:r w:rsidR="002D0DF0">
        <w:rPr>
          <w:rFonts w:ascii="Times New Roman" w:hAnsi="Times New Roman" w:cs="Times New Roman"/>
          <w:sz w:val="24"/>
          <w:szCs w:val="24"/>
        </w:rPr>
        <w:t>на</w:t>
      </w:r>
      <w:r w:rsidRPr="005540B1">
        <w:rPr>
          <w:rFonts w:ascii="Times New Roman" w:hAnsi="Times New Roman" w:cs="Times New Roman"/>
          <w:sz w:val="24"/>
          <w:szCs w:val="24"/>
        </w:rPr>
        <w:t xml:space="preserve"> 100,000 в 2017 г.); начиная с 2004 года, оценочный уровень заболеваемости в Казахстане снижался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540B1">
        <w:rPr>
          <w:rFonts w:ascii="Times New Roman" w:hAnsi="Times New Roman" w:cs="Times New Roman"/>
          <w:sz w:val="24"/>
          <w:szCs w:val="24"/>
        </w:rPr>
        <w:t xml:space="preserve"> среднем на 7.5% в год. </w:t>
      </w:r>
    </w:p>
    <w:p w14:paraId="44C86D67" w14:textId="731C0DAE" w:rsidR="002D0DF0" w:rsidRDefault="00E14288" w:rsidP="00E14288">
      <w:pPr>
        <w:spacing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 xml:space="preserve">Как показано на рис. 1 и 2 ниже, за последние десять лет ежегодное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зарегистрированных </w:t>
      </w:r>
      <w:r w:rsidRPr="005540B1">
        <w:rPr>
          <w:rFonts w:ascii="Times New Roman" w:hAnsi="Times New Roman" w:cs="Times New Roman"/>
          <w:sz w:val="24"/>
          <w:szCs w:val="24"/>
        </w:rPr>
        <w:t>случаев активного ТБ в Казахстане уменьшилось более чем в 2 раза; показатель регистрируемой заболеваемости на 100,000 населения снизился для новых случаев с</w:t>
      </w:r>
      <w:r w:rsidR="002D0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540B1">
        <w:rPr>
          <w:rFonts w:ascii="Times New Roman" w:hAnsi="Times New Roman" w:cs="Times New Roman"/>
          <w:smallCaps/>
          <w:sz w:val="24"/>
          <w:szCs w:val="24"/>
        </w:rPr>
        <w:t>25.6</w:t>
      </w:r>
      <w:r w:rsidR="002D0DF0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2D0DF0">
        <w:rPr>
          <w:rFonts w:ascii="Times New Roman" w:hAnsi="Times New Roman" w:cs="Times New Roman"/>
          <w:sz w:val="24"/>
          <w:szCs w:val="24"/>
        </w:rPr>
        <w:t>до</w:t>
      </w:r>
      <w:r w:rsidR="002D0DF0" w:rsidRPr="005540B1">
        <w:rPr>
          <w:rFonts w:ascii="Times New Roman" w:hAnsi="Times New Roman" w:cs="Times New Roman"/>
          <w:sz w:val="24"/>
          <w:szCs w:val="24"/>
        </w:rPr>
        <w:t xml:space="preserve"> </w:t>
      </w:r>
      <w:r w:rsidR="002D0DF0" w:rsidRPr="005540B1">
        <w:rPr>
          <w:rFonts w:ascii="Times New Roman" w:hAnsi="Times New Roman" w:cs="Times New Roman"/>
          <w:smallCaps/>
          <w:sz w:val="24"/>
          <w:szCs w:val="24"/>
        </w:rPr>
        <w:t>52.2</w:t>
      </w:r>
      <w:r w:rsidRPr="005540B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>(снижение на 58.4%), а для всех случаев ТБ – с 184.5 до 79.1 (на 57.1%).</w:t>
      </w:r>
      <w:r w:rsidR="002D0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D9B75" w14:textId="5819DEE2" w:rsidR="002D0DF0" w:rsidRDefault="002D0DF0" w:rsidP="00E14288">
      <w:pPr>
        <w:spacing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Активный контингент больных снизился в 2 раза с 31,779 больн</w:t>
      </w:r>
      <w:r>
        <w:rPr>
          <w:rFonts w:ascii="Times New Roman" w:hAnsi="Times New Roman" w:cs="Times New Roman"/>
          <w:sz w:val="24"/>
          <w:szCs w:val="24"/>
        </w:rPr>
        <w:t>ых в 2008 году до 16,261 в 2017, а</w:t>
      </w:r>
      <w:r w:rsidRPr="002D0DF0">
        <w:rPr>
          <w:rFonts w:ascii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>заболеваемост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540B1">
        <w:rPr>
          <w:rFonts w:ascii="Times New Roman" w:hAnsi="Times New Roman" w:cs="Times New Roman"/>
          <w:sz w:val="24"/>
          <w:szCs w:val="24"/>
        </w:rPr>
        <w:t xml:space="preserve"> среди детей уменьшилась в 2 раза с 26,0 в 2008 году до 13,3 в 2017.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08"/>
      </w:tblGrid>
      <w:tr w:rsidR="00E14288" w:rsidRPr="005540B1" w14:paraId="21CF264B" w14:textId="77777777" w:rsidTr="002D0DF0">
        <w:tc>
          <w:tcPr>
            <w:tcW w:w="4512" w:type="dxa"/>
          </w:tcPr>
          <w:p w14:paraId="6404E462" w14:textId="77777777" w:rsidR="00E14288" w:rsidRPr="005540B1" w:rsidRDefault="00E14288" w:rsidP="00354734">
            <w:pPr>
              <w:jc w:val="both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40B1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Рис. 1 Регистрируемая заболеваемость ТБ в Казахстане на 100,000 населения, 2008-2017 гг.</w:t>
            </w:r>
          </w:p>
          <w:p w14:paraId="2ABA7AD0" w14:textId="77777777" w:rsidR="00E14288" w:rsidRPr="005540B1" w:rsidRDefault="00E14288" w:rsidP="00354734">
            <w:pPr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4F065707" w14:textId="77777777" w:rsidR="00E14288" w:rsidRPr="005540B1" w:rsidRDefault="00E14288" w:rsidP="00354734">
            <w:pPr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40B1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Рис. 2 Ежегодное количество зарегистрированных случаев ТБ в Казахстане, 2008-2017 гг.</w:t>
            </w:r>
          </w:p>
          <w:p w14:paraId="41457CBD" w14:textId="77777777" w:rsidR="00E14288" w:rsidRPr="005540B1" w:rsidRDefault="00E14288" w:rsidP="00354734">
            <w:pPr>
              <w:jc w:val="both"/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</w:p>
        </w:tc>
      </w:tr>
      <w:tr w:rsidR="00E14288" w:rsidRPr="005540B1" w14:paraId="059FC13E" w14:textId="77777777" w:rsidTr="002D0DF0">
        <w:trPr>
          <w:trHeight w:val="4454"/>
        </w:trPr>
        <w:tc>
          <w:tcPr>
            <w:tcW w:w="4512" w:type="dxa"/>
          </w:tcPr>
          <w:p w14:paraId="22FCD79A" w14:textId="77777777" w:rsidR="00E14288" w:rsidRPr="005540B1" w:rsidRDefault="00E14288" w:rsidP="00354734">
            <w:pPr>
              <w:jc w:val="both"/>
              <w:rPr>
                <w:rFonts w:eastAsia="SimSun" w:cs="Calibri"/>
                <w:b/>
                <w:sz w:val="20"/>
              </w:rPr>
            </w:pPr>
            <w:r w:rsidRPr="005540B1">
              <w:rPr>
                <w:rFonts w:eastAsia="SimSun" w:cs="Calibri"/>
                <w:noProof/>
                <w:lang w:val="en-US"/>
              </w:rPr>
              <w:drawing>
                <wp:inline distT="0" distB="0" distL="0" distR="0" wp14:anchorId="250AFAE9" wp14:editId="314875F7">
                  <wp:extent cx="2727960" cy="29108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291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8E7E5F1" w14:textId="77777777" w:rsidR="00E14288" w:rsidRPr="005540B1" w:rsidRDefault="00E14288" w:rsidP="00354734">
            <w:pPr>
              <w:jc w:val="both"/>
              <w:rPr>
                <w:rFonts w:eastAsia="SimSun" w:cs="Calibri"/>
                <w:b/>
                <w:sz w:val="20"/>
              </w:rPr>
            </w:pPr>
            <w:r w:rsidRPr="005540B1">
              <w:rPr>
                <w:rFonts w:eastAsia="SimSun" w:cs="Calibri"/>
                <w:noProof/>
                <w:lang w:val="en-US"/>
              </w:rPr>
              <w:drawing>
                <wp:inline distT="0" distB="0" distL="0" distR="0" wp14:anchorId="43E25CD9" wp14:editId="5E10BBAF">
                  <wp:extent cx="2724150" cy="2895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89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D34D4" w14:textId="77777777" w:rsidR="00E14288" w:rsidRPr="005540B1" w:rsidRDefault="00E14288" w:rsidP="00354734">
            <w:pPr>
              <w:jc w:val="both"/>
              <w:rPr>
                <w:rFonts w:eastAsia="SimSun" w:cs="Calibri"/>
                <w:b/>
                <w:sz w:val="20"/>
              </w:rPr>
            </w:pPr>
          </w:p>
          <w:p w14:paraId="1F908089" w14:textId="77777777" w:rsidR="00E14288" w:rsidRPr="005540B1" w:rsidRDefault="00E14288" w:rsidP="00354734">
            <w:pPr>
              <w:jc w:val="both"/>
              <w:rPr>
                <w:rFonts w:eastAsia="SimSun" w:cs="Calibri"/>
                <w:b/>
                <w:sz w:val="20"/>
              </w:rPr>
            </w:pPr>
          </w:p>
        </w:tc>
      </w:tr>
    </w:tbl>
    <w:p w14:paraId="5CC52736" w14:textId="77777777" w:rsidR="00E14288" w:rsidRPr="005540B1" w:rsidRDefault="00E14288" w:rsidP="00E14288">
      <w:pPr>
        <w:jc w:val="both"/>
        <w:rPr>
          <w:rFonts w:eastAsia="SimSun" w:cs="Calibri"/>
          <w:noProof/>
        </w:rPr>
      </w:pPr>
      <w:r w:rsidRPr="005540B1">
        <w:rPr>
          <w:rFonts w:eastAsia="SimSun" w:cs="Calibri"/>
          <w:i/>
          <w:noProof/>
          <w:sz w:val="18"/>
          <w:szCs w:val="18"/>
        </w:rPr>
        <w:t>Источник</w:t>
      </w:r>
      <w:r w:rsidRPr="005540B1">
        <w:rPr>
          <w:rFonts w:eastAsia="SimSun" w:cs="Calibri"/>
          <w:noProof/>
          <w:sz w:val="18"/>
          <w:szCs w:val="18"/>
        </w:rPr>
        <w:t>: ННЦФ, июнь 2018 г.</w:t>
      </w:r>
    </w:p>
    <w:p w14:paraId="53D0C19D" w14:textId="0AA077CF" w:rsidR="002D0DF0" w:rsidRPr="005540B1" w:rsidRDefault="002D0DF0" w:rsidP="002D0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Уровень смертности от туберкулеза в Казахстане со временем устойчиво и значительно снижается. Так как охват и качество системы государственной регистрации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 xml:space="preserve">населения являются адекватными, это снижение отражает истинное снижение общего бремени ТБ в стране. Оценочный уровень смертности по последним данным ВОЗ в 2017 г. был одним из самых низких среди стран постсоветского пространства, а за последние 10 лет он был уменьшен более чем в 17 раз (с 19 до 1.1 на 100,000 населения, включая смертность от ВИЧ-ассоциированного ТБ). Данные государственной системы </w:t>
      </w:r>
      <w:r w:rsidRPr="005540B1">
        <w:rPr>
          <w:rFonts w:ascii="Times New Roman" w:hAnsi="Times New Roman" w:cs="Times New Roman"/>
          <w:sz w:val="24"/>
          <w:szCs w:val="24"/>
        </w:rPr>
        <w:lastRenderedPageBreak/>
        <w:t>регистрации случаев смерти подтверждают эти оценки: за период с 2008 г. до 2017 г., смертность от ТБ снизилась с 16.6 до 3.0 случаев на 100,000 населения (рис. 3).</w:t>
      </w:r>
    </w:p>
    <w:p w14:paraId="7DB5D3A6" w14:textId="77777777" w:rsidR="00E14288" w:rsidRPr="005540B1" w:rsidRDefault="00E14288" w:rsidP="00E14288">
      <w:pPr>
        <w:jc w:val="both"/>
        <w:rPr>
          <w:rFonts w:ascii="Times New Roman" w:hAnsi="Times New Roman" w:cs="Times New Roman"/>
          <w:b/>
          <w:sz w:val="20"/>
        </w:rPr>
      </w:pPr>
      <w:r w:rsidRPr="005540B1">
        <w:rPr>
          <w:rFonts w:ascii="Times New Roman" w:hAnsi="Times New Roman" w:cs="Times New Roman"/>
          <w:b/>
          <w:sz w:val="20"/>
        </w:rPr>
        <w:t>Рис. 3 Оценочная смертность от ТБ (включая ТБ/ВИЧ) по данным ВОЗ в сравнении с данными государственной системы регистрации актов гражданского состояния в Казахстане, на 100,000 населения, 2008-2017 гг.</w:t>
      </w:r>
    </w:p>
    <w:p w14:paraId="43857AD8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cs="Calibri"/>
          <w:noProof/>
          <w:lang w:val="en-US"/>
        </w:rPr>
        <w:drawing>
          <wp:inline distT="0" distB="0" distL="0" distR="0" wp14:anchorId="42FD1406" wp14:editId="01F5EFCB">
            <wp:extent cx="4766310" cy="23850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68DE7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Как и в других странах бывшего СССР, высокий уровень лекарственной устойчивости к противотуберкулезным препаратам является ключевой проблемой для Национальной программы и серьезным препятствием для эффективного контроля за ТБ в Казахстане.</w:t>
      </w:r>
    </w:p>
    <w:p w14:paraId="463EC42A" w14:textId="77777777" w:rsidR="00E14288" w:rsidRDefault="00E14288" w:rsidP="00E14288">
      <w:pPr>
        <w:pStyle w:val="BodyTextIndent"/>
        <w:pBdr>
          <w:bottom w:val="single" w:sz="4" w:space="30" w:color="FFFFFF"/>
        </w:pBdr>
        <w:spacing w:after="0"/>
        <w:ind w:left="0"/>
        <w:jc w:val="both"/>
        <w:rPr>
          <w:sz w:val="24"/>
          <w:szCs w:val="24"/>
          <w:lang w:val="ru-RU"/>
        </w:rPr>
      </w:pPr>
      <w:r w:rsidRPr="005540B1">
        <w:rPr>
          <w:sz w:val="24"/>
          <w:szCs w:val="24"/>
          <w:lang w:val="ru-RU"/>
        </w:rPr>
        <w:t>Казахстан входит в число 27 стран с высоким уровнем заболеваемости МЛУ-ТБ и является высокоприоритетной страной при сотрудничестве с ВОЗ.</w:t>
      </w:r>
    </w:p>
    <w:p w14:paraId="70F852CD" w14:textId="77777777" w:rsidR="00E14288" w:rsidRDefault="00E14288" w:rsidP="00E14288">
      <w:pPr>
        <w:pStyle w:val="BodyTextIndent"/>
        <w:pBdr>
          <w:bottom w:val="single" w:sz="4" w:space="30" w:color="FFFFFF"/>
        </w:pBdr>
        <w:spacing w:after="0"/>
        <w:ind w:left="0"/>
        <w:jc w:val="both"/>
        <w:rPr>
          <w:sz w:val="24"/>
          <w:szCs w:val="24"/>
          <w:lang w:val="ru-RU"/>
        </w:rPr>
      </w:pPr>
    </w:p>
    <w:p w14:paraId="4D961036" w14:textId="77777777" w:rsidR="002D0DF0" w:rsidRDefault="00E14288" w:rsidP="002D0DF0">
      <w:pPr>
        <w:pStyle w:val="BodyTextIndent"/>
        <w:pBdr>
          <w:bottom w:val="single" w:sz="4" w:space="30" w:color="FFFFFF"/>
        </w:pBdr>
        <w:spacing w:after="0"/>
        <w:ind w:left="0"/>
        <w:jc w:val="both"/>
        <w:rPr>
          <w:sz w:val="24"/>
          <w:szCs w:val="24"/>
          <w:lang w:val="ru-RU"/>
        </w:rPr>
      </w:pPr>
      <w:r w:rsidRPr="007243B2">
        <w:rPr>
          <w:sz w:val="24"/>
          <w:szCs w:val="24"/>
          <w:lang w:val="ru-RU"/>
        </w:rPr>
        <w:t>По данным ННЦФ за 2017 г., результаты исследований на лекарственную чувствительность (ТЛЧ) к препаратам первого ряда областными лабораториями и Национальной референс-лабораторией (НРЛ) при ННЦФ, показали, что доля РУ-ТБ среди новых случаев составила 25,</w:t>
      </w:r>
      <w:r>
        <w:rPr>
          <w:sz w:val="24"/>
          <w:szCs w:val="24"/>
          <w:lang w:val="ru-RU"/>
        </w:rPr>
        <w:t>9</w:t>
      </w:r>
      <w:r w:rsidRPr="007243B2">
        <w:rPr>
          <w:sz w:val="24"/>
          <w:szCs w:val="24"/>
          <w:lang w:val="ru-RU"/>
        </w:rPr>
        <w:t>%, а среди повторных случаев –</w:t>
      </w:r>
      <w:r>
        <w:rPr>
          <w:sz w:val="24"/>
          <w:szCs w:val="24"/>
          <w:lang w:val="ru-RU"/>
        </w:rPr>
        <w:t xml:space="preserve"> </w:t>
      </w:r>
      <w:r w:rsidRPr="007243B2">
        <w:rPr>
          <w:sz w:val="24"/>
          <w:szCs w:val="24"/>
          <w:lang w:val="ru-RU"/>
        </w:rPr>
        <w:t>47,</w:t>
      </w:r>
      <w:r w:rsidRPr="003631C9">
        <w:rPr>
          <w:sz w:val="24"/>
          <w:szCs w:val="24"/>
          <w:lang w:val="ru-RU"/>
        </w:rPr>
        <w:t>0</w:t>
      </w:r>
      <w:r w:rsidRPr="007243B2">
        <w:rPr>
          <w:sz w:val="24"/>
          <w:szCs w:val="24"/>
          <w:lang w:val="ru-RU"/>
        </w:rPr>
        <w:t xml:space="preserve">%. </w:t>
      </w:r>
      <w:r w:rsidRPr="00342E2B">
        <w:rPr>
          <w:sz w:val="24"/>
          <w:szCs w:val="24"/>
          <w:lang w:val="ru-RU"/>
        </w:rPr>
        <w:t>В большинстве случаев с РУ-ТБ выявляется также устойчивость к изониазиду, т.е. ТБ с множественной лекарственной устойчивостью (МЛУ-ТБ), доля которого составила 17.2% и 35.1% среди новых и повторных случаев соответственно.</w:t>
      </w:r>
      <w:r w:rsidRPr="00342E2B">
        <w:rPr>
          <w:lang w:val="ru-RU"/>
        </w:rPr>
        <w:t xml:space="preserve"> </w:t>
      </w:r>
      <w:r w:rsidRPr="005559AE">
        <w:rPr>
          <w:sz w:val="24"/>
          <w:szCs w:val="24"/>
          <w:lang w:val="ru-RU"/>
        </w:rPr>
        <w:t>Пропорция МЛУ-ТБ среди новых и повторных случаев за последние девять лет показана на рис. 4.</w:t>
      </w:r>
    </w:p>
    <w:p w14:paraId="34923B1D" w14:textId="77777777" w:rsidR="002D0DF0" w:rsidRDefault="002D0DF0" w:rsidP="002D0DF0">
      <w:pPr>
        <w:pStyle w:val="BodyTextIndent"/>
        <w:pBdr>
          <w:bottom w:val="single" w:sz="4" w:space="30" w:color="FFFFFF"/>
        </w:pBdr>
        <w:spacing w:after="0"/>
        <w:ind w:left="0"/>
        <w:jc w:val="both"/>
        <w:rPr>
          <w:sz w:val="24"/>
          <w:szCs w:val="24"/>
          <w:lang w:val="ru-RU"/>
        </w:rPr>
      </w:pPr>
    </w:p>
    <w:p w14:paraId="4930A44E" w14:textId="67CC24EC" w:rsidR="00E14288" w:rsidRPr="002D0DF0" w:rsidRDefault="002D0DF0" w:rsidP="002D0DF0">
      <w:pPr>
        <w:pStyle w:val="BodyTextIndent"/>
        <w:pBdr>
          <w:bottom w:val="single" w:sz="4" w:space="30" w:color="FFFFFF"/>
        </w:pBdr>
        <w:spacing w:after="0"/>
        <w:ind w:left="0"/>
        <w:jc w:val="both"/>
        <w:rPr>
          <w:b/>
          <w:lang w:val="ru-RU"/>
        </w:rPr>
      </w:pPr>
      <w:r w:rsidRPr="005540B1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0" locked="0" layoutInCell="1" allowOverlap="1" wp14:anchorId="52FCE868" wp14:editId="1D7A9C85">
            <wp:simplePos x="0" y="0"/>
            <wp:positionH relativeFrom="margin">
              <wp:align>right</wp:align>
            </wp:positionH>
            <wp:positionV relativeFrom="paragraph">
              <wp:posOffset>403860</wp:posOffset>
            </wp:positionV>
            <wp:extent cx="5756275" cy="2392597"/>
            <wp:effectExtent l="0" t="0" r="15875" b="8255"/>
            <wp:wrapNone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288" w:rsidRPr="002D0DF0">
        <w:rPr>
          <w:b/>
          <w:lang w:val="ru-RU"/>
        </w:rPr>
        <w:t>Рис. 4 Пропорция МЛУ-ТБ среди новых и повторных случаев ТБ</w:t>
      </w:r>
      <w:r w:rsidR="00E14288" w:rsidRPr="002D0DF0">
        <w:rPr>
          <w:b/>
          <w:lang w:val="ru-RU"/>
        </w:rPr>
        <w:br/>
        <w:t>по результатам ТЛЧ к препаратам первого ряда в Казахстане, %, 2008-2017 гг.</w:t>
      </w:r>
    </w:p>
    <w:p w14:paraId="6A1C279D" w14:textId="1C619CE1" w:rsidR="00E14288" w:rsidRPr="005540B1" w:rsidRDefault="00E14288" w:rsidP="00E14288">
      <w:pPr>
        <w:jc w:val="both"/>
        <w:rPr>
          <w:rFonts w:ascii="Times New Roman" w:hAnsi="Times New Roman" w:cs="Times New Roman"/>
          <w:b/>
          <w:sz w:val="20"/>
        </w:rPr>
      </w:pPr>
    </w:p>
    <w:p w14:paraId="5528A5B9" w14:textId="77777777" w:rsidR="00E14288" w:rsidRPr="005540B1" w:rsidRDefault="00E14288" w:rsidP="00E14288">
      <w:pPr>
        <w:jc w:val="both"/>
        <w:rPr>
          <w:rFonts w:ascii="Times New Roman" w:hAnsi="Times New Roman" w:cs="Times New Roman"/>
          <w:b/>
          <w:sz w:val="20"/>
        </w:rPr>
      </w:pPr>
    </w:p>
    <w:p w14:paraId="136A956F" w14:textId="77777777" w:rsidR="00E14288" w:rsidRPr="005540B1" w:rsidRDefault="00E14288" w:rsidP="00E14288">
      <w:pPr>
        <w:jc w:val="both"/>
        <w:rPr>
          <w:rFonts w:ascii="Times New Roman" w:hAnsi="Times New Roman" w:cs="Times New Roman"/>
          <w:b/>
          <w:sz w:val="20"/>
        </w:rPr>
      </w:pPr>
    </w:p>
    <w:p w14:paraId="7AF37406" w14:textId="77777777" w:rsidR="00E14288" w:rsidRPr="005540B1" w:rsidRDefault="00E14288" w:rsidP="00E14288">
      <w:pPr>
        <w:spacing w:line="240" w:lineRule="auto"/>
        <w:jc w:val="both"/>
        <w:rPr>
          <w:rFonts w:cs="Calibri"/>
          <w:noProof/>
          <w:lang w:eastAsia="ru-RU"/>
        </w:rPr>
      </w:pPr>
    </w:p>
    <w:p w14:paraId="68B70CED" w14:textId="77777777" w:rsidR="00E14288" w:rsidRPr="005540B1" w:rsidRDefault="00E14288" w:rsidP="00E14288">
      <w:pPr>
        <w:spacing w:line="240" w:lineRule="auto"/>
        <w:jc w:val="both"/>
        <w:rPr>
          <w:rFonts w:cs="Calibri"/>
          <w:noProof/>
          <w:lang w:eastAsia="ru-RU"/>
        </w:rPr>
      </w:pPr>
    </w:p>
    <w:p w14:paraId="5177DEF3" w14:textId="77777777" w:rsidR="00E14288" w:rsidRPr="005540B1" w:rsidRDefault="00E14288" w:rsidP="00E14288">
      <w:pPr>
        <w:spacing w:line="240" w:lineRule="auto"/>
        <w:jc w:val="both"/>
        <w:rPr>
          <w:rFonts w:cs="Calibri"/>
          <w:noProof/>
          <w:lang w:eastAsia="ru-RU"/>
        </w:rPr>
      </w:pPr>
    </w:p>
    <w:p w14:paraId="4F4523CA" w14:textId="77777777" w:rsidR="00E14288" w:rsidRPr="005540B1" w:rsidRDefault="00E14288" w:rsidP="00E14288">
      <w:pPr>
        <w:jc w:val="both"/>
        <w:rPr>
          <w:rFonts w:cs="Calibri"/>
        </w:rPr>
      </w:pPr>
      <w:r w:rsidRPr="005540B1">
        <w:rPr>
          <w:rFonts w:cs="Calibri"/>
          <w:i/>
          <w:noProof/>
          <w:sz w:val="18"/>
          <w:szCs w:val="18"/>
        </w:rPr>
        <w:lastRenderedPageBreak/>
        <w:t>Источник</w:t>
      </w:r>
      <w:r w:rsidRPr="005540B1">
        <w:rPr>
          <w:rFonts w:cs="Calibri"/>
          <w:noProof/>
          <w:sz w:val="18"/>
          <w:szCs w:val="18"/>
        </w:rPr>
        <w:t>: ННЦФ, июнь 2018 г.</w:t>
      </w:r>
    </w:p>
    <w:p w14:paraId="2A7ADDDE" w14:textId="77777777" w:rsidR="00E14288" w:rsidRPr="005540B1" w:rsidRDefault="00E14288" w:rsidP="00E14288">
      <w:pPr>
        <w:pStyle w:val="BodyTextIndent"/>
        <w:pBdr>
          <w:bottom w:val="single" w:sz="4" w:space="31" w:color="FFFFFF"/>
        </w:pBdr>
        <w:spacing w:after="0"/>
        <w:ind w:left="0"/>
        <w:jc w:val="both"/>
        <w:rPr>
          <w:sz w:val="24"/>
          <w:szCs w:val="24"/>
          <w:lang w:val="ru-RU"/>
        </w:rPr>
      </w:pPr>
      <w:r w:rsidRPr="005540B1">
        <w:rPr>
          <w:sz w:val="24"/>
          <w:szCs w:val="24"/>
          <w:lang w:val="ru-RU"/>
        </w:rPr>
        <w:t>В Казахстане в 2017 году зарегистрировано 5</w:t>
      </w:r>
      <w:r w:rsidRPr="00592293">
        <w:rPr>
          <w:sz w:val="24"/>
          <w:szCs w:val="24"/>
          <w:lang w:val="ru-RU"/>
        </w:rPr>
        <w:t>,</w:t>
      </w:r>
      <w:r w:rsidRPr="005540B1">
        <w:rPr>
          <w:sz w:val="24"/>
          <w:szCs w:val="24"/>
          <w:lang w:val="ru-RU"/>
        </w:rPr>
        <w:t>89</w:t>
      </w:r>
      <w:r w:rsidRPr="00592293">
        <w:rPr>
          <w:sz w:val="24"/>
          <w:szCs w:val="24"/>
          <w:lang w:val="ru-RU"/>
        </w:rPr>
        <w:t>3</w:t>
      </w:r>
      <w:r w:rsidRPr="005540B1">
        <w:rPr>
          <w:sz w:val="24"/>
          <w:szCs w:val="24"/>
          <w:lang w:val="ru-RU"/>
        </w:rPr>
        <w:t xml:space="preserve"> больных с МЛУ-ТБ. С момента достижения в стране стандарта охвата (85% и более) больных МЛУ-ТБ адекватным лечением противотуберкулезными препаратами второго ряда (далее – ПВР) с 2012 года, число больных МЛУ-ТБ по стране снизилось на 2</w:t>
      </w:r>
      <w:r w:rsidRPr="00592293">
        <w:rPr>
          <w:sz w:val="24"/>
          <w:szCs w:val="24"/>
          <w:lang w:val="ru-RU"/>
        </w:rPr>
        <w:t>,</w:t>
      </w:r>
      <w:r w:rsidRPr="005540B1">
        <w:rPr>
          <w:sz w:val="24"/>
          <w:szCs w:val="24"/>
          <w:lang w:val="ru-RU"/>
        </w:rPr>
        <w:t>531 человек - с 8,424 до 5,893.</w:t>
      </w:r>
    </w:p>
    <w:p w14:paraId="469E4D30" w14:textId="77777777" w:rsidR="00E14288" w:rsidRPr="005540B1" w:rsidRDefault="00E14288" w:rsidP="00E14288">
      <w:pPr>
        <w:pStyle w:val="BodyTextIndent"/>
        <w:pBdr>
          <w:bottom w:val="single" w:sz="4" w:space="31" w:color="FFFFFF"/>
        </w:pBdr>
        <w:spacing w:after="0"/>
        <w:ind w:left="0"/>
        <w:jc w:val="both"/>
        <w:rPr>
          <w:sz w:val="24"/>
          <w:szCs w:val="24"/>
          <w:lang w:val="ru-RU"/>
        </w:rPr>
      </w:pPr>
    </w:p>
    <w:p w14:paraId="4204057A" w14:textId="77777777" w:rsidR="00E14288" w:rsidRPr="005540B1" w:rsidRDefault="00E14288" w:rsidP="00E14288">
      <w:pPr>
        <w:pStyle w:val="BodyTextIndent"/>
        <w:pBdr>
          <w:bottom w:val="single" w:sz="4" w:space="31" w:color="FFFFFF"/>
        </w:pBdr>
        <w:spacing w:after="0"/>
        <w:ind w:left="0" w:firstLine="708"/>
        <w:jc w:val="center"/>
        <w:rPr>
          <w:rFonts w:eastAsiaTheme="majorEastAsia"/>
          <w:b/>
          <w:szCs w:val="22"/>
          <w:lang w:val="ru-RU"/>
        </w:rPr>
      </w:pPr>
      <w:r w:rsidRPr="005540B1">
        <w:rPr>
          <w:rFonts w:eastAsiaTheme="majorEastAsia"/>
          <w:b/>
          <w:szCs w:val="22"/>
          <w:lang w:val="ru-RU"/>
        </w:rPr>
        <w:t>Рис. 5 Число зарегистрированных больных МЛУ ТБ в Казахстане в период 2008 -2017гг.</w:t>
      </w:r>
    </w:p>
    <w:p w14:paraId="2F52E766" w14:textId="77777777" w:rsidR="00E14288" w:rsidRPr="005540B1" w:rsidRDefault="00E14288" w:rsidP="00E14288">
      <w:pPr>
        <w:pStyle w:val="BodyTextIndent"/>
        <w:pBdr>
          <w:bottom w:val="single" w:sz="4" w:space="31" w:color="FFFFFF"/>
        </w:pBdr>
        <w:spacing w:after="0"/>
        <w:ind w:left="0" w:firstLine="708"/>
        <w:jc w:val="both"/>
        <w:rPr>
          <w:rFonts w:eastAsiaTheme="majorEastAsia"/>
          <w:b/>
          <w:szCs w:val="22"/>
          <w:lang w:val="ru-RU"/>
        </w:rPr>
      </w:pPr>
    </w:p>
    <w:p w14:paraId="1A83F1E0" w14:textId="77777777" w:rsidR="00E14288" w:rsidRPr="005540B1" w:rsidRDefault="00E14288" w:rsidP="00E14288">
      <w:pPr>
        <w:pStyle w:val="BodyTextIndent"/>
        <w:pBdr>
          <w:bottom w:val="single" w:sz="4" w:space="31" w:color="FFFFFF"/>
        </w:pBdr>
        <w:spacing w:after="0"/>
        <w:ind w:left="0"/>
        <w:jc w:val="both"/>
        <w:rPr>
          <w:sz w:val="24"/>
          <w:szCs w:val="24"/>
          <w:lang w:val="ru-RU"/>
        </w:rPr>
      </w:pPr>
      <w:r w:rsidRPr="005540B1">
        <w:rPr>
          <w:bCs/>
          <w:noProof/>
          <w:sz w:val="24"/>
          <w:szCs w:val="24"/>
          <w:lang w:eastAsia="en-US"/>
        </w:rPr>
        <w:drawing>
          <wp:inline distT="0" distB="0" distL="0" distR="0" wp14:anchorId="24C1B7F5" wp14:editId="36BAEC73">
            <wp:extent cx="5833110" cy="2220595"/>
            <wp:effectExtent l="0" t="0" r="0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D3D51A8" w14:textId="5C3805A0" w:rsidR="00FB6755" w:rsidRPr="00FB6755" w:rsidRDefault="00FB6755" w:rsidP="00FB6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55">
        <w:rPr>
          <w:rFonts w:ascii="Times New Roman" w:hAnsi="Times New Roman" w:cs="Times New Roman"/>
          <w:sz w:val="24"/>
          <w:szCs w:val="24"/>
        </w:rPr>
        <w:t>ВИЧ-ассоциированный туберкулез представляет собой острую проблему. Казахстан находится на концентрированной стадии развития ВИЧ. По оценкам Объединенной программы ООН по ВИЧ/СПИДу, в 2017 году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FB6755">
        <w:rPr>
          <w:rFonts w:ascii="Times New Roman" w:hAnsi="Times New Roman" w:cs="Times New Roman"/>
          <w:sz w:val="24"/>
          <w:szCs w:val="24"/>
        </w:rPr>
        <w:t xml:space="preserve"> в стране насчитывалось 27000 человек, живущих с ВИЧ (ЛЖВ), включая 3700 новых случаев инфицирования. Согласно оценке, коэффициент распространенности ВИЧ среди взрослого населения (в возрасте от 15 до 49 лет) составил 0,2%.</w:t>
      </w:r>
    </w:p>
    <w:p w14:paraId="74727238" w14:textId="77777777" w:rsidR="00FB6755" w:rsidRPr="00FB6755" w:rsidRDefault="00FB6755" w:rsidP="00FB6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55">
        <w:rPr>
          <w:rFonts w:ascii="Times New Roman" w:hAnsi="Times New Roman" w:cs="Times New Roman"/>
          <w:sz w:val="24"/>
          <w:szCs w:val="24"/>
        </w:rPr>
        <w:t xml:space="preserve">По данным Республиканского центра по профилактике и борьбе со СПИД, с момента возникновения эпидемии и до конца 2017 года в стране было зарегистрировано 32 573 ВИЧ-положительных случая (29 980 из которых были зарегистрированы среди граждан Казахстана) и 9 448 случаев смерти; количество людей, живущих с ВИЧ, составило 20 841 человек (77,2% от количества, оцененного Объединенной программой ООН по ВИЧ/СПИДу). В течение 2017 года было зарегистрировано 3 023 новых случая инфицирования ВИЧ (81,7% от оценки Объединенной программой ООН по ВИЧ/СПИДу), включая 2 856 граждан Казахстана (16,2 на 100 000 населения). </w:t>
      </w:r>
    </w:p>
    <w:p w14:paraId="6594C687" w14:textId="77777777" w:rsidR="00FB6755" w:rsidRPr="00FB6755" w:rsidRDefault="00FB6755" w:rsidP="00FB6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55">
        <w:rPr>
          <w:rFonts w:ascii="Times New Roman" w:hAnsi="Times New Roman" w:cs="Times New Roman"/>
          <w:sz w:val="24"/>
          <w:szCs w:val="24"/>
        </w:rPr>
        <w:t>Основной путь передачи - это гетеросексуальные контакты (62,0% случаев); второе место занимает парентеральный путь передачи при употреблении наркотиков (29,2%). В ключевых затронутых группах населения показатель распространенности ВИЧ оценивается на уровне 8,5% среди людей употребляющих инъекционные наркотики, 3,2% среди мужчин имеющих секс с другими мужчинами, 2,7% среди заключенных и 1,9% среди работников секс-индустрии.</w:t>
      </w:r>
    </w:p>
    <w:p w14:paraId="1791105F" w14:textId="77777777" w:rsidR="00FB6755" w:rsidRPr="00FB6755" w:rsidRDefault="00FB6755" w:rsidP="00FB6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55">
        <w:rPr>
          <w:rFonts w:ascii="Times New Roman" w:hAnsi="Times New Roman" w:cs="Times New Roman"/>
          <w:sz w:val="24"/>
          <w:szCs w:val="24"/>
        </w:rPr>
        <w:t xml:space="preserve">В 2017 году почти все (98%) находящиеся на лечении больные туберкулезом прошли тест на ВИЧ, а 87% ЛЖВ, зарегистрированных в центрах по борьбе со СПИД, были подвергнуты скринингу на ТБ с применением различных методов. Количество </w:t>
      </w:r>
      <w:r w:rsidRPr="00FB6755">
        <w:rPr>
          <w:rFonts w:ascii="Times New Roman" w:hAnsi="Times New Roman" w:cs="Times New Roman"/>
          <w:sz w:val="24"/>
          <w:szCs w:val="24"/>
        </w:rPr>
        <w:lastRenderedPageBreak/>
        <w:t>зарегистрированных случаев (всех форм) ВИЧ-ассоциированного ТБ в 2017 году составило 734 по сравнению с 736 в 2016 году и 781 в 2015 году. Коэффициент распространенности ТБ/ВИЧ среди всех случаев ТБ в 2017 году составил 5,0% (2015 год - 4,7%, 2016 год - 4,9%).  В 2017 году в АРТ были включены 661 пациент с сочетанной ко-инфекцией ТБ / ВИЧ, охват АРТ составив 90,1% среди зарегистрированных пациентов с ТБ / ВИЧ, по сравнению с 87,2% в 2016 году (642 пациента из 736) и 65,3% (510 / 781) в 2015 году.</w:t>
      </w:r>
    </w:p>
    <w:p w14:paraId="63DE3D3C" w14:textId="332DD27F" w:rsidR="00E14288" w:rsidRPr="00C3576E" w:rsidRDefault="00FB6755" w:rsidP="00FB67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755">
        <w:rPr>
          <w:rFonts w:ascii="Times New Roman" w:hAnsi="Times New Roman" w:cs="Times New Roman"/>
          <w:sz w:val="24"/>
          <w:szCs w:val="24"/>
        </w:rPr>
        <w:t>Доля ВИЧ-инфицированных людей среди больных ТБ в пенитенциарной системе находится на высоком уровне и увеличивается с течением времени. В местах лишения свободы коэффициент распространенности ТБ/ВИЧ в 2011-2013 годах составлял около 9%, однако в последующие годы он значительно увеличился и составил 12,0% в 2014 году, 17,8% в 2015 году и 26,6% в 2016 году.</w:t>
      </w:r>
      <w:r w:rsidR="00E14288" w:rsidRPr="00C3576E">
        <w:rPr>
          <w:rFonts w:ascii="Times New Roman" w:hAnsi="Times New Roman" w:cs="Times New Roman"/>
          <w:sz w:val="24"/>
          <w:szCs w:val="24"/>
        </w:rPr>
        <w:t>Туберкулез остается важной проблемой в пенитенциарном секторе. Успешное проведение реформы уголовного правоисполнения, включая применение альтернативных санкций, позволило сократить количество контингента в местах лишения свободы. Если в 1998 г. Казахстан занимал третье место в мире по количеству заключенных на 100,000 общего населения страны, то в 2017 г. – 82-е. Среднегодовое количество заключенных в пенитенциарной системе (ПС) в 2017 г. составило около 35,000 человек</w:t>
      </w:r>
      <w:r w:rsidR="00E14288" w:rsidRPr="00C3576E">
        <w:rPr>
          <w:rStyle w:val="FootnoteReference"/>
          <w:rFonts w:ascii="Times New Roman" w:hAnsi="Times New Roman" w:cs="Times New Roman"/>
        </w:rPr>
        <w:footnoteReference w:id="7"/>
      </w:r>
      <w:r w:rsidR="00E14288" w:rsidRPr="00C3576E">
        <w:rPr>
          <w:rFonts w:ascii="Times New Roman" w:hAnsi="Times New Roman" w:cs="Times New Roman"/>
          <w:sz w:val="24"/>
          <w:szCs w:val="24"/>
        </w:rPr>
        <w:t>.</w:t>
      </w:r>
    </w:p>
    <w:p w14:paraId="5FE025A6" w14:textId="0F9486B0" w:rsidR="00E14288" w:rsidRPr="00C3576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76E">
        <w:rPr>
          <w:rFonts w:ascii="Times New Roman" w:hAnsi="Times New Roman" w:cs="Times New Roman"/>
          <w:sz w:val="24"/>
          <w:szCs w:val="24"/>
        </w:rPr>
        <w:t xml:space="preserve">За последнее десятилетие заболеваемость туберкулезом в пенитенциарной системе (ПС) значительно снизилась. Ежегодное количество регистрируемых случаев в учреждениях уголовно-исполнительной системы (УИС) и в следственных изоляторах (СИЗО) между 2008 г. и 2016 г. снизилось в 5.3 раза и 3.3 раза соответственно, а в целом в системе – в 4.8 раз (рис. 6). При этом динамический показатель регистрации всех случаев при перерасчете на население системы снизился с 5,600 на 100,000 населения до 1,600 </w:t>
      </w:r>
      <w:r w:rsidR="002D0DF0">
        <w:rPr>
          <w:rFonts w:ascii="Times New Roman" w:hAnsi="Times New Roman" w:cs="Times New Roman"/>
          <w:sz w:val="24"/>
          <w:szCs w:val="24"/>
        </w:rPr>
        <w:t>на</w:t>
      </w:r>
      <w:r w:rsidRPr="00C3576E">
        <w:rPr>
          <w:rFonts w:ascii="Times New Roman" w:hAnsi="Times New Roman" w:cs="Times New Roman"/>
          <w:sz w:val="24"/>
          <w:szCs w:val="24"/>
        </w:rPr>
        <w:t xml:space="preserve"> 100,000, или в 3.8 раз. В то же время, показатель случаев заболеваемости (новые случаи и рецидивы) в ПС почти в 30 раз превышает соответствующий показатель по стране в целом</w:t>
      </w:r>
      <w:r w:rsidRPr="00C3576E">
        <w:rPr>
          <w:rStyle w:val="FootnoteReference"/>
          <w:rFonts w:ascii="Times New Roman" w:hAnsi="Times New Roman" w:cs="Times New Roman"/>
        </w:rPr>
        <w:footnoteReference w:id="8"/>
      </w:r>
      <w:r w:rsidRPr="00C3576E">
        <w:rPr>
          <w:rFonts w:ascii="Times New Roman" w:hAnsi="Times New Roman" w:cs="Times New Roman"/>
          <w:sz w:val="24"/>
          <w:szCs w:val="24"/>
        </w:rPr>
        <w:t>.</w:t>
      </w:r>
    </w:p>
    <w:p w14:paraId="35113F00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cs="Calibri"/>
          <w:b/>
          <w:sz w:val="20"/>
        </w:rPr>
        <w:t xml:space="preserve">Рис. 6 Количество всех зарегистрированных случаев ТБ </w:t>
      </w:r>
      <w:r w:rsidRPr="005540B1">
        <w:rPr>
          <w:rFonts w:cs="Calibri"/>
          <w:b/>
          <w:sz w:val="20"/>
        </w:rPr>
        <w:br/>
        <w:t>в пенитенциарной системе Казахстана, 2008-201</w:t>
      </w:r>
      <w:r>
        <w:rPr>
          <w:rFonts w:cs="Calibri"/>
          <w:b/>
          <w:sz w:val="20"/>
        </w:rPr>
        <w:t>6</w:t>
      </w:r>
      <w:r w:rsidRPr="005540B1">
        <w:rPr>
          <w:rFonts w:cs="Calibri"/>
          <w:b/>
          <w:sz w:val="20"/>
        </w:rPr>
        <w:t xml:space="preserve"> гг.</w:t>
      </w:r>
    </w:p>
    <w:p w14:paraId="71AAB9D7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cs="Calibri"/>
          <w:noProof/>
          <w:lang w:val="en-US"/>
        </w:rPr>
        <w:lastRenderedPageBreak/>
        <w:drawing>
          <wp:inline distT="0" distB="0" distL="0" distR="0" wp14:anchorId="3C0DC554" wp14:editId="77580147">
            <wp:extent cx="4869180" cy="266319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26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85AF3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60134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В стране достигнут один из самых высоких в мире показателей эффективности лечения больных ТБ и МЛУ ТБ. В 2017 году эффективность лечения впервые выявленных больных с чувствительным туберкулезом составила 87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40B1">
        <w:rPr>
          <w:rFonts w:ascii="Times New Roman" w:hAnsi="Times New Roman" w:cs="Times New Roman"/>
          <w:sz w:val="24"/>
          <w:szCs w:val="24"/>
        </w:rPr>
        <w:t xml:space="preserve">0% (2014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40B1">
        <w:rPr>
          <w:rFonts w:ascii="Times New Roman" w:hAnsi="Times New Roman" w:cs="Times New Roman"/>
          <w:sz w:val="24"/>
          <w:szCs w:val="24"/>
        </w:rPr>
        <w:t xml:space="preserve"> 86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40B1">
        <w:rPr>
          <w:rFonts w:ascii="Times New Roman" w:hAnsi="Times New Roman" w:cs="Times New Roman"/>
          <w:sz w:val="24"/>
          <w:szCs w:val="24"/>
        </w:rPr>
        <w:t xml:space="preserve">4%, 2015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40B1">
        <w:rPr>
          <w:rFonts w:ascii="Times New Roman" w:hAnsi="Times New Roman" w:cs="Times New Roman"/>
          <w:sz w:val="24"/>
          <w:szCs w:val="24"/>
        </w:rPr>
        <w:t xml:space="preserve"> 87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40B1">
        <w:rPr>
          <w:rFonts w:ascii="Times New Roman" w:hAnsi="Times New Roman" w:cs="Times New Roman"/>
          <w:sz w:val="24"/>
          <w:szCs w:val="24"/>
        </w:rPr>
        <w:t xml:space="preserve">6%, 2016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40B1">
        <w:rPr>
          <w:rFonts w:ascii="Times New Roman" w:hAnsi="Times New Roman" w:cs="Times New Roman"/>
          <w:sz w:val="24"/>
          <w:szCs w:val="24"/>
        </w:rPr>
        <w:t xml:space="preserve"> 86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40B1">
        <w:rPr>
          <w:rFonts w:ascii="Times New Roman" w:hAnsi="Times New Roman" w:cs="Times New Roman"/>
          <w:sz w:val="24"/>
          <w:szCs w:val="24"/>
        </w:rPr>
        <w:t>6%). В тоже время эффективность лечения больных МЛУ-ТБ, зарегистрированных в 2014 году составила 78</w:t>
      </w:r>
      <w:r>
        <w:rPr>
          <w:rFonts w:ascii="Times New Roman" w:hAnsi="Times New Roman" w:cs="Times New Roman"/>
          <w:sz w:val="24"/>
          <w:szCs w:val="24"/>
        </w:rPr>
        <w:t>.2% (в 2011 – 69.</w:t>
      </w:r>
      <w:r w:rsidRPr="005540B1">
        <w:rPr>
          <w:rFonts w:ascii="Times New Roman" w:hAnsi="Times New Roman" w:cs="Times New Roman"/>
          <w:sz w:val="24"/>
          <w:szCs w:val="24"/>
        </w:rPr>
        <w:t>4%, 2012– 75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40B1">
        <w:rPr>
          <w:rFonts w:ascii="Times New Roman" w:hAnsi="Times New Roman" w:cs="Times New Roman"/>
          <w:sz w:val="24"/>
          <w:szCs w:val="24"/>
        </w:rPr>
        <w:t xml:space="preserve">1%, 2013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40B1">
        <w:rPr>
          <w:rFonts w:ascii="Times New Roman" w:hAnsi="Times New Roman" w:cs="Times New Roman"/>
          <w:sz w:val="24"/>
          <w:szCs w:val="24"/>
        </w:rPr>
        <w:t xml:space="preserve"> 74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40B1">
        <w:rPr>
          <w:rFonts w:ascii="Times New Roman" w:hAnsi="Times New Roman" w:cs="Times New Roman"/>
          <w:sz w:val="24"/>
          <w:szCs w:val="24"/>
        </w:rPr>
        <w:t>5%).</w:t>
      </w:r>
    </w:p>
    <w:p w14:paraId="27591B6F" w14:textId="77777777" w:rsidR="00E14288" w:rsidRPr="005540B1" w:rsidRDefault="00E14288" w:rsidP="00E14288">
      <w:pPr>
        <w:pStyle w:val="Heading1"/>
        <w:numPr>
          <w:ilvl w:val="0"/>
          <w:numId w:val="0"/>
        </w:numPr>
        <w:spacing w:line="240" w:lineRule="auto"/>
        <w:ind w:left="432" w:hanging="432"/>
        <w:jc w:val="both"/>
        <w:rPr>
          <w:rFonts w:ascii="Times New Roman" w:hAnsi="Times New Roman" w:cs="Times New Roman"/>
          <w:sz w:val="28"/>
          <w:szCs w:val="24"/>
        </w:rPr>
      </w:pPr>
      <w:bookmarkStart w:id="16" w:name="_Toc532477381"/>
      <w:r w:rsidRPr="005540B1">
        <w:rPr>
          <w:rFonts w:ascii="Times New Roman" w:hAnsi="Times New Roman" w:cs="Times New Roman"/>
          <w:sz w:val="28"/>
          <w:szCs w:val="24"/>
        </w:rPr>
        <w:t>ВНУТРЕННЯЯ СРЕДА</w:t>
      </w:r>
      <w:bookmarkEnd w:id="16"/>
    </w:p>
    <w:p w14:paraId="207E2866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8"/>
        </w:rPr>
      </w:pPr>
    </w:p>
    <w:p w14:paraId="22E097F0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8"/>
        </w:rPr>
      </w:pPr>
      <w:r w:rsidRPr="005540B1">
        <w:rPr>
          <w:rFonts w:ascii="Times New Roman" w:hAnsi="Times New Roman" w:cs="Times New Roman"/>
          <w:sz w:val="28"/>
        </w:rPr>
        <w:t>УПРАВЛЕНИЕ</w:t>
      </w:r>
    </w:p>
    <w:p w14:paraId="1D31A596" w14:textId="77777777" w:rsidR="00E14288" w:rsidRPr="005540B1" w:rsidRDefault="00E14288" w:rsidP="002D0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Министерство Здравоохранения Республики Казахстан (РК) является исполнительным органом государственной власти, руководство которым осуществляет Правительство РК, выполняющим функции по выработке государственной политики, нормативно-правовому регулированию и контролю в сфере здравоохранения. МЗ РК осуществляет координацию и контроль деятельности подведомственных организаций здравоохранения, в своей деятельности руководствуется Конституцией РК, конституционными законами, актами Президента и Правительства Республики Казахстан и иными нормативными правовыми актами. МЗ РК осуществляет свою деятельность во взаимодействии с другими государственными органами власти и управления, с органами местного самоуправления и другими организациями независимо от их организационно-правовой формы, а также с международными финансовыми и профильными организациями. МЗ РК несет полную ответственность за оказание медицинских услуг населению страны.</w:t>
      </w:r>
    </w:p>
    <w:p w14:paraId="14AA2557" w14:textId="77777777" w:rsidR="00E14288" w:rsidRPr="005540B1" w:rsidRDefault="00E14288" w:rsidP="002D0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 xml:space="preserve">Правительство РК рассматривает ТБ как одно из приоритетных направлений общественного здравоохранения, что нашло свое выражение в законодательных актах, основными из которых являются: </w:t>
      </w:r>
    </w:p>
    <w:p w14:paraId="5E6736C5" w14:textId="77777777" w:rsidR="00E14288" w:rsidRPr="005540B1" w:rsidRDefault="00E14288" w:rsidP="002D0DF0">
      <w:pPr>
        <w:pStyle w:val="Heading1"/>
        <w:numPr>
          <w:ilvl w:val="0"/>
          <w:numId w:val="35"/>
        </w:numPr>
        <w:spacing w:before="0" w:after="200" w:line="240" w:lineRule="auto"/>
        <w:jc w:val="both"/>
        <w:rPr>
          <w:rFonts w:ascii="Times New Roman" w:hAnsi="Times New Roman" w:cs="Times New Roman"/>
          <w:smallCaps w:val="0"/>
          <w:spacing w:val="0"/>
          <w:sz w:val="24"/>
          <w:szCs w:val="24"/>
        </w:rPr>
      </w:pPr>
      <w:bookmarkStart w:id="17" w:name="_Toc531867988"/>
      <w:bookmarkStart w:id="18" w:name="_Toc532477382"/>
      <w:r w:rsidRPr="005540B1">
        <w:rPr>
          <w:rFonts w:ascii="Times New Roman" w:hAnsi="Times New Roman" w:cs="Times New Roman"/>
          <w:smallCaps w:val="0"/>
          <w:spacing w:val="0"/>
          <w:sz w:val="24"/>
          <w:szCs w:val="24"/>
        </w:rPr>
        <w:t>Кодекс Республики Казахстан от 18 сентября 2009 года № 193-IV «О здоровье народа и системе здравоохранения</w:t>
      </w:r>
      <w:bookmarkEnd w:id="17"/>
      <w:bookmarkEnd w:id="18"/>
    </w:p>
    <w:p w14:paraId="38AD1E4D" w14:textId="77777777" w:rsidR="00E14288" w:rsidRPr="005540B1" w:rsidRDefault="00E14288" w:rsidP="002D0DF0">
      <w:pPr>
        <w:pStyle w:val="Heading1"/>
        <w:numPr>
          <w:ilvl w:val="0"/>
          <w:numId w:val="35"/>
        </w:numPr>
        <w:spacing w:before="0" w:after="200" w:line="240" w:lineRule="auto"/>
        <w:jc w:val="both"/>
        <w:rPr>
          <w:rFonts w:ascii="Times New Roman" w:hAnsi="Times New Roman" w:cs="Times New Roman"/>
          <w:smallCaps w:val="0"/>
          <w:spacing w:val="0"/>
          <w:sz w:val="24"/>
          <w:szCs w:val="24"/>
        </w:rPr>
      </w:pPr>
      <w:bookmarkStart w:id="19" w:name="_Toc531867989"/>
      <w:bookmarkStart w:id="20" w:name="_Toc532477383"/>
      <w:r w:rsidRPr="005540B1">
        <w:rPr>
          <w:rFonts w:ascii="Times New Roman" w:hAnsi="Times New Roman" w:cs="Times New Roman"/>
          <w:smallCaps w:val="0"/>
          <w:spacing w:val="0"/>
          <w:sz w:val="24"/>
          <w:szCs w:val="24"/>
        </w:rPr>
        <w:lastRenderedPageBreak/>
        <w:t>Государственная программа развития здравоохранения Республики Казахстан «Денсаулық» на 2016-2019 годы</w:t>
      </w:r>
      <w:bookmarkEnd w:id="19"/>
      <w:bookmarkEnd w:id="20"/>
    </w:p>
    <w:p w14:paraId="647037AD" w14:textId="77777777" w:rsidR="00E14288" w:rsidRPr="005540B1" w:rsidRDefault="00E14288" w:rsidP="002D0DF0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Комплексный план по борьбе с туберкулезом в Республике Казахстан на 2014 – 2020 года</w:t>
      </w:r>
    </w:p>
    <w:p w14:paraId="4014E188" w14:textId="77777777" w:rsidR="00E14288" w:rsidRPr="005540B1" w:rsidRDefault="00E14288" w:rsidP="002D0DF0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Приказ МЗ РК №994 от 22.12.2017 г. «Об утверждении Инструкции по организации оказания медицинской помощи по туберкулезу»</w:t>
      </w:r>
    </w:p>
    <w:p w14:paraId="7C1CF7A4" w14:textId="77777777" w:rsidR="00E14288" w:rsidRPr="005540B1" w:rsidRDefault="00E14288" w:rsidP="002D0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Оказание противотуберкулезной помощи больных ТБ гарантируется государством и осуществляется на основе принципов законности, соблюдения прав человека и гражданина, общедоступности в объемах, предусмотренных Программой государственных гарантий оказания гражданам РК бесплатной медицинской помощи.</w:t>
      </w:r>
    </w:p>
    <w:p w14:paraId="7E555B97" w14:textId="77777777" w:rsidR="00E14288" w:rsidRPr="005540B1" w:rsidRDefault="00E14288" w:rsidP="002D0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Основу Национальной Программы борьбы с туберкулезом в Республике Казахстан составляет Постановление Правительства Республики Казахстан от 31 мая 2014 года № 597 «Об утверждении Комплексного плана по борьбе с туберкулезом в Республике Казахстан на 2014 – 2020 гг.» и нормативно правовые акты по туберкулезу.</w:t>
      </w:r>
    </w:p>
    <w:p w14:paraId="2BA7AA5D" w14:textId="249EBCCC" w:rsidR="00E14288" w:rsidRPr="005540B1" w:rsidRDefault="00E14288" w:rsidP="002D0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Комплексный план, разработанный во исполнение поручений Президента Республики Казахстан, озвученных в посланиях «Стратегия «Казахстан – 2050»: новый политический курс состоявшегося государства» и «Нұрлы</w:t>
      </w:r>
      <w:r w:rsidR="007313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>жол – путь в будущее» полностью синхронизируется с Глобальной стратегией «EndTB» Всемирной организации здравоохранения на 2016-2035 годы.</w:t>
      </w:r>
    </w:p>
    <w:p w14:paraId="5A3F8B06" w14:textId="77777777" w:rsidR="00E14288" w:rsidRPr="005540B1" w:rsidRDefault="00E14288" w:rsidP="002D0DF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 xml:space="preserve">Целью НСПТ является снижение бремени ТБ путем обеспечения всеобщего доступа к услугам диагностики и лечения всех форм туберкулеза. </w:t>
      </w:r>
    </w:p>
    <w:p w14:paraId="52C54BD5" w14:textId="77777777" w:rsidR="00E14288" w:rsidRPr="001A7534" w:rsidRDefault="00E14288" w:rsidP="002D0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534">
        <w:rPr>
          <w:rFonts w:ascii="Times New Roman" w:hAnsi="Times New Roman" w:cs="Times New Roman"/>
          <w:sz w:val="24"/>
          <w:szCs w:val="24"/>
        </w:rPr>
        <w:t xml:space="preserve">В соответствии с Глобальной Стратегией по Ликвидации Туберкулеза к 2035 году, НСПТ определила </w:t>
      </w:r>
      <w:r w:rsidRPr="002D0DF0">
        <w:rPr>
          <w:rFonts w:ascii="Times New Roman" w:hAnsi="Times New Roman" w:cs="Times New Roman"/>
          <w:sz w:val="24"/>
          <w:szCs w:val="24"/>
        </w:rPr>
        <w:t xml:space="preserve">следующие цели, которые </w:t>
      </w:r>
      <w:r w:rsidRPr="001A7534">
        <w:rPr>
          <w:rFonts w:ascii="Times New Roman" w:hAnsi="Times New Roman" w:cs="Times New Roman"/>
          <w:sz w:val="24"/>
          <w:szCs w:val="24"/>
        </w:rPr>
        <w:t>должны быть выполнены к 2020 году:</w:t>
      </w:r>
    </w:p>
    <w:p w14:paraId="75FAFE5F" w14:textId="379578C1" w:rsidR="00E14288" w:rsidRPr="001A7534" w:rsidRDefault="002D0DF0" w:rsidP="002D0DF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</w:t>
      </w:r>
      <w:r w:rsidR="00E14288" w:rsidRPr="001A7534">
        <w:rPr>
          <w:rFonts w:ascii="Times New Roman" w:hAnsi="Times New Roman" w:cs="Times New Roman"/>
          <w:sz w:val="24"/>
          <w:szCs w:val="24"/>
        </w:rPr>
        <w:t xml:space="preserve"> смертности от туберкулеза: </w:t>
      </w:r>
      <w:r w:rsidR="00E14288" w:rsidRPr="001A7534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14288" w:rsidRPr="001A753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14288" w:rsidRPr="001A7534">
        <w:rPr>
          <w:rFonts w:ascii="Times New Roman" w:hAnsi="Times New Roman" w:cs="Times New Roman"/>
          <w:sz w:val="24"/>
          <w:szCs w:val="24"/>
        </w:rPr>
        <w:t xml:space="preserve"> на 100</w:t>
      </w:r>
      <w:r>
        <w:rPr>
          <w:rFonts w:ascii="Times New Roman" w:hAnsi="Times New Roman" w:cs="Times New Roman"/>
          <w:sz w:val="24"/>
          <w:szCs w:val="24"/>
        </w:rPr>
        <w:t>,</w:t>
      </w:r>
      <w:r w:rsidR="00E14288" w:rsidRPr="001A7534">
        <w:rPr>
          <w:rFonts w:ascii="Times New Roman" w:hAnsi="Times New Roman" w:cs="Times New Roman"/>
          <w:sz w:val="24"/>
          <w:szCs w:val="24"/>
        </w:rPr>
        <w:t>000</w:t>
      </w:r>
    </w:p>
    <w:p w14:paraId="38FD741B" w14:textId="265A29CF" w:rsidR="00E14288" w:rsidRPr="001A7534" w:rsidRDefault="00E14288" w:rsidP="002D0DF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534">
        <w:rPr>
          <w:rFonts w:ascii="Times New Roman" w:hAnsi="Times New Roman" w:cs="Times New Roman"/>
          <w:sz w:val="24"/>
          <w:szCs w:val="24"/>
        </w:rPr>
        <w:t>Уровень заболеваемости туберкулезом</w:t>
      </w:r>
      <w:r w:rsidR="002D0DF0">
        <w:rPr>
          <w:rFonts w:ascii="Times New Roman" w:hAnsi="Times New Roman" w:cs="Times New Roman"/>
          <w:sz w:val="24"/>
          <w:szCs w:val="24"/>
        </w:rPr>
        <w:t xml:space="preserve">: </w:t>
      </w:r>
      <w:r w:rsidRPr="001A7534">
        <w:rPr>
          <w:rFonts w:ascii="Times New Roman" w:hAnsi="Times New Roman" w:cs="Times New Roman"/>
          <w:sz w:val="24"/>
          <w:szCs w:val="24"/>
          <w:lang w:val="kk-KZ"/>
        </w:rPr>
        <w:t>52</w:t>
      </w:r>
      <w:r w:rsidR="002D0DF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A7534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1A7534">
        <w:rPr>
          <w:rFonts w:ascii="Times New Roman" w:hAnsi="Times New Roman" w:cs="Times New Roman"/>
          <w:sz w:val="24"/>
          <w:szCs w:val="24"/>
        </w:rPr>
        <w:t xml:space="preserve"> на 100</w:t>
      </w:r>
      <w:r w:rsidR="002D0DF0">
        <w:rPr>
          <w:rFonts w:ascii="Times New Roman" w:hAnsi="Times New Roman" w:cs="Times New Roman"/>
          <w:sz w:val="24"/>
          <w:szCs w:val="24"/>
        </w:rPr>
        <w:t>,</w:t>
      </w:r>
      <w:r w:rsidRPr="001A7534">
        <w:rPr>
          <w:rFonts w:ascii="Times New Roman" w:hAnsi="Times New Roman" w:cs="Times New Roman"/>
          <w:sz w:val="24"/>
          <w:szCs w:val="24"/>
        </w:rPr>
        <w:t>000</w:t>
      </w:r>
    </w:p>
    <w:p w14:paraId="6E5BF15E" w14:textId="3F8F57AB" w:rsidR="00E14288" w:rsidRPr="001A7534" w:rsidRDefault="00E14288" w:rsidP="002D0DF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534">
        <w:rPr>
          <w:rFonts w:ascii="Times New Roman" w:hAnsi="Times New Roman" w:cs="Times New Roman"/>
          <w:sz w:val="24"/>
          <w:szCs w:val="24"/>
        </w:rPr>
        <w:t>Показатель успеха лечения МЛУ-ТБ</w:t>
      </w:r>
      <w:r w:rsidR="002D0DF0">
        <w:rPr>
          <w:rFonts w:ascii="Times New Roman" w:hAnsi="Times New Roman" w:cs="Times New Roman"/>
          <w:sz w:val="24"/>
          <w:szCs w:val="24"/>
        </w:rPr>
        <w:t xml:space="preserve">: </w:t>
      </w:r>
      <w:r w:rsidRPr="001A7534">
        <w:rPr>
          <w:rFonts w:ascii="Times New Roman" w:hAnsi="Times New Roman" w:cs="Times New Roman"/>
          <w:sz w:val="24"/>
          <w:szCs w:val="24"/>
        </w:rPr>
        <w:t>75%</w:t>
      </w:r>
    </w:p>
    <w:p w14:paraId="5847A0E1" w14:textId="77777777" w:rsidR="00E14288" w:rsidRPr="001A7534" w:rsidRDefault="00E14288" w:rsidP="002D0DF0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534">
        <w:rPr>
          <w:rFonts w:ascii="Times New Roman" w:hAnsi="Times New Roman" w:cs="Times New Roman"/>
          <w:sz w:val="24"/>
          <w:szCs w:val="24"/>
        </w:rPr>
        <w:t>Показатель уведомления о случаях заболевания МЛУ ТБ: более 90%</w:t>
      </w:r>
    </w:p>
    <w:p w14:paraId="4EF3A9C9" w14:textId="77777777" w:rsidR="00E14288" w:rsidRPr="001A7534" w:rsidRDefault="00E14288" w:rsidP="002D0D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534">
        <w:rPr>
          <w:rFonts w:ascii="Times New Roman" w:hAnsi="Times New Roman" w:cs="Times New Roman"/>
          <w:sz w:val="24"/>
          <w:szCs w:val="24"/>
        </w:rPr>
        <w:t>В рамках Комплексного плана проводится реорганизация противотуберкулезных учреждений, поэтапная оптимизация и перепрофилирование коечного фонда противотуберкулезных организаций с усовершенствованием механизма финансирования, внедрение новых методов ранней диагностики туберкулеза и лечения, совершенствование модели оказания медицинской помощи больным туберкулезом, включая лицам из групп риска и труднодоступных групп, с поэтапным внедрением пациент-ориентированного амбулаторного лечения больных туберкулезом, обучение специалистов, совершенствование мер по инфекционному контролю. Из года в год растет охват социальной помощью больных туберкулезом, находящихся на амбулаторном лечении.</w:t>
      </w:r>
    </w:p>
    <w:p w14:paraId="7191023A" w14:textId="3FFA9E8A" w:rsidR="006D5DBF" w:rsidRDefault="006D5DBF" w:rsidP="002D0DF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D5DBF">
        <w:rPr>
          <w:rFonts w:ascii="Times New Roman" w:eastAsia="Arial" w:hAnsi="Times New Roman" w:cs="Times New Roman"/>
          <w:sz w:val="24"/>
          <w:szCs w:val="24"/>
        </w:rPr>
        <w:t xml:space="preserve">В 2002 году, Постановлением Правительства РК №1037 от 20 сентября 2002 года был создан Страновой координационный комитет (СКК) с целью координации Гранта Глобального фонда на уровне Правительства с ГФСТМ и совместного принятия решений. В соответствии с руководящими принципами Глобального фонда, СКК состоит из 26 членов, включая представителей 5 министерств (МЗ, МВД, МО, МЮ, МОН), международных организаций, НПО и людей, страдающих от болезней. </w:t>
      </w:r>
      <w:r w:rsidR="0022534B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Представители НПО в СКК составляют 40% из состава и представлены в том числе: </w:t>
      </w:r>
      <w:r w:rsidRPr="006D5DBF">
        <w:rPr>
          <w:rFonts w:ascii="Times New Roman" w:eastAsia="Arial" w:hAnsi="Times New Roman" w:cs="Times New Roman"/>
          <w:sz w:val="24"/>
          <w:szCs w:val="24"/>
        </w:rPr>
        <w:t>национальны</w:t>
      </w:r>
      <w:r w:rsidR="0022534B">
        <w:rPr>
          <w:rFonts w:ascii="Times New Roman" w:eastAsia="Arial" w:hAnsi="Times New Roman" w:cs="Times New Roman"/>
          <w:sz w:val="24"/>
          <w:szCs w:val="24"/>
        </w:rPr>
        <w:t>ми</w:t>
      </w:r>
      <w:r w:rsidRPr="006D5DBF">
        <w:rPr>
          <w:rFonts w:ascii="Times New Roman" w:eastAsia="Arial" w:hAnsi="Times New Roman" w:cs="Times New Roman"/>
          <w:sz w:val="24"/>
          <w:szCs w:val="24"/>
        </w:rPr>
        <w:t xml:space="preserve"> НПО; организаци</w:t>
      </w:r>
      <w:r w:rsidR="0022534B">
        <w:rPr>
          <w:rFonts w:ascii="Times New Roman" w:eastAsia="Arial" w:hAnsi="Times New Roman" w:cs="Times New Roman"/>
          <w:sz w:val="24"/>
          <w:szCs w:val="24"/>
        </w:rPr>
        <w:t>ями</w:t>
      </w:r>
      <w:r w:rsidRPr="006D5DBF">
        <w:rPr>
          <w:rFonts w:ascii="Times New Roman" w:eastAsia="Arial" w:hAnsi="Times New Roman" w:cs="Times New Roman"/>
          <w:sz w:val="24"/>
          <w:szCs w:val="24"/>
        </w:rPr>
        <w:t xml:space="preserve"> сообществ</w:t>
      </w:r>
      <w:r w:rsidR="0022534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D5DBF">
        <w:rPr>
          <w:rFonts w:ascii="Times New Roman" w:eastAsia="Arial" w:hAnsi="Times New Roman" w:cs="Times New Roman"/>
          <w:sz w:val="24"/>
          <w:szCs w:val="24"/>
        </w:rPr>
        <w:t>людей, живущих с ТБ, ВИЧ; ключевы</w:t>
      </w:r>
      <w:r w:rsidR="0022534B">
        <w:rPr>
          <w:rFonts w:ascii="Times New Roman" w:eastAsia="Arial" w:hAnsi="Times New Roman" w:cs="Times New Roman"/>
          <w:sz w:val="24"/>
          <w:szCs w:val="24"/>
        </w:rPr>
        <w:t>ми</w:t>
      </w:r>
      <w:r w:rsidRPr="006D5DBF">
        <w:rPr>
          <w:rFonts w:ascii="Times New Roman" w:eastAsia="Arial" w:hAnsi="Times New Roman" w:cs="Times New Roman"/>
          <w:sz w:val="24"/>
          <w:szCs w:val="24"/>
        </w:rPr>
        <w:t xml:space="preserve"> затронуты</w:t>
      </w:r>
      <w:r w:rsidR="0022534B">
        <w:rPr>
          <w:rFonts w:ascii="Times New Roman" w:eastAsia="Arial" w:hAnsi="Times New Roman" w:cs="Times New Roman"/>
          <w:sz w:val="24"/>
          <w:szCs w:val="24"/>
        </w:rPr>
        <w:t>ми</w:t>
      </w:r>
      <w:r w:rsidRPr="006D5DBF">
        <w:rPr>
          <w:rFonts w:ascii="Times New Roman" w:eastAsia="Arial" w:hAnsi="Times New Roman" w:cs="Times New Roman"/>
          <w:sz w:val="24"/>
          <w:szCs w:val="24"/>
        </w:rPr>
        <w:t xml:space="preserve"> групп</w:t>
      </w:r>
      <w:r w:rsidR="0022534B">
        <w:rPr>
          <w:rFonts w:ascii="Times New Roman" w:eastAsia="Arial" w:hAnsi="Times New Roman" w:cs="Times New Roman"/>
          <w:sz w:val="24"/>
          <w:szCs w:val="24"/>
        </w:rPr>
        <w:t>ами</w:t>
      </w:r>
      <w:r w:rsidRPr="006D5DBF">
        <w:rPr>
          <w:rFonts w:ascii="Times New Roman" w:eastAsia="Arial" w:hAnsi="Times New Roman" w:cs="Times New Roman"/>
          <w:sz w:val="24"/>
          <w:szCs w:val="24"/>
        </w:rPr>
        <w:t xml:space="preserve"> населения; конфессиональны</w:t>
      </w:r>
      <w:r w:rsidR="0022534B">
        <w:rPr>
          <w:rFonts w:ascii="Times New Roman" w:eastAsia="Arial" w:hAnsi="Times New Roman" w:cs="Times New Roman"/>
          <w:sz w:val="24"/>
          <w:szCs w:val="24"/>
        </w:rPr>
        <w:t>ми</w:t>
      </w:r>
      <w:r w:rsidRPr="006D5DBF">
        <w:rPr>
          <w:rFonts w:ascii="Times New Roman" w:eastAsia="Arial" w:hAnsi="Times New Roman" w:cs="Times New Roman"/>
          <w:sz w:val="24"/>
          <w:szCs w:val="24"/>
        </w:rPr>
        <w:t xml:space="preserve"> организаци</w:t>
      </w:r>
      <w:r w:rsidR="0022534B">
        <w:rPr>
          <w:rFonts w:ascii="Times New Roman" w:eastAsia="Arial" w:hAnsi="Times New Roman" w:cs="Times New Roman"/>
          <w:sz w:val="24"/>
          <w:szCs w:val="24"/>
        </w:rPr>
        <w:t>ями</w:t>
      </w:r>
      <w:r w:rsidRPr="006D5DBF">
        <w:rPr>
          <w:rFonts w:ascii="Times New Roman" w:eastAsia="Arial" w:hAnsi="Times New Roman" w:cs="Times New Roman"/>
          <w:sz w:val="24"/>
          <w:szCs w:val="24"/>
        </w:rPr>
        <w:t>; международны</w:t>
      </w:r>
      <w:r w:rsidR="0022534B">
        <w:rPr>
          <w:rFonts w:ascii="Times New Roman" w:eastAsia="Arial" w:hAnsi="Times New Roman" w:cs="Times New Roman"/>
          <w:sz w:val="24"/>
          <w:szCs w:val="24"/>
        </w:rPr>
        <w:t>ми</w:t>
      </w:r>
      <w:r w:rsidRPr="006D5DBF">
        <w:rPr>
          <w:rFonts w:ascii="Times New Roman" w:eastAsia="Arial" w:hAnsi="Times New Roman" w:cs="Times New Roman"/>
          <w:sz w:val="24"/>
          <w:szCs w:val="24"/>
        </w:rPr>
        <w:t xml:space="preserve"> неправительственны</w:t>
      </w:r>
      <w:r w:rsidR="0022534B">
        <w:rPr>
          <w:rFonts w:ascii="Times New Roman" w:eastAsia="Arial" w:hAnsi="Times New Roman" w:cs="Times New Roman"/>
          <w:sz w:val="24"/>
          <w:szCs w:val="24"/>
        </w:rPr>
        <w:t>ми</w:t>
      </w:r>
      <w:r w:rsidRPr="006D5DBF">
        <w:rPr>
          <w:rFonts w:ascii="Times New Roman" w:eastAsia="Arial" w:hAnsi="Times New Roman" w:cs="Times New Roman"/>
          <w:sz w:val="24"/>
          <w:szCs w:val="24"/>
        </w:rPr>
        <w:t xml:space="preserve"> организаци</w:t>
      </w:r>
      <w:r w:rsidR="0022534B">
        <w:rPr>
          <w:rFonts w:ascii="Times New Roman" w:eastAsia="Arial" w:hAnsi="Times New Roman" w:cs="Times New Roman"/>
          <w:sz w:val="24"/>
          <w:szCs w:val="24"/>
        </w:rPr>
        <w:t>ями</w:t>
      </w:r>
      <w:r w:rsidRPr="006D5DBF">
        <w:rPr>
          <w:rFonts w:ascii="Times New Roman" w:eastAsia="Arial" w:hAnsi="Times New Roman" w:cs="Times New Roman"/>
          <w:sz w:val="24"/>
          <w:szCs w:val="24"/>
        </w:rPr>
        <w:t xml:space="preserve"> частного и академического секторов, не являющиеся многосторонними или двусторонними организациями. В целях эффективного принятия решений СКК обеспечивает ситуацию, при которой в составе СКК от каждой избирательной группы может быть не более одного члена, имеющего конфликт интересов (за исключением лиц, входящих в состав СКК в силу занимаемой должности и не имеющих права голоса). Понятие конфликта интересов относится, по крайней мере, к получателям финансирования, в частности представителям основных реципиентов (ОР) и суб-реципиентов (СР) или суб-субреципиентов.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2163972" w14:textId="77777777" w:rsidR="00E14288" w:rsidRPr="005540B1" w:rsidRDefault="00E14288" w:rsidP="002D0DF0">
      <w:pPr>
        <w:pStyle w:val="Heading3"/>
        <w:numPr>
          <w:ilvl w:val="0"/>
          <w:numId w:val="0"/>
        </w:numPr>
        <w:spacing w:before="0" w:after="20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bookmarkStart w:id="21" w:name="_Toc532477384"/>
      <w:r w:rsidRPr="005540B1">
        <w:rPr>
          <w:rFonts w:ascii="Times New Roman" w:hAnsi="Times New Roman" w:cs="Times New Roman"/>
          <w:i w:val="0"/>
          <w:sz w:val="28"/>
          <w:szCs w:val="28"/>
        </w:rPr>
        <w:t>ФИНАНСОВЫЕ РЕСУРСЫ ДЛЯ БОРЬБЫ С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5540B1">
        <w:rPr>
          <w:rFonts w:ascii="Times New Roman" w:hAnsi="Times New Roman" w:cs="Times New Roman"/>
          <w:i w:val="0"/>
          <w:sz w:val="28"/>
          <w:szCs w:val="28"/>
        </w:rPr>
        <w:t>ТБ</w:t>
      </w:r>
      <w:bookmarkEnd w:id="21"/>
    </w:p>
    <w:p w14:paraId="39A6BE7B" w14:textId="77777777" w:rsidR="00E14288" w:rsidRPr="005540B1" w:rsidRDefault="00E14288" w:rsidP="002D0DF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40B1">
        <w:rPr>
          <w:rFonts w:ascii="Times New Roman" w:eastAsia="Arial" w:hAnsi="Times New Roman" w:cs="Times New Roman"/>
          <w:sz w:val="24"/>
          <w:szCs w:val="24"/>
        </w:rPr>
        <w:t>В Казахстане мероприятия по борьбе с туберкулезом финансируется из государственного/республиканского бюджета, областных/местных бюджетов, ФОМС и ведомственных бюджетов. Комплексный план по борьбе с туберкулезом в Республике Казахстан на 2014-2020 годы представляет подробные оценочные показатели общих потребностей программы борьбы с туберкулезом, государственного финансирования, вклада внешних доноров и дефицита финансирования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Arial" w:hAnsi="Times New Roman" w:cs="Times New Roman"/>
          <w:sz w:val="24"/>
          <w:szCs w:val="24"/>
        </w:rPr>
        <w:t>в осуществлении приоритетных мероприятий по контролю туберкулеза. Финансовые оценочные показатели для национальной программы борьбы с туберкулезом были выведены на основе тщательного анализа эпидемиологических тенденций, запланированного увеличения охвата мероприятий, улучшения доступа к современным диагностическим технологиям и возможностей предоставления услуг.</w:t>
      </w:r>
    </w:p>
    <w:p w14:paraId="4CE63605" w14:textId="77777777" w:rsidR="00E14288" w:rsidRPr="00731394" w:rsidRDefault="00E14288" w:rsidP="002D0DF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1394">
        <w:rPr>
          <w:rFonts w:ascii="Times New Roman" w:eastAsia="Arial" w:hAnsi="Times New Roman" w:cs="Times New Roman"/>
          <w:sz w:val="24"/>
          <w:szCs w:val="24"/>
        </w:rPr>
        <w:t xml:space="preserve">Общая предполагаемая сумма государственных расходов на мероприятия по контролю туберкулеза на период 4 лет (2019-2022) составляет 201.94 млрд. тенге или эквивалент 590,32 млн. долларов США (при обменном курсе 1 доллара США к 342 тенге). </w:t>
      </w:r>
    </w:p>
    <w:p w14:paraId="36B346A4" w14:textId="77777777" w:rsidR="00E14288" w:rsidRPr="00731394" w:rsidRDefault="00E14288" w:rsidP="002D0DF0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1394">
        <w:rPr>
          <w:rFonts w:ascii="Times New Roman" w:eastAsia="Arial" w:hAnsi="Times New Roman" w:cs="Times New Roman"/>
          <w:sz w:val="24"/>
          <w:szCs w:val="24"/>
        </w:rPr>
        <w:t>Доля ожидаемого внутреннего финансирования в общем объеме финансовых ассигнований, выделенных на программу борьбы с туберкулезом представлена в Таблице1.</w:t>
      </w:r>
    </w:p>
    <w:p w14:paraId="16A9DFD7" w14:textId="77777777" w:rsidR="00E14288" w:rsidRDefault="00E14288" w:rsidP="00E14288">
      <w:pPr>
        <w:pStyle w:val="Subtitle"/>
        <w:jc w:val="center"/>
        <w:rPr>
          <w:rFonts w:ascii="Times New Roman" w:eastAsia="Arial" w:hAnsi="Times New Roman" w:cs="Times New Roman"/>
          <w:b/>
          <w:i w:val="0"/>
          <w:sz w:val="24"/>
          <w:szCs w:val="24"/>
        </w:rPr>
      </w:pPr>
    </w:p>
    <w:p w14:paraId="0CA0E1B0" w14:textId="77777777" w:rsidR="0022534B" w:rsidRDefault="0022534B" w:rsidP="0022534B"/>
    <w:p w14:paraId="12FED057" w14:textId="77777777" w:rsidR="0022534B" w:rsidRDefault="0022534B" w:rsidP="0022534B"/>
    <w:p w14:paraId="548B644F" w14:textId="77777777" w:rsidR="0022534B" w:rsidRPr="0022534B" w:rsidRDefault="0022534B" w:rsidP="0022534B"/>
    <w:p w14:paraId="0DFD01EB" w14:textId="77777777" w:rsidR="00E14288" w:rsidRPr="00731394" w:rsidRDefault="00E14288" w:rsidP="00E14288">
      <w:pPr>
        <w:pStyle w:val="Subtitle"/>
        <w:jc w:val="center"/>
        <w:rPr>
          <w:rFonts w:ascii="Times New Roman" w:eastAsia="Arial" w:hAnsi="Times New Roman" w:cs="Times New Roman"/>
          <w:b/>
          <w:i w:val="0"/>
          <w:sz w:val="24"/>
          <w:szCs w:val="24"/>
        </w:rPr>
      </w:pPr>
      <w:r w:rsidRPr="00731394">
        <w:rPr>
          <w:rFonts w:ascii="Times New Roman" w:eastAsia="Arial" w:hAnsi="Times New Roman" w:cs="Times New Roman"/>
          <w:b/>
          <w:i w:val="0"/>
          <w:sz w:val="24"/>
          <w:szCs w:val="24"/>
        </w:rPr>
        <w:t>ТАБЛИЦА 1. ФИНАНСОВЫЕ АССИГНОВАНИЯ, ВЫДЕЛЕННЫЕ НА НАЦИОНАЛЬНУЮ ПРОГРАММУ ТБ В 2019-2022 ГГ. (дол. США)</w:t>
      </w:r>
    </w:p>
    <w:tbl>
      <w:tblPr>
        <w:tblStyle w:val="LightList-Accent1"/>
        <w:tblW w:w="9170" w:type="dxa"/>
        <w:tblLayout w:type="fixed"/>
        <w:tblLook w:val="04A0" w:firstRow="1" w:lastRow="0" w:firstColumn="1" w:lastColumn="0" w:noHBand="0" w:noVBand="1"/>
      </w:tblPr>
      <w:tblGrid>
        <w:gridCol w:w="2445"/>
        <w:gridCol w:w="1681"/>
        <w:gridCol w:w="1681"/>
        <w:gridCol w:w="1681"/>
        <w:gridCol w:w="1682"/>
      </w:tblGrid>
      <w:tr w:rsidR="00731394" w:rsidRPr="00731394" w14:paraId="45B20CA5" w14:textId="77777777" w:rsidTr="00354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3E3F3A6F" w14:textId="77777777" w:rsidR="00E14288" w:rsidRPr="00731394" w:rsidRDefault="00E14288" w:rsidP="00354734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81" w:type="dxa"/>
            <w:noWrap/>
          </w:tcPr>
          <w:p w14:paraId="1AB198A8" w14:textId="77777777" w:rsidR="00E14288" w:rsidRPr="00731394" w:rsidRDefault="00E14288" w:rsidP="003547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731394">
              <w:rPr>
                <w:rFonts w:ascii="Times New Roman" w:eastAsia="Times New Roman" w:hAnsi="Times New Roman" w:cs="Times New Roman"/>
                <w:color w:val="auto"/>
              </w:rPr>
              <w:t>2019</w:t>
            </w:r>
          </w:p>
        </w:tc>
        <w:tc>
          <w:tcPr>
            <w:tcW w:w="1681" w:type="dxa"/>
            <w:noWrap/>
          </w:tcPr>
          <w:p w14:paraId="2A3A20D3" w14:textId="77777777" w:rsidR="00E14288" w:rsidRPr="00731394" w:rsidRDefault="00E14288" w:rsidP="003547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731394">
              <w:rPr>
                <w:rFonts w:ascii="Times New Roman" w:eastAsia="Times New Roman" w:hAnsi="Times New Roman" w:cs="Times New Roman"/>
                <w:color w:val="auto"/>
              </w:rPr>
              <w:t>2020</w:t>
            </w:r>
          </w:p>
        </w:tc>
        <w:tc>
          <w:tcPr>
            <w:tcW w:w="1681" w:type="dxa"/>
            <w:noWrap/>
          </w:tcPr>
          <w:p w14:paraId="130A168C" w14:textId="77777777" w:rsidR="00E14288" w:rsidRPr="00731394" w:rsidRDefault="00E14288" w:rsidP="003547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731394">
              <w:rPr>
                <w:rFonts w:ascii="Times New Roman" w:eastAsia="Times New Roman" w:hAnsi="Times New Roman" w:cs="Times New Roman"/>
                <w:color w:val="auto"/>
              </w:rPr>
              <w:t>2021</w:t>
            </w:r>
          </w:p>
        </w:tc>
        <w:tc>
          <w:tcPr>
            <w:tcW w:w="1682" w:type="dxa"/>
            <w:noWrap/>
          </w:tcPr>
          <w:p w14:paraId="050FAED0" w14:textId="77777777" w:rsidR="00E14288" w:rsidRPr="00731394" w:rsidRDefault="00E14288" w:rsidP="003547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</w:rPr>
            </w:pPr>
            <w:r w:rsidRPr="00731394">
              <w:rPr>
                <w:rFonts w:ascii="Times New Roman" w:eastAsia="Times New Roman" w:hAnsi="Times New Roman" w:cs="Times New Roman"/>
                <w:color w:val="auto"/>
              </w:rPr>
              <w:t>2022</w:t>
            </w:r>
          </w:p>
        </w:tc>
      </w:tr>
      <w:tr w:rsidR="00731394" w:rsidRPr="00731394" w14:paraId="386D24EC" w14:textId="77777777" w:rsidTr="0035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5A9C00CA" w14:textId="77777777" w:rsidR="00E14288" w:rsidRPr="00731394" w:rsidRDefault="00E14288" w:rsidP="00354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потребности в финансировании Национальной программы борьбы с ТБ</w:t>
            </w:r>
          </w:p>
        </w:tc>
        <w:tc>
          <w:tcPr>
            <w:tcW w:w="1681" w:type="dxa"/>
            <w:noWrap/>
            <w:hideMark/>
          </w:tcPr>
          <w:p w14:paraId="2DD71FF9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149,353,198</w:t>
            </w:r>
          </w:p>
        </w:tc>
        <w:tc>
          <w:tcPr>
            <w:tcW w:w="1681" w:type="dxa"/>
            <w:noWrap/>
            <w:hideMark/>
          </w:tcPr>
          <w:p w14:paraId="30F25E16" w14:textId="77777777" w:rsidR="00E14288" w:rsidRPr="00731394" w:rsidRDefault="00E14288" w:rsidP="0035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154,238,861</w:t>
            </w:r>
          </w:p>
        </w:tc>
        <w:tc>
          <w:tcPr>
            <w:tcW w:w="1681" w:type="dxa"/>
            <w:noWrap/>
          </w:tcPr>
          <w:p w14:paraId="5D104888" w14:textId="77777777" w:rsidR="00E14288" w:rsidRPr="00731394" w:rsidRDefault="00E14288" w:rsidP="0035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154,238,861</w:t>
            </w:r>
          </w:p>
        </w:tc>
        <w:tc>
          <w:tcPr>
            <w:tcW w:w="1682" w:type="dxa"/>
            <w:noWrap/>
          </w:tcPr>
          <w:p w14:paraId="54BB81BD" w14:textId="77777777" w:rsidR="00E14288" w:rsidRPr="00731394" w:rsidRDefault="00E14288" w:rsidP="00354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154,238,861</w:t>
            </w:r>
          </w:p>
        </w:tc>
      </w:tr>
      <w:tr w:rsidR="00731394" w:rsidRPr="00731394" w14:paraId="2D5BAE47" w14:textId="77777777" w:rsidTr="00354734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4E2E55D7" w14:textId="77777777" w:rsidR="00E14288" w:rsidRPr="00731394" w:rsidRDefault="00E14288" w:rsidP="00354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Общие ожидаемые ресурсы</w:t>
            </w:r>
          </w:p>
        </w:tc>
        <w:tc>
          <w:tcPr>
            <w:tcW w:w="1681" w:type="dxa"/>
            <w:noWrap/>
            <w:hideMark/>
          </w:tcPr>
          <w:p w14:paraId="629FE65B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155,087,425</w:t>
            </w:r>
          </w:p>
        </w:tc>
        <w:tc>
          <w:tcPr>
            <w:tcW w:w="1681" w:type="dxa"/>
            <w:noWrap/>
            <w:hideMark/>
          </w:tcPr>
          <w:p w14:paraId="2B551550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153,426,627</w:t>
            </w:r>
          </w:p>
        </w:tc>
        <w:tc>
          <w:tcPr>
            <w:tcW w:w="1681" w:type="dxa"/>
            <w:noWrap/>
            <w:hideMark/>
          </w:tcPr>
          <w:p w14:paraId="7A1F793F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151,929,715</w:t>
            </w:r>
          </w:p>
        </w:tc>
        <w:tc>
          <w:tcPr>
            <w:tcW w:w="1682" w:type="dxa"/>
            <w:noWrap/>
            <w:hideMark/>
          </w:tcPr>
          <w:p w14:paraId="247B6844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151,226,166</w:t>
            </w:r>
          </w:p>
        </w:tc>
      </w:tr>
      <w:tr w:rsidR="00731394" w:rsidRPr="00731394" w14:paraId="27D73D10" w14:textId="77777777" w:rsidTr="0035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3139AEC3" w14:textId="77777777" w:rsidR="00E14288" w:rsidRPr="00731394" w:rsidRDefault="00E14288" w:rsidP="00354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ожидаемые внутренние ресурсы</w:t>
            </w:r>
          </w:p>
        </w:tc>
        <w:tc>
          <w:tcPr>
            <w:tcW w:w="1681" w:type="dxa"/>
            <w:hideMark/>
          </w:tcPr>
          <w:p w14:paraId="0CF247EF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147,208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,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1681" w:type="dxa"/>
            <w:hideMark/>
          </w:tcPr>
          <w:p w14:paraId="45BE4E2D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147,490,034</w:t>
            </w:r>
          </w:p>
        </w:tc>
        <w:tc>
          <w:tcPr>
            <w:tcW w:w="1681" w:type="dxa"/>
            <w:hideMark/>
          </w:tcPr>
          <w:p w14:paraId="30C9F096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147,709,281</w:t>
            </w:r>
          </w:p>
        </w:tc>
        <w:tc>
          <w:tcPr>
            <w:tcW w:w="1682" w:type="dxa"/>
            <w:hideMark/>
          </w:tcPr>
          <w:p w14:paraId="4E1F74F8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147,928,528</w:t>
            </w:r>
          </w:p>
        </w:tc>
      </w:tr>
      <w:tr w:rsidR="00731394" w:rsidRPr="00731394" w14:paraId="2851AA04" w14:textId="77777777" w:rsidTr="003547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</w:tcPr>
          <w:p w14:paraId="074E6908" w14:textId="77777777" w:rsidR="00E14288" w:rsidRPr="00731394" w:rsidRDefault="00E14288" w:rsidP="00354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внешнее финансирование</w:t>
            </w:r>
          </w:p>
        </w:tc>
        <w:tc>
          <w:tcPr>
            <w:tcW w:w="1681" w:type="dxa"/>
          </w:tcPr>
          <w:p w14:paraId="661FFFB1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878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,4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81" w:type="dxa"/>
          </w:tcPr>
          <w:p w14:paraId="74A11472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936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592</w:t>
            </w:r>
          </w:p>
        </w:tc>
        <w:tc>
          <w:tcPr>
            <w:tcW w:w="1681" w:type="dxa"/>
          </w:tcPr>
          <w:p w14:paraId="629A4FE0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220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,4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1682" w:type="dxa"/>
          </w:tcPr>
          <w:p w14:paraId="54F724F5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,2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97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7313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637</w:t>
            </w:r>
          </w:p>
        </w:tc>
      </w:tr>
      <w:tr w:rsidR="00731394" w:rsidRPr="00731394" w14:paraId="628B6C12" w14:textId="77777777" w:rsidTr="0035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5FF41B37" w14:textId="77777777" w:rsidR="00E14288" w:rsidRPr="00731394" w:rsidRDefault="00E14288" w:rsidP="00354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ожидаемые ресурсы доноров, нон-ГФ</w:t>
            </w:r>
          </w:p>
        </w:tc>
        <w:tc>
          <w:tcPr>
            <w:tcW w:w="1681" w:type="dxa"/>
            <w:hideMark/>
          </w:tcPr>
          <w:p w14:paraId="32C4FCED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1,946,320</w:t>
            </w:r>
          </w:p>
        </w:tc>
        <w:tc>
          <w:tcPr>
            <w:tcW w:w="1681" w:type="dxa"/>
            <w:hideMark/>
          </w:tcPr>
          <w:p w14:paraId="4A27D1CF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1,800,000</w:t>
            </w:r>
          </w:p>
        </w:tc>
        <w:tc>
          <w:tcPr>
            <w:tcW w:w="1681" w:type="dxa"/>
            <w:noWrap/>
            <w:hideMark/>
          </w:tcPr>
          <w:p w14:paraId="74A8D780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1,800,000</w:t>
            </w:r>
          </w:p>
        </w:tc>
        <w:tc>
          <w:tcPr>
            <w:tcW w:w="1682" w:type="dxa"/>
            <w:noWrap/>
            <w:hideMark/>
          </w:tcPr>
          <w:p w14:paraId="0C603985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1,800,000</w:t>
            </w:r>
          </w:p>
        </w:tc>
      </w:tr>
      <w:tr w:rsidR="00731394" w:rsidRPr="00731394" w14:paraId="686F9DEF" w14:textId="77777777" w:rsidTr="003547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19BDD6B1" w14:textId="77777777" w:rsidR="00E14288" w:rsidRPr="00731394" w:rsidRDefault="00E14288" w:rsidP="00354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ожидаемые ресурсы Глобального фонда</w:t>
            </w:r>
          </w:p>
        </w:tc>
        <w:tc>
          <w:tcPr>
            <w:tcW w:w="1681" w:type="dxa"/>
            <w:hideMark/>
          </w:tcPr>
          <w:p w14:paraId="22E20A36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5,932,168</w:t>
            </w:r>
          </w:p>
        </w:tc>
        <w:tc>
          <w:tcPr>
            <w:tcW w:w="1681" w:type="dxa"/>
            <w:hideMark/>
          </w:tcPr>
          <w:p w14:paraId="54AE7F26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4,136,592</w:t>
            </w:r>
          </w:p>
        </w:tc>
        <w:tc>
          <w:tcPr>
            <w:tcW w:w="1681" w:type="dxa"/>
            <w:hideMark/>
          </w:tcPr>
          <w:p w14:paraId="4550C439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2,420,433</w:t>
            </w:r>
          </w:p>
        </w:tc>
        <w:tc>
          <w:tcPr>
            <w:tcW w:w="1682" w:type="dxa"/>
            <w:hideMark/>
          </w:tcPr>
          <w:p w14:paraId="46849C5E" w14:textId="77777777" w:rsidR="00E14288" w:rsidRPr="00731394" w:rsidRDefault="00E14288" w:rsidP="00354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1,497,637</w:t>
            </w:r>
          </w:p>
        </w:tc>
      </w:tr>
      <w:tr w:rsidR="00731394" w:rsidRPr="00731394" w14:paraId="340357F8" w14:textId="77777777" w:rsidTr="0035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5" w:type="dxa"/>
            <w:noWrap/>
            <w:hideMark/>
          </w:tcPr>
          <w:p w14:paraId="1D0AC739" w14:textId="77777777" w:rsidR="00E14288" w:rsidRPr="00731394" w:rsidRDefault="00E14288" w:rsidP="00354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внутреннего финансирования в общем объеме финансовых ассигнований на программы борьбы с туберкулезом</w:t>
            </w:r>
          </w:p>
        </w:tc>
        <w:tc>
          <w:tcPr>
            <w:tcW w:w="1681" w:type="dxa"/>
            <w:noWrap/>
            <w:hideMark/>
          </w:tcPr>
          <w:p w14:paraId="418990AD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94.9</w:t>
            </w: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681" w:type="dxa"/>
            <w:noWrap/>
            <w:hideMark/>
          </w:tcPr>
          <w:p w14:paraId="558014D0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96.1</w:t>
            </w: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681" w:type="dxa"/>
            <w:noWrap/>
            <w:hideMark/>
          </w:tcPr>
          <w:p w14:paraId="2DAB52D8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7.2</w:t>
            </w: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682" w:type="dxa"/>
            <w:noWrap/>
            <w:hideMark/>
          </w:tcPr>
          <w:p w14:paraId="2095F5CC" w14:textId="77777777" w:rsidR="00E14288" w:rsidRPr="00731394" w:rsidRDefault="00E14288" w:rsidP="00354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7.8</w:t>
            </w:r>
            <w:r w:rsidRPr="007313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7F529C28" w14:textId="77777777" w:rsidR="00E14288" w:rsidRPr="00731394" w:rsidRDefault="00E14288" w:rsidP="00E14288">
      <w:pPr>
        <w:tabs>
          <w:tab w:val="left" w:pos="1645"/>
        </w:tabs>
        <w:spacing w:line="237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1394">
        <w:rPr>
          <w:rFonts w:ascii="Times New Roman" w:eastAsia="Arial" w:hAnsi="Times New Roman" w:cs="Times New Roman"/>
          <w:sz w:val="24"/>
          <w:szCs w:val="24"/>
        </w:rPr>
        <w:tab/>
      </w:r>
    </w:p>
    <w:p w14:paraId="1F3DAD49" w14:textId="77777777" w:rsidR="00E14288" w:rsidRPr="00731394" w:rsidRDefault="00E14288" w:rsidP="00E14288">
      <w:pPr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1394">
        <w:rPr>
          <w:rFonts w:ascii="Times New Roman" w:eastAsia="Arial" w:hAnsi="Times New Roman" w:cs="Times New Roman"/>
          <w:sz w:val="24"/>
          <w:szCs w:val="24"/>
        </w:rPr>
        <w:t>Внешняя финансовая поддержка контроля туберкулеза в Казахстане за последние два года (2017-2018 гг.) составила 14.49 млн. долларов США, то есть 4.7% от общих расходов, связанных с борьбой с ТБ в стране за эти годы (310.43</w:t>
      </w:r>
      <w:r w:rsidRPr="00731394">
        <w:t xml:space="preserve"> </w:t>
      </w:r>
      <w:r w:rsidRPr="00731394">
        <w:rPr>
          <w:rFonts w:ascii="Times New Roman" w:eastAsia="Arial" w:hAnsi="Times New Roman" w:cs="Times New Roman"/>
          <w:sz w:val="24"/>
          <w:szCs w:val="24"/>
        </w:rPr>
        <w:t>млн. долларов США). Основным внешним источником финансирования ТБ являлся Глобальный Фонд по борьбе со СПИДом, Туберкулезом и Малярией, а также USAID и Правительство Нидерландов. Предполагается, что общее внешнее финансирование в 2019-2022 годах охватит около 3.4% от ожидаемого финансирования программы борьбы с туберкулезом (611.67 млн. долларов США), а при помощи внутреннего финансирования будут удовлетворены более 96.4% (590.34 из 611.67 млн. долларов США) потребностей (Рис.7).</w:t>
      </w:r>
    </w:p>
    <w:p w14:paraId="1C2D7BA6" w14:textId="77777777" w:rsidR="00E14288" w:rsidRPr="00731394" w:rsidRDefault="00E14288" w:rsidP="00E14288">
      <w:pPr>
        <w:pStyle w:val="Caption"/>
        <w:keepNext/>
        <w:jc w:val="center"/>
        <w:rPr>
          <w:rFonts w:asciiTheme="majorHAnsi" w:hAnsiTheme="majorHAnsi"/>
          <w:color w:val="auto"/>
          <w:szCs w:val="20"/>
          <w:lang w:val="ru-RU"/>
        </w:rPr>
      </w:pPr>
      <w:r w:rsidRPr="00731394">
        <w:rPr>
          <w:rFonts w:asciiTheme="majorHAnsi" w:hAnsiTheme="majorHAnsi"/>
          <w:color w:val="auto"/>
          <w:szCs w:val="20"/>
          <w:lang w:val="ru-RU"/>
        </w:rPr>
        <w:lastRenderedPageBreak/>
        <w:t>Рис.7 Тенденции финансирования ТБ в Казахстане на 2019-2022 гг.</w:t>
      </w:r>
    </w:p>
    <w:p w14:paraId="17ED56A4" w14:textId="77777777" w:rsidR="00E14288" w:rsidRPr="001A7534" w:rsidRDefault="00E14288" w:rsidP="00E14288">
      <w:pPr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1A7534">
        <w:rPr>
          <w:noProof/>
          <w:lang w:val="en-US"/>
        </w:rPr>
        <w:drawing>
          <wp:inline distT="0" distB="0" distL="0" distR="0" wp14:anchorId="0635F1DD" wp14:editId="040BCD79">
            <wp:extent cx="5905500" cy="3364230"/>
            <wp:effectExtent l="0" t="0" r="0" b="762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721820F" w14:textId="77777777" w:rsidR="00E14288" w:rsidRPr="001A7534" w:rsidRDefault="00E14288" w:rsidP="00E14288">
      <w:pPr>
        <w:spacing w:line="238" w:lineRule="auto"/>
        <w:jc w:val="both"/>
        <w:rPr>
          <w:rFonts w:ascii="Times New Roman" w:eastAsia="Arial" w:hAnsi="Times New Roman" w:cs="Times New Roman"/>
          <w:color w:val="00B050"/>
          <w:sz w:val="24"/>
          <w:szCs w:val="24"/>
        </w:rPr>
      </w:pPr>
    </w:p>
    <w:p w14:paraId="2B8740EF" w14:textId="77777777" w:rsidR="00E14288" w:rsidRPr="00731394" w:rsidRDefault="00E14288" w:rsidP="00E14288">
      <w:pPr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31394">
        <w:rPr>
          <w:rFonts w:ascii="Times New Roman" w:eastAsia="Arial" w:hAnsi="Times New Roman" w:cs="Times New Roman"/>
          <w:sz w:val="24"/>
          <w:szCs w:val="24"/>
        </w:rPr>
        <w:t xml:space="preserve">Общий дефицит финансирования на 2020-2022 годы оценивается примерно в 6.13 млн. долларов США, что составляет 1.3 % дефицита общих потребностей в размере 462.72 млн. долларов США на тот же период. </w:t>
      </w:r>
    </w:p>
    <w:p w14:paraId="7ED2CF3C" w14:textId="59622127" w:rsidR="00E14288" w:rsidRPr="001A7534" w:rsidRDefault="00E14288" w:rsidP="00E14288">
      <w:pPr>
        <w:spacing w:line="238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A7534">
        <w:rPr>
          <w:rFonts w:ascii="Times New Roman" w:eastAsia="Arial" w:hAnsi="Times New Roman" w:cs="Times New Roman"/>
          <w:sz w:val="24"/>
          <w:szCs w:val="24"/>
        </w:rPr>
        <w:t xml:space="preserve">Наиболее важные </w:t>
      </w:r>
      <w:r w:rsidRPr="001A7534">
        <w:rPr>
          <w:rFonts w:ascii="Times New Roman" w:eastAsia="Times New Roman" w:hAnsi="Times New Roman" w:cs="Times New Roman"/>
          <w:sz w:val="24"/>
          <w:szCs w:val="24"/>
        </w:rPr>
        <w:t>недостатки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, с которыми сталкивается национальная программа борьбы туберкулезом, проявляются в обеспечении (1) </w:t>
      </w:r>
      <w:r w:rsidRPr="001A7534">
        <w:rPr>
          <w:rFonts w:ascii="Times New Roman" w:eastAsia="Arial" w:hAnsi="Times New Roman" w:cs="Times New Roman"/>
          <w:b/>
          <w:sz w:val="24"/>
          <w:szCs w:val="24"/>
        </w:rPr>
        <w:t>расходных материалов и реагентов для быстрой диагностики туберкулеза для пенитенциарного сектора, (2) новых и перепрофилированных препаратов для лечения случаев М/ШЛУ-ТБ в пенитенциарном секторе и (3) поддержки вовлечения НПО и пациентских организаций по проведению противотуберкулезных мероприятий среди высоко-</w:t>
      </w:r>
      <w:r w:rsidR="00731394" w:rsidRPr="001A7534">
        <w:rPr>
          <w:rFonts w:ascii="Times New Roman" w:eastAsia="Arial" w:hAnsi="Times New Roman" w:cs="Times New Roman"/>
          <w:b/>
          <w:sz w:val="24"/>
          <w:szCs w:val="24"/>
        </w:rPr>
        <w:t>уязвимых</w:t>
      </w:r>
      <w:r w:rsidRPr="001A7534">
        <w:rPr>
          <w:rFonts w:ascii="Times New Roman" w:eastAsia="Arial" w:hAnsi="Times New Roman" w:cs="Times New Roman"/>
          <w:b/>
          <w:sz w:val="24"/>
          <w:szCs w:val="24"/>
        </w:rPr>
        <w:t xml:space="preserve"> и труднодоступных групп населения.</w:t>
      </w:r>
    </w:p>
    <w:p w14:paraId="78653CC3" w14:textId="03F08EE7" w:rsidR="00E14288" w:rsidRPr="00731394" w:rsidRDefault="00E14288" w:rsidP="00E14288">
      <w:pPr>
        <w:pStyle w:val="ListParagraph"/>
        <w:numPr>
          <w:ilvl w:val="0"/>
          <w:numId w:val="12"/>
        </w:numPr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7534">
        <w:rPr>
          <w:rFonts w:ascii="Times New Roman" w:eastAsia="Arial" w:hAnsi="Times New Roman" w:cs="Times New Roman"/>
          <w:b/>
          <w:i/>
          <w:sz w:val="24"/>
          <w:szCs w:val="24"/>
        </w:rPr>
        <w:t>Внутреннее финансирование расходных материалов и реагентов для диагностики туберкулеза: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 стоимость расходных материалов и реагентов для микроскопии, культурального и твердого метода DST покрывается полностью из </w:t>
      </w:r>
      <w:r w:rsidR="00731394" w:rsidRPr="001A7534">
        <w:rPr>
          <w:rFonts w:ascii="Times New Roman" w:eastAsia="Arial" w:hAnsi="Times New Roman" w:cs="Times New Roman"/>
          <w:sz w:val="24"/>
          <w:szCs w:val="24"/>
        </w:rPr>
        <w:t>внутренний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 источников, как для учреждений цивильного, так и для пенитенциарного секторов. Закупка реагентов для экспресс-исследований (Xpert, автоматизированной MGIT и LPA Hain) покрывается частично из средств гранта ГФ для цивильного и пенитенциарного секторов, и из государственных средств для учреждений МЗ. Учитывая высокую цену закупок из средств государственного бюджета за 1 картридж для Xpert исследования (71 доллар США в 2017 году и 54 доллара США в 2018 году) на 2019 закупка полной потребности учреждений МЗ будет осуществлена через </w:t>
      </w:r>
      <w:r w:rsidRPr="001A7534">
        <w:rPr>
          <w:rFonts w:ascii="Times New Roman" w:eastAsia="Arial" w:hAnsi="Times New Roman" w:cs="Times New Roman"/>
          <w:sz w:val="24"/>
          <w:szCs w:val="24"/>
          <w:lang w:val="en-US"/>
        </w:rPr>
        <w:t>GDF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 по преференциальным ценам. В тоже время потребность пенитенциарной системы в картриджах для Xpert исследования будет покрыта из средств гранта ГФ в 2019 году. В течении переходного периода страна предполагает разработать механизм для осуществления закупа потребностей в картриджах для Xpert </w:t>
      </w:r>
      <w:r w:rsidR="00731394" w:rsidRPr="001A7534">
        <w:rPr>
          <w:rFonts w:ascii="Times New Roman" w:eastAsia="Arial" w:hAnsi="Times New Roman" w:cs="Times New Roman"/>
          <w:sz w:val="24"/>
          <w:szCs w:val="24"/>
        </w:rPr>
        <w:t>исследований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 для пенитенциарной системы в совместном заказе с МЗ напрямую у </w:t>
      </w:r>
      <w:r w:rsidRPr="001A7534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международных организаций (GDF). </w:t>
      </w:r>
      <w:r w:rsidRPr="00731394">
        <w:rPr>
          <w:rFonts w:ascii="Times New Roman" w:eastAsia="Arial" w:hAnsi="Times New Roman" w:cs="Times New Roman"/>
          <w:sz w:val="24"/>
          <w:szCs w:val="24"/>
        </w:rPr>
        <w:t xml:space="preserve">Предполагается использование механизма закупа через GDF до создания конкурентной среды в стране путем делегирования производителем прав по продаже картриджей и техническому обслуживанию оборудования Xpert нескольким представителям в Казахстане.     </w:t>
      </w:r>
    </w:p>
    <w:p w14:paraId="5ED8EA5E" w14:textId="6C0B22A5" w:rsidR="00E14288" w:rsidRDefault="00E14288" w:rsidP="00E14288">
      <w:pPr>
        <w:pStyle w:val="ListParagraph"/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7534">
        <w:rPr>
          <w:rFonts w:ascii="Times New Roman" w:eastAsia="Arial" w:hAnsi="Times New Roman" w:cs="Times New Roman"/>
          <w:sz w:val="24"/>
          <w:szCs w:val="24"/>
        </w:rPr>
        <w:t xml:space="preserve">МВД обеспечит покрытие закупок для пенитенциарной системы реагентов для экспресс-исследований (автоматизироваой MGIT и LPA Hain) из своих средств: 100% потребностей </w:t>
      </w:r>
      <w:r w:rsidR="00A72214">
        <w:rPr>
          <w:rFonts w:ascii="Times New Roman" w:eastAsia="Arial" w:hAnsi="Times New Roman" w:cs="Times New Roman"/>
          <w:sz w:val="24"/>
          <w:szCs w:val="24"/>
        </w:rPr>
        <w:t xml:space="preserve">начиная </w:t>
      </w:r>
      <w:r w:rsidRPr="001A7534">
        <w:rPr>
          <w:rFonts w:ascii="Times New Roman" w:eastAsia="Arial" w:hAnsi="Times New Roman" w:cs="Times New Roman"/>
          <w:sz w:val="24"/>
          <w:szCs w:val="24"/>
        </w:rPr>
        <w:t>с 202</w:t>
      </w:r>
      <w:r w:rsidR="00A72214">
        <w:rPr>
          <w:rFonts w:ascii="Times New Roman" w:eastAsia="Arial" w:hAnsi="Times New Roman" w:cs="Times New Roman"/>
          <w:sz w:val="24"/>
          <w:szCs w:val="24"/>
        </w:rPr>
        <w:t>2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 года.</w:t>
      </w:r>
    </w:p>
    <w:p w14:paraId="011F234A" w14:textId="77777777" w:rsidR="00A72214" w:rsidRPr="001A7534" w:rsidRDefault="00A72214" w:rsidP="00E14288">
      <w:pPr>
        <w:pStyle w:val="ListParagraph"/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A3F6C8" w14:textId="223FB568" w:rsidR="00E14288" w:rsidRPr="00731394" w:rsidRDefault="00E14288" w:rsidP="00E14288">
      <w:pPr>
        <w:pStyle w:val="ListParagraph"/>
        <w:numPr>
          <w:ilvl w:val="0"/>
          <w:numId w:val="12"/>
        </w:numPr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7534">
        <w:rPr>
          <w:rFonts w:ascii="Times New Roman" w:eastAsia="Arial" w:hAnsi="Times New Roman" w:cs="Times New Roman"/>
          <w:b/>
          <w:i/>
          <w:sz w:val="24"/>
          <w:szCs w:val="24"/>
        </w:rPr>
        <w:t>Препараты для лечения М/ШЛУ ТБ</w:t>
      </w:r>
      <w:r w:rsidRPr="001A7534">
        <w:rPr>
          <w:rFonts w:ascii="Times New Roman" w:eastAsia="Arial" w:hAnsi="Times New Roman" w:cs="Times New Roman"/>
          <w:i/>
          <w:sz w:val="24"/>
          <w:szCs w:val="24"/>
        </w:rPr>
        <w:t xml:space="preserve">: 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закуп препаратов для лечения больных с М/ШЛУ ТБ осуществляется из государственных средств и из гранта ГФ для учреждений МЗ и МВД. Однако в связи с последними рекомендациями ВОЗ 2018 потребность в закупе новых (Бедаквилина и Деламанида) и перепрофилированных препаратов (Клофазимина) в течении последующих лет возрастет до 2,500-3,000 больных в год. Ожидаемая средняя стоимость полного курса лечения с использованием новых и перепрофилированных препаратов составит около 4,000 долларов США для больных с МЛУ-ТБ и 6,200 долларов для пациентов с пре- и ШЛУ-ТБ. На 2019 год, </w:t>
      </w:r>
      <w:r w:rsidR="00731394" w:rsidRPr="001A7534">
        <w:rPr>
          <w:rFonts w:ascii="Times New Roman" w:eastAsia="Arial" w:hAnsi="Times New Roman" w:cs="Times New Roman"/>
          <w:sz w:val="24"/>
          <w:szCs w:val="24"/>
        </w:rPr>
        <w:t>потребность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 в препаратах для лечения случаев М/ШЛУ-ТБ, включая новые и перепрофилированные препараты, будет для цивильного сектора покрываться из средств государственного бюджета (2,000 больных), в том числе посредством прямого закупа у </w:t>
      </w:r>
      <w:r w:rsidRPr="001A7534">
        <w:rPr>
          <w:rFonts w:ascii="Times New Roman" w:eastAsia="Arial" w:hAnsi="Times New Roman" w:cs="Times New Roman"/>
          <w:sz w:val="24"/>
          <w:szCs w:val="24"/>
          <w:lang w:val="en-US"/>
        </w:rPr>
        <w:t>GDF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 по преференциальным ценам и частично из гранта ГФ (417 больных), а для пенитенциарного сектора полностью из средств гранта ГФ (78 больных). В течении переходного периода страна предполагает утвердить механизм для осуществления закупа потребностей в новых и перепрофилированных препаратах для пенитенциарной системы в совместном заказе с МЗ напрямую у международных организаций (GDF). </w:t>
      </w:r>
      <w:r w:rsidRPr="00731394">
        <w:rPr>
          <w:rFonts w:ascii="Times New Roman" w:eastAsia="Arial" w:hAnsi="Times New Roman" w:cs="Times New Roman"/>
          <w:sz w:val="24"/>
          <w:szCs w:val="24"/>
        </w:rPr>
        <w:t xml:space="preserve">Закуп препаратов через GDF будет </w:t>
      </w:r>
      <w:r w:rsidR="00A72214">
        <w:rPr>
          <w:rFonts w:ascii="Times New Roman" w:eastAsia="Arial" w:hAnsi="Times New Roman" w:cs="Times New Roman"/>
          <w:sz w:val="24"/>
          <w:szCs w:val="24"/>
        </w:rPr>
        <w:t>осуществляться</w:t>
      </w:r>
      <w:r w:rsidRPr="00731394">
        <w:rPr>
          <w:rFonts w:ascii="Times New Roman" w:eastAsia="Arial" w:hAnsi="Times New Roman" w:cs="Times New Roman"/>
          <w:sz w:val="24"/>
          <w:szCs w:val="24"/>
        </w:rPr>
        <w:t xml:space="preserve"> до завершения процедуры регистрации в стране новых и перепрофилированных препаратов согласно национальному </w:t>
      </w:r>
      <w:r w:rsidR="00731394" w:rsidRPr="00731394">
        <w:rPr>
          <w:rFonts w:ascii="Times New Roman" w:eastAsia="Arial" w:hAnsi="Times New Roman" w:cs="Times New Roman"/>
          <w:sz w:val="24"/>
          <w:szCs w:val="24"/>
        </w:rPr>
        <w:t>законодательству</w:t>
      </w:r>
      <w:r w:rsidRPr="00731394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273F404F" w14:textId="028BFF7D" w:rsidR="00E14288" w:rsidRPr="001A7534" w:rsidRDefault="00E14288" w:rsidP="00E14288">
      <w:pPr>
        <w:pStyle w:val="ListParagraph"/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7534">
        <w:rPr>
          <w:rFonts w:ascii="Times New Roman" w:eastAsia="Arial" w:hAnsi="Times New Roman" w:cs="Times New Roman"/>
          <w:sz w:val="24"/>
          <w:szCs w:val="24"/>
        </w:rPr>
        <w:t xml:space="preserve">МВД постепенно обеспечить покрытие закупок для пенитенциарной системы </w:t>
      </w:r>
      <w:r w:rsidR="00731394" w:rsidRPr="001A7534">
        <w:rPr>
          <w:rFonts w:ascii="Times New Roman" w:eastAsia="Arial" w:hAnsi="Times New Roman" w:cs="Times New Roman"/>
          <w:sz w:val="24"/>
          <w:szCs w:val="24"/>
        </w:rPr>
        <w:t>препаратов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 для лечения М/ШЛУ-ТБ из своих средств: для МЛУ-ТБ больных 100% от потребностей начиная с 2021 года, а для пре- и ШЛУ-ТБ больных </w:t>
      </w:r>
      <w:r w:rsidR="00A72214">
        <w:rPr>
          <w:rFonts w:ascii="Times New Roman" w:eastAsia="Arial" w:hAnsi="Times New Roman" w:cs="Times New Roman"/>
          <w:sz w:val="24"/>
          <w:szCs w:val="24"/>
        </w:rPr>
        <w:t>с 50% потребностей с 2021 года и 1</w:t>
      </w:r>
      <w:r w:rsidRPr="001A7534">
        <w:rPr>
          <w:rFonts w:ascii="Times New Roman" w:eastAsia="Arial" w:hAnsi="Times New Roman" w:cs="Times New Roman"/>
          <w:sz w:val="24"/>
          <w:szCs w:val="24"/>
        </w:rPr>
        <w:t>00% потребностей с 202</w:t>
      </w:r>
      <w:r w:rsidR="00A72214">
        <w:rPr>
          <w:rFonts w:ascii="Times New Roman" w:eastAsia="Arial" w:hAnsi="Times New Roman" w:cs="Times New Roman"/>
          <w:sz w:val="24"/>
          <w:szCs w:val="24"/>
        </w:rPr>
        <w:t>2</w:t>
      </w:r>
      <w:r w:rsidRPr="001A7534">
        <w:rPr>
          <w:rFonts w:ascii="Times New Roman" w:eastAsia="Arial" w:hAnsi="Times New Roman" w:cs="Times New Roman"/>
          <w:sz w:val="24"/>
          <w:szCs w:val="24"/>
        </w:rPr>
        <w:t xml:space="preserve"> года.</w:t>
      </w:r>
    </w:p>
    <w:p w14:paraId="4092CE85" w14:textId="77777777" w:rsidR="00E14288" w:rsidRPr="001A7534" w:rsidRDefault="00E14288" w:rsidP="00E14288">
      <w:pPr>
        <w:pStyle w:val="ListParagraph"/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B09AA84" w14:textId="02222517" w:rsidR="00E14288" w:rsidRPr="005540B1" w:rsidRDefault="00E14288" w:rsidP="00E14288">
      <w:pPr>
        <w:pStyle w:val="ListParagraph"/>
        <w:numPr>
          <w:ilvl w:val="0"/>
          <w:numId w:val="12"/>
        </w:numPr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753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Поддержка вовлечения НПО и </w:t>
      </w:r>
      <w:r w:rsidR="00731394">
        <w:rPr>
          <w:rFonts w:ascii="Times New Roman" w:eastAsia="Arial" w:hAnsi="Times New Roman" w:cs="Times New Roman"/>
          <w:b/>
          <w:i/>
          <w:sz w:val="24"/>
          <w:szCs w:val="24"/>
        </w:rPr>
        <w:t>пациентских</w:t>
      </w:r>
      <w:r w:rsidRPr="001A753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организаций в проведении противотуберкулезных мероприятий среди высоко-</w:t>
      </w:r>
      <w:r w:rsidR="00731394" w:rsidRPr="001A7534">
        <w:rPr>
          <w:rFonts w:ascii="Times New Roman" w:eastAsia="Arial" w:hAnsi="Times New Roman" w:cs="Times New Roman"/>
          <w:b/>
          <w:i/>
          <w:sz w:val="24"/>
          <w:szCs w:val="24"/>
        </w:rPr>
        <w:t>уязвимых</w:t>
      </w:r>
      <w:r w:rsidRPr="001A7534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и труднодоступных групп населения: </w:t>
      </w:r>
      <w:r w:rsidRPr="001A7534">
        <w:rPr>
          <w:rFonts w:ascii="Times New Roman" w:eastAsia="Arial" w:hAnsi="Times New Roman" w:cs="Times New Roman"/>
          <w:sz w:val="24"/>
          <w:szCs w:val="24"/>
        </w:rPr>
        <w:t>в стране отмечается</w:t>
      </w:r>
      <w:r w:rsidRPr="005540B1">
        <w:rPr>
          <w:rFonts w:ascii="Times New Roman" w:eastAsia="Arial" w:hAnsi="Times New Roman" w:cs="Times New Roman"/>
          <w:sz w:val="24"/>
          <w:szCs w:val="24"/>
        </w:rPr>
        <w:t xml:space="preserve"> значительный прогресс в работе по привлечению неправительственных организаций к участию в мероприятиях по противодействию эпидемии ТБ. Основные </w:t>
      </w:r>
      <w:r w:rsidR="00731394" w:rsidRPr="005540B1">
        <w:rPr>
          <w:rFonts w:ascii="Times New Roman" w:eastAsia="Arial" w:hAnsi="Times New Roman" w:cs="Times New Roman"/>
          <w:sz w:val="24"/>
          <w:szCs w:val="24"/>
        </w:rPr>
        <w:t>мероприятия</w:t>
      </w:r>
      <w:r w:rsidRPr="005540B1">
        <w:rPr>
          <w:rFonts w:ascii="Times New Roman" w:eastAsia="Arial" w:hAnsi="Times New Roman" w:cs="Times New Roman"/>
          <w:sz w:val="24"/>
          <w:szCs w:val="24"/>
        </w:rPr>
        <w:t xml:space="preserve"> НПО направлены на оказание содействия медицинским учреждениям по раннему выявлению и обеспечению приверженности пациентов к лечению. Основные группы риска, среди которых проводится работа НПО по раннему выявлению и обеспечения приверженности к лечению представлены: лицами, употребляющие инъекционные наркотики (ЛУИН), бездомными, внешними и внутренними мигрантами, лицами, злоупотребляющими алкоголем, осужденными и </w:t>
      </w:r>
      <w:r w:rsidR="00A72214" w:rsidRPr="005540B1">
        <w:rPr>
          <w:rFonts w:ascii="Times New Roman" w:eastAsia="Arial" w:hAnsi="Times New Roman" w:cs="Times New Roman"/>
          <w:sz w:val="24"/>
          <w:szCs w:val="24"/>
        </w:rPr>
        <w:t>бывшими</w:t>
      </w:r>
      <w:r w:rsidRPr="005540B1">
        <w:rPr>
          <w:rFonts w:ascii="Times New Roman" w:eastAsia="Arial" w:hAnsi="Times New Roman" w:cs="Times New Roman"/>
          <w:sz w:val="24"/>
          <w:szCs w:val="24"/>
        </w:rPr>
        <w:t xml:space="preserve"> осужденными. В тоже время основное финансирование по вовлечению НПО в мероприятия по борьбе с ТБ осуществляется из донорских источников, </w:t>
      </w:r>
      <w:r w:rsidR="00A72214" w:rsidRPr="005540B1">
        <w:rPr>
          <w:rFonts w:ascii="Times New Roman" w:eastAsia="Arial" w:hAnsi="Times New Roman" w:cs="Times New Roman"/>
          <w:sz w:val="24"/>
          <w:szCs w:val="24"/>
        </w:rPr>
        <w:t>преимущественно</w:t>
      </w:r>
      <w:r w:rsidRPr="005540B1">
        <w:rPr>
          <w:rFonts w:ascii="Times New Roman" w:eastAsia="Arial" w:hAnsi="Times New Roman" w:cs="Times New Roman"/>
          <w:sz w:val="24"/>
          <w:szCs w:val="24"/>
        </w:rPr>
        <w:t xml:space="preserve"> ГФ.</w:t>
      </w:r>
      <w:r w:rsidR="00A7221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Arial" w:hAnsi="Times New Roman" w:cs="Times New Roman"/>
          <w:sz w:val="24"/>
          <w:szCs w:val="24"/>
        </w:rPr>
        <w:t>Так на данный момент,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Arial" w:hAnsi="Times New Roman" w:cs="Times New Roman"/>
          <w:sz w:val="24"/>
          <w:szCs w:val="24"/>
        </w:rPr>
        <w:t xml:space="preserve">выделены гранты 10 НПО, которые работают в 8 областях по оказанию услуг по раннему выявлению ТБ и повышению приверженности ТБ пациентов на амбулаторном этапе лечения. </w:t>
      </w:r>
    </w:p>
    <w:p w14:paraId="1CDF80DE" w14:textId="77777777" w:rsidR="00E14288" w:rsidRPr="005540B1" w:rsidRDefault="00E14288" w:rsidP="00E14288">
      <w:pPr>
        <w:pStyle w:val="ListParagraph"/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40B1">
        <w:rPr>
          <w:rFonts w:ascii="Times New Roman" w:eastAsia="Arial" w:hAnsi="Times New Roman" w:cs="Times New Roman"/>
          <w:sz w:val="24"/>
          <w:szCs w:val="24"/>
        </w:rPr>
        <w:lastRenderedPageBreak/>
        <w:t>В Казахстане законодательно определены возможности по социальному контрактированию НПО по оказанию услуг, в том числе по борьбе с ТБ. В тоже время количество организаций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5540B1">
        <w:rPr>
          <w:rFonts w:ascii="Times New Roman" w:eastAsia="Arial" w:hAnsi="Times New Roman" w:cs="Times New Roman"/>
          <w:sz w:val="24"/>
          <w:szCs w:val="24"/>
        </w:rPr>
        <w:t xml:space="preserve"> которые вовлечены в мероприятия по борьбе с ТБ из национальных источников ограничено, технические задания оставляют желать лучшего, а процедуры по выдаче соцзаказов занимают от 3 месяцев до полугода, так что собственно на реализацию соцзаказа остается мало времени, что не способствует его эффективному выполнению.</w:t>
      </w:r>
    </w:p>
    <w:p w14:paraId="455F823D" w14:textId="0DE23BB1" w:rsidR="00E14288" w:rsidRPr="005540B1" w:rsidRDefault="00E14288" w:rsidP="00E14288">
      <w:pPr>
        <w:pStyle w:val="ListParagraph"/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540B1">
        <w:rPr>
          <w:rFonts w:ascii="Times New Roman" w:eastAsia="Arial" w:hAnsi="Times New Roman" w:cs="Times New Roman"/>
          <w:sz w:val="24"/>
          <w:szCs w:val="24"/>
        </w:rPr>
        <w:t xml:space="preserve">В связи с этим в переходный период необходимо обеспечить улучшение нормативно-правовых актов по предоставлению социальных заказов НПО, провести расчёты стоимости услуг, оказываемых НПО в рамках проектной деятельности, и использовать эти расчеты для планирования бюджетов организаций, разработать единые стандарты обучения сотрудников НПО по всем вопросам, необходимым для их деятельности, </w:t>
      </w:r>
      <w:r w:rsidR="00A72214" w:rsidRPr="005540B1">
        <w:rPr>
          <w:rFonts w:ascii="Times New Roman" w:eastAsia="Arial" w:hAnsi="Times New Roman" w:cs="Times New Roman"/>
          <w:sz w:val="24"/>
          <w:szCs w:val="24"/>
        </w:rPr>
        <w:t>постепенно</w:t>
      </w:r>
      <w:r w:rsidRPr="005540B1">
        <w:rPr>
          <w:rFonts w:ascii="Times New Roman" w:eastAsia="Arial" w:hAnsi="Times New Roman" w:cs="Times New Roman"/>
          <w:sz w:val="24"/>
          <w:szCs w:val="24"/>
        </w:rPr>
        <w:t xml:space="preserve"> увеличить количество ПНО которые будут получать социальные заказы из национальных </w:t>
      </w:r>
      <w:r w:rsidR="00A72214" w:rsidRPr="005540B1">
        <w:rPr>
          <w:rFonts w:ascii="Times New Roman" w:eastAsia="Arial" w:hAnsi="Times New Roman" w:cs="Times New Roman"/>
          <w:sz w:val="24"/>
          <w:szCs w:val="24"/>
        </w:rPr>
        <w:t>источников</w:t>
      </w:r>
      <w:r w:rsidRPr="005540B1">
        <w:rPr>
          <w:rFonts w:ascii="Times New Roman" w:eastAsia="Arial" w:hAnsi="Times New Roman" w:cs="Times New Roman"/>
          <w:sz w:val="24"/>
          <w:szCs w:val="24"/>
        </w:rPr>
        <w:t xml:space="preserve"> в постепенным уменьшением донорского финансирования. </w:t>
      </w:r>
    </w:p>
    <w:p w14:paraId="7C1443D6" w14:textId="3ED2CC27" w:rsidR="00E14288" w:rsidRPr="001353BE" w:rsidRDefault="00E14288" w:rsidP="00E14288">
      <w:pPr>
        <w:pStyle w:val="ListParagraph"/>
        <w:spacing w:line="238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353BE">
        <w:rPr>
          <w:rFonts w:ascii="Times New Roman" w:eastAsia="Arial" w:hAnsi="Times New Roman" w:cs="Times New Roman"/>
          <w:sz w:val="24"/>
          <w:szCs w:val="24"/>
        </w:rPr>
        <w:t xml:space="preserve">Достижения Гранта Глобального Фонда по компоненту ВИЧ, направленные на улучшение механизмов предоставления государственных социальных заказов НПО будут </w:t>
      </w:r>
      <w:r w:rsidR="00A72214" w:rsidRPr="001353BE">
        <w:rPr>
          <w:rFonts w:ascii="Times New Roman" w:eastAsia="Arial" w:hAnsi="Times New Roman" w:cs="Times New Roman"/>
          <w:sz w:val="24"/>
          <w:szCs w:val="24"/>
        </w:rPr>
        <w:t>использованы</w:t>
      </w:r>
      <w:r w:rsidRPr="001353BE">
        <w:rPr>
          <w:rFonts w:ascii="Times New Roman" w:eastAsia="Arial" w:hAnsi="Times New Roman" w:cs="Times New Roman"/>
          <w:sz w:val="24"/>
          <w:szCs w:val="24"/>
        </w:rPr>
        <w:t xml:space="preserve"> при подготовки нормативно-правовых актов для реализации мероприятий НПО по борьбе с ТБ.</w:t>
      </w:r>
    </w:p>
    <w:p w14:paraId="307B553D" w14:textId="77777777" w:rsidR="00E14288" w:rsidRPr="001353BE" w:rsidRDefault="00E14288" w:rsidP="00E14288">
      <w:pPr>
        <w:pStyle w:val="ListParagraph"/>
        <w:spacing w:line="238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0681DF9A" w14:textId="77777777" w:rsidR="00E14288" w:rsidRPr="005540B1" w:rsidRDefault="00E14288" w:rsidP="00E14288">
      <w:pPr>
        <w:pStyle w:val="Heading3"/>
        <w:numPr>
          <w:ilvl w:val="0"/>
          <w:numId w:val="0"/>
        </w:numPr>
        <w:jc w:val="both"/>
        <w:rPr>
          <w:rFonts w:ascii="Times New Roman" w:eastAsia="Arial" w:hAnsi="Times New Roman" w:cs="Times New Roman"/>
          <w:i w:val="0"/>
          <w:sz w:val="28"/>
          <w:szCs w:val="28"/>
        </w:rPr>
      </w:pPr>
      <w:bookmarkStart w:id="22" w:name="_Toc532477385"/>
      <w:r w:rsidRPr="005540B1">
        <w:rPr>
          <w:rFonts w:ascii="Times New Roman" w:eastAsia="Arial" w:hAnsi="Times New Roman" w:cs="Times New Roman"/>
          <w:i w:val="0"/>
          <w:sz w:val="28"/>
          <w:szCs w:val="28"/>
        </w:rPr>
        <w:t>ЧЕЛОВЕЧЕСКИЕ РЕСУРСЫ</w:t>
      </w:r>
      <w:bookmarkEnd w:id="22"/>
    </w:p>
    <w:p w14:paraId="3F6BD3A3" w14:textId="77777777" w:rsidR="00E14288" w:rsidRPr="005540B1" w:rsidRDefault="00E14288" w:rsidP="00E142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0B1">
        <w:rPr>
          <w:rFonts w:ascii="Times New Roman" w:eastAsia="Times New Roman" w:hAnsi="Times New Roman" w:cs="Times New Roman"/>
          <w:sz w:val="24"/>
          <w:szCs w:val="24"/>
        </w:rPr>
        <w:t>Всеобщий доступ к высококачественным услугам по лечению ТБ не может быть достигнут без наличия «на нужном месте и в нужное время правильных людей, обладающих необходимыми навыками и мотивацией».</w:t>
      </w:r>
      <w:r w:rsidRPr="005540B1">
        <w:rPr>
          <w:rStyle w:val="FootnoteReference"/>
          <w:rFonts w:ascii="Times New Roman" w:eastAsia="Times New Roman" w:hAnsi="Times New Roman" w:cs="Times New Roman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Эффективность национальной программы борьбы с туберкулезом зависит от наличия мотивированного и компетентного персонала, который будет иметь регулярный доступ к эмпирически обоснованным ресурсам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для постоянного обновления своих навыков и знаний, необходимых для качественного предоставления услуг.</w:t>
      </w:r>
    </w:p>
    <w:p w14:paraId="26A2F300" w14:textId="03B0D9AE" w:rsidR="00E14288" w:rsidRPr="005540B1" w:rsidRDefault="00E14288" w:rsidP="00E142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0B1">
        <w:rPr>
          <w:rFonts w:ascii="Times New Roman" w:eastAsia="Times New Roman" w:hAnsi="Times New Roman" w:cs="Times New Roman"/>
          <w:b/>
          <w:i/>
          <w:sz w:val="24"/>
          <w:szCs w:val="24"/>
        </w:rPr>
        <w:t>Достаточные человеческие ресурсы: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Как было признано многими экспертами и сформулировано в Комплексном плане по борьбе с туберкулезом в Республике Казахстан на 2014 – 2020 годы, </w:t>
      </w:r>
      <w:r w:rsidRPr="005540B1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A72214" w:rsidRPr="005540B1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 политики в области людских ресурсов является приоритетом.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Стратегия должна </w:t>
      </w:r>
      <w:r w:rsidR="00A72214" w:rsidRPr="005540B1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какие виды работников здравоохранения необходимы, в каком количестве и в каких местах для достижения целей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контроля туберкулеза в стране. В Комплексном плане по борьбе с туберкулезом подчеркивается важность хорошо подготовленных и мотивированных работников здравоохранения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деле предоставления услуг по борьбе с туберкулезом. </w:t>
      </w:r>
    </w:p>
    <w:p w14:paraId="54511839" w14:textId="77777777" w:rsidR="00E14288" w:rsidRPr="005540B1" w:rsidRDefault="00E14288" w:rsidP="00E142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Более 23% специалистов по туберкулезу близки к пенсионному возрасту. Приток молодых специалистов в сферу ТБ минимален.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М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еханизмы оплаты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труда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в настоящее время не поощряют высокую производительность. Определение параметров производительности и использование дополнительных платежей для достижения заранее определенных целей могут улучшить мотивацию медицинского персонала. Однако для этого требуется внести изменения в законодательство, дабы обеспечить оплату на основе производительности.</w:t>
      </w:r>
    </w:p>
    <w:p w14:paraId="461B18A6" w14:textId="77777777" w:rsidR="00E14288" w:rsidRPr="005540B1" w:rsidRDefault="00E14288" w:rsidP="00E142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0B1">
        <w:rPr>
          <w:rFonts w:ascii="Times New Roman" w:eastAsia="Times New Roman" w:hAnsi="Times New Roman" w:cs="Times New Roman"/>
          <w:sz w:val="24"/>
          <w:szCs w:val="24"/>
        </w:rPr>
        <w:lastRenderedPageBreak/>
        <w:t>Низкая заинтересованность новых выпускников в приобщении к данной дисциплине не может быть объяснена только финансовыми факторами. Возможно, область ТБ непривлекательна из-за высокого уровня стигмы, рисков для здоровья и слишком узкого диапазона практики. Без соответственного реагирования, эти причины могут привести к критическому дефициту персонала.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Потенциальными решениями могут быть: профессиональная интеграция фтизиатрии в более широкие медицинские дисциплины (например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 такие, как пульмонология, инфекционные заболевания, семейная медицина) и усиление программ наблюдения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за медицинскими работниками для своевременного выявления и лечения латентного туберкулеза и предотвращения нозокомиальной передачи ТБ в медицинских учреждениях.</w:t>
      </w:r>
    </w:p>
    <w:p w14:paraId="188D7F42" w14:textId="77777777" w:rsidR="00E14288" w:rsidRPr="005540B1" w:rsidRDefault="00E14288" w:rsidP="00E142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7D07C" w14:textId="166B83B7" w:rsidR="00E14288" w:rsidRPr="005540B1" w:rsidRDefault="00E14288" w:rsidP="00E14288">
      <w:pPr>
        <w:spacing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0B1">
        <w:rPr>
          <w:rFonts w:ascii="Times New Roman" w:eastAsia="Times New Roman" w:hAnsi="Times New Roman" w:cs="Times New Roman"/>
          <w:b/>
          <w:i/>
          <w:sz w:val="24"/>
          <w:szCs w:val="24"/>
        </w:rPr>
        <w:t>Институционализация поддерживаемых донорами тренингов: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непрерывное медицинское образование фтизиатров и семейных врачей в обязательном порядке проводится каждые 3 года на кафедре фтизиатрии медицинских академий и университетов. Специалисты со средним специальным медицинским образованием, работающие в сфере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в области борьбы с туберкулезом (медсестры), должны каждые пять лет совершенствовать свои профессиональные навыки в медицинских школах и учреждениях первичного медицинского обслуживания. Помимо медицинских университетов, непрерывное медицинское образование предоставляется в виде краткосрочных учебных курсов, семинаров, обучения на рабочем месте и т.д. под эгидой разных донорских организаций. Краткосрочные учебные программы были интегрированы в обязательную структуру непрерывного медицинского образования, которая в настоящее время поддерживается правительством, однако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в нее все еще предстоит включить некоторые новые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тренинги (по М/ШЛУ-ТБ, фармаконадзору, </w:t>
      </w:r>
      <w:r w:rsidR="00A72214" w:rsidRPr="005540B1">
        <w:rPr>
          <w:rFonts w:ascii="Times New Roman" w:eastAsia="Times New Roman" w:hAnsi="Times New Roman" w:cs="Times New Roman"/>
          <w:sz w:val="24"/>
          <w:szCs w:val="24"/>
        </w:rPr>
        <w:t>вовлечению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 НПО).</w:t>
      </w:r>
    </w:p>
    <w:p w14:paraId="4EE5DFCA" w14:textId="3BEE0888" w:rsidR="00E14288" w:rsidRPr="005540B1" w:rsidRDefault="00E14288" w:rsidP="00E14288">
      <w:pPr>
        <w:spacing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40B1">
        <w:rPr>
          <w:rFonts w:ascii="Times New Roman" w:eastAsia="Times New Roman" w:hAnsi="Times New Roman" w:cs="Times New Roman"/>
          <w:b/>
          <w:i/>
          <w:sz w:val="24"/>
          <w:szCs w:val="24"/>
        </w:rPr>
        <w:t>Политика для производства персонала НПО: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 современное представление об</w:t>
      </w:r>
      <w:r w:rsidR="00A722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>ориентированной на людей модели лечения туберкулеза, в соответствии с конечной стратегией туберкулеза, предусматривает активизацию ресурсов НПО и сообществ для профилактики, выявления, лечения и наблюдения за ТБ. Постепенный переход от преимущественно стационарной модели к амбулаторной требует пересмотра потребностей в людских ресурсах как в случае больниц, так и амбулаторных клиник. Опыт вовлечения НПО в мероприятия по борьбе с туберкулезом реализуемые в нынешнем гранте ГФ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служит хорошим примером для потенциального вовлечения работников НПО в раннюю диагностику заболевания среди уязвимых групп, поддержку приверженности к лечению ТБ, также проведение мероприятий по АКСМ и предупреждению стигмы и дискриминации. Для дальнейшего расширения </w:t>
      </w:r>
      <w:r w:rsidR="00A72214" w:rsidRPr="005540B1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 на общинном уровне при помощи членов общин,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Pr="005540B1">
        <w:rPr>
          <w:rFonts w:ascii="Times New Roman" w:eastAsia="Times New Roman" w:hAnsi="Times New Roman" w:cs="Times New Roman"/>
          <w:sz w:val="24"/>
          <w:szCs w:val="24"/>
        </w:rPr>
        <w:t xml:space="preserve">определить конкретную роль НПО и разработать политику, регулирующую производство и наращивание потенциала персонала организаций. </w:t>
      </w:r>
    </w:p>
    <w:p w14:paraId="63C731CE" w14:textId="77777777" w:rsidR="00E14288" w:rsidRPr="005540B1" w:rsidRDefault="00E14288" w:rsidP="00E14288">
      <w:pPr>
        <w:spacing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E9B7A" w14:textId="77777777" w:rsidR="00E14288" w:rsidRPr="005540B1" w:rsidRDefault="00E14288" w:rsidP="00E14288">
      <w:pPr>
        <w:spacing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0B1">
        <w:rPr>
          <w:rFonts w:ascii="Times New Roman" w:eastAsia="Times New Roman" w:hAnsi="Times New Roman" w:cs="Times New Roman"/>
          <w:sz w:val="28"/>
          <w:szCs w:val="28"/>
        </w:rPr>
        <w:t>ИНФОРМАЦИОННЫЕ СИСТЕМЫ УПРАВЛЕНИЯ ЗДРАВООХРАНЕНИЕМ В ОБЛАСТИ ТБ</w:t>
      </w:r>
    </w:p>
    <w:p w14:paraId="702F89E2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 xml:space="preserve">С 2013 года НТП использует индивидуализированную электронную информационную систему по ТБ в режиме реального времени. Подробный анализ эпидемиологических данных по туберкулезу, а также национальной системы регистрации, мониторинга и оценки по ТБ отражены в соответствующей оценке, проведенной Европейским </w:t>
      </w:r>
      <w:r w:rsidRPr="005540B1">
        <w:rPr>
          <w:rFonts w:ascii="Times New Roman" w:hAnsi="Times New Roman" w:cs="Times New Roman"/>
          <w:sz w:val="24"/>
          <w:szCs w:val="24"/>
        </w:rPr>
        <w:lastRenderedPageBreak/>
        <w:t>Региональным бюро ВОЗ в 2017 году</w:t>
      </w:r>
      <w:r w:rsidRPr="005540B1">
        <w:rPr>
          <w:rStyle w:val="FootnoteReference"/>
          <w:rFonts w:ascii="Times New Roman" w:hAnsi="Times New Roman" w:cs="Times New Roman"/>
        </w:rPr>
        <w:footnoteReference w:id="10"/>
      </w:r>
      <w:r w:rsidRPr="005540B1">
        <w:rPr>
          <w:rFonts w:ascii="Times New Roman" w:hAnsi="Times New Roman" w:cs="Times New Roman"/>
          <w:sz w:val="24"/>
          <w:szCs w:val="24"/>
        </w:rPr>
        <w:t xml:space="preserve">. В отчете отмечены сильные стороны системы, такие как наличие хорошо функционирующей электронной базы данных в режиме реального времени и эффективных механизмов обеспечения качества данных на всех уровнях; универсальный охват и высокое качество системы учета естественного движения населения, надежная связь этой системы с информационной системой Национальной ТБ программы, и другие. </w:t>
      </w:r>
    </w:p>
    <w:p w14:paraId="6AC998F6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В то же время необходимо отметить, что данная оценка выявила ряд пробелов, которые необходимо восполнить. Наиболее значимые недостатки включают изъяны в содержании системы учета и отчетности по ТБ и обработки данных на национальном уровне. Так, рекомендуемые ВОЗ (2013 г.) определения и классификации для регистрации случаев ТБ и исходов лечения внедрены не полностью, что затрудняет как предоставление отчетов ВОЗ, так и надлежащий</w:t>
      </w:r>
      <w:r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Pr="005540B1">
        <w:rPr>
          <w:rFonts w:ascii="Times New Roman" w:hAnsi="Times New Roman" w:cs="Times New Roman"/>
          <w:sz w:val="24"/>
          <w:szCs w:val="24"/>
        </w:rPr>
        <w:t xml:space="preserve"> и оценку эпидемиологической ситуации для принятия решений в рамках Национальной программы. Не все случаи активного ТБ, которые были диагностированы, включаются в итоговый ежегодный страновой отчет. Как результат, существуют разночтения и несоответствия данных, включая данные, предоставляемые страной в ВОЗ.</w:t>
      </w:r>
    </w:p>
    <w:p w14:paraId="52FE0AEE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Затруднены учет и анализ показателей лабораторной диагностики и подтверждения случаев, так как не полностью включены данные для всех используемых методов исследования (в том числе различные методов ТЛЧ), и их обмен между областными и центральным уровнями. Кроме того, отмечается неполное соответствие и ограниченная достоверность данных эпидемиологического надзора в отношении детского туберкулеза.</w:t>
      </w:r>
    </w:p>
    <w:p w14:paraId="76F62626" w14:textId="04470CB1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 xml:space="preserve">В связи с вышеизложенным на данный момент из средств нынешнего гранта ГФ осуществляется обновление электронной информационной системы по ТБ, в том числе и с целью исправление выявленных пробелов. В тоже время в переходный период должны быть предусмотрены ресурсы как внешние, так и </w:t>
      </w:r>
      <w:r w:rsidR="00A72214" w:rsidRPr="005540B1">
        <w:rPr>
          <w:rFonts w:ascii="Times New Roman" w:hAnsi="Times New Roman" w:cs="Times New Roman"/>
          <w:sz w:val="24"/>
          <w:szCs w:val="24"/>
        </w:rPr>
        <w:t>внутренние</w:t>
      </w:r>
      <w:r w:rsidRPr="005540B1">
        <w:rPr>
          <w:rFonts w:ascii="Times New Roman" w:hAnsi="Times New Roman" w:cs="Times New Roman"/>
          <w:sz w:val="24"/>
          <w:szCs w:val="24"/>
        </w:rPr>
        <w:t xml:space="preserve"> с целью обновление модулей базы данных в свете последних рекомендаций ВОЗ по диагностике, лечению, фармаконадзору, мониторингу и оценке, а также для обеспечения поддержания и обслуживания системы на различных уровня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540B1">
        <w:rPr>
          <w:rFonts w:ascii="Times New Roman" w:hAnsi="Times New Roman" w:cs="Times New Roman"/>
          <w:sz w:val="24"/>
          <w:szCs w:val="24"/>
        </w:rPr>
        <w:t xml:space="preserve"> введения данных.</w:t>
      </w:r>
    </w:p>
    <w:p w14:paraId="5C2269E7" w14:textId="77777777" w:rsidR="00E14288" w:rsidRPr="005540B1" w:rsidRDefault="00E14288" w:rsidP="00E14288">
      <w:pPr>
        <w:pStyle w:val="Heading1"/>
        <w:numPr>
          <w:ilvl w:val="0"/>
          <w:numId w:val="0"/>
        </w:numPr>
        <w:ind w:left="432" w:hanging="432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23" w:name="_Toc532477386"/>
      <w:r w:rsidRPr="005540B1">
        <w:rPr>
          <w:rFonts w:ascii="Times New Roman" w:hAnsi="Times New Roman" w:cs="Times New Roman"/>
          <w:sz w:val="28"/>
          <w:szCs w:val="28"/>
        </w:rPr>
        <w:t>ПЛАНИРОВАНИЕ ПЕРЕХОДА</w:t>
      </w:r>
      <w:bookmarkStart w:id="24" w:name="_Toc487460961"/>
      <w:bookmarkEnd w:id="23"/>
      <w:bookmarkEnd w:id="24"/>
    </w:p>
    <w:p w14:paraId="2F45A48D" w14:textId="77777777" w:rsidR="00E14288" w:rsidRPr="005540B1" w:rsidRDefault="00E14288" w:rsidP="00E14288">
      <w:pPr>
        <w:jc w:val="both"/>
      </w:pPr>
    </w:p>
    <w:p w14:paraId="1DC682B3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Оценка готовности Казахстана к переходу указывает на то, что уровень риска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>перехода от донорского на внутреннее финансирование национальных мероприятий по борьбе с туберкулезом является минимальным.</w:t>
      </w:r>
    </w:p>
    <w:p w14:paraId="6390DFD2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>Сильная нормативно-правовая база и одобренные правительством стратегии в области здравоохранения и борьбы с туберкулезом, существенная политическая воля, высокий уровень внедрения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>услуг по ТБ в первичную медико-санитарную помощь и хорошо отработанные институциональные рамки для управления и координации программ борьбы с туберкулезом с четкой отчетностью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>– все это вместе созда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540B1">
        <w:rPr>
          <w:rFonts w:ascii="Times New Roman" w:hAnsi="Times New Roman" w:cs="Times New Roman"/>
          <w:sz w:val="24"/>
          <w:szCs w:val="24"/>
        </w:rPr>
        <w:t xml:space="preserve">т благоприятные условия для устойчивого перехода. </w:t>
      </w:r>
    </w:p>
    <w:p w14:paraId="47E7707A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sz w:val="24"/>
          <w:szCs w:val="24"/>
        </w:rPr>
        <w:t xml:space="preserve">В переходный период, особого внимания требуют следующие области: (a) необходимость обеспечения непрерывного доступа к качественным лабораторным </w:t>
      </w:r>
      <w:r w:rsidRPr="005540B1">
        <w:rPr>
          <w:rFonts w:ascii="Times New Roman" w:hAnsi="Times New Roman" w:cs="Times New Roman"/>
          <w:sz w:val="24"/>
          <w:szCs w:val="24"/>
        </w:rPr>
        <w:lastRenderedPageBreak/>
        <w:t>исследованиям и лекарствам для диагностики и лечения туберкулеза М/ШЛУ до полного перехода под контроль правительства, особенно в пенитенциарном секторе;    (б) необходимость укрепления механизмов и расширение вовлечения НПО в мероприятия по борьбе с ТБ в стране; (в) необходимость постоянного наращивания потенциала медицинских работников и НПО для проведения эффективных мероприятий по борьбе с ТБ.</w:t>
      </w:r>
    </w:p>
    <w:p w14:paraId="14D2D576" w14:textId="77777777" w:rsidR="00E14288" w:rsidRDefault="00E14288" w:rsidP="00E142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53BADF" w14:textId="77777777" w:rsidR="00E14288" w:rsidRPr="005540B1" w:rsidRDefault="00E14288" w:rsidP="00E14288">
      <w:pPr>
        <w:jc w:val="both"/>
        <w:rPr>
          <w:rFonts w:ascii="Times New Roman" w:hAnsi="Times New Roman" w:cs="Times New Roman"/>
          <w:sz w:val="24"/>
          <w:szCs w:val="24"/>
        </w:rPr>
      </w:pPr>
      <w:r w:rsidRPr="006055BC">
        <w:rPr>
          <w:rFonts w:ascii="Times New Roman" w:hAnsi="Times New Roman" w:cs="Times New Roman"/>
          <w:b/>
          <w:sz w:val="28"/>
          <w:szCs w:val="28"/>
        </w:rPr>
        <w:t>ПЛАН УСТОЙЧИВОСТИ И ГОТОВНОСТИ К ПЕРЕХОДУ</w:t>
      </w:r>
      <w:r w:rsidRPr="005540B1">
        <w:rPr>
          <w:rFonts w:ascii="Times New Roman" w:hAnsi="Times New Roman" w:cs="Times New Roman"/>
          <w:sz w:val="28"/>
          <w:szCs w:val="28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>от международного к внутреннему финансированию мероприятий по борьбе с туберкулезом</w:t>
      </w:r>
    </w:p>
    <w:p w14:paraId="62350741" w14:textId="77777777" w:rsidR="00E14288" w:rsidRPr="00EE6207" w:rsidRDefault="00E14288" w:rsidP="00E142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B1">
        <w:rPr>
          <w:rFonts w:ascii="Times New Roman" w:hAnsi="Times New Roman" w:cs="Times New Roman"/>
          <w:b/>
          <w:sz w:val="24"/>
          <w:szCs w:val="24"/>
        </w:rPr>
        <w:t>Цель</w:t>
      </w:r>
      <w:r w:rsidRPr="00EE6207">
        <w:rPr>
          <w:rFonts w:ascii="Times New Roman" w:hAnsi="Times New Roman" w:cs="Times New Roman"/>
          <w:b/>
          <w:sz w:val="24"/>
          <w:szCs w:val="24"/>
        </w:rPr>
        <w:t>: Обеспечение устойчивого перехода на полное финансирование из внутренних источников эффективной реализации противотуберкулезных мероприятий в Республике Казахстан на 2019-2022 года.</w:t>
      </w:r>
    </w:p>
    <w:p w14:paraId="27642766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sz w:val="24"/>
          <w:szCs w:val="24"/>
        </w:rPr>
        <w:t xml:space="preserve">Задача 1: </w:t>
      </w:r>
      <w:r w:rsidRPr="005540B1">
        <w:rPr>
          <w:rFonts w:ascii="Times New Roman" w:hAnsi="Times New Roman" w:cs="Times New Roman"/>
          <w:sz w:val="24"/>
          <w:szCs w:val="24"/>
        </w:rPr>
        <w:t>Обеспечение устойчивости всеобщего доступа к профилактическим, диагностическим и лечебным услугам хорошего качества больным туберкулезом и применение стратегических мер, ориентированных на пациента</w:t>
      </w:r>
    </w:p>
    <w:p w14:paraId="48484547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i/>
          <w:sz w:val="24"/>
          <w:szCs w:val="24"/>
        </w:rPr>
        <w:t>Мероприятие 1.1</w:t>
      </w:r>
      <w:r w:rsidRPr="005540B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>Разработка и утверждение механизма по обеспечению закупок тестов для быстрой диагностики туберкулеза для пенитенциарной системы, используя международные механизмы по преференциальным ценам</w:t>
      </w:r>
    </w:p>
    <w:p w14:paraId="17968ABD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i/>
          <w:sz w:val="24"/>
          <w:szCs w:val="24"/>
        </w:rPr>
        <w:t>Мероприятие 1.2:</w:t>
      </w:r>
      <w:r w:rsidRPr="005540B1">
        <w:rPr>
          <w:rFonts w:ascii="Times New Roman" w:hAnsi="Times New Roman" w:cs="Times New Roman"/>
          <w:sz w:val="24"/>
          <w:szCs w:val="24"/>
        </w:rPr>
        <w:t xml:space="preserve"> Обеспечение бесперебойных поставок тестов и принадлежностей для быстрой диагностики туберкулеза для пенитенциарной системы</w:t>
      </w:r>
    </w:p>
    <w:p w14:paraId="05553541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i/>
          <w:sz w:val="24"/>
          <w:szCs w:val="24"/>
        </w:rPr>
        <w:t>Мероприятие 1.3:</w:t>
      </w:r>
      <w:r w:rsidRPr="005540B1">
        <w:rPr>
          <w:rFonts w:ascii="Times New Roman" w:hAnsi="Times New Roman" w:cs="Times New Roman"/>
          <w:sz w:val="24"/>
          <w:szCs w:val="24"/>
        </w:rPr>
        <w:t xml:space="preserve"> Обеспечение технического обслуживания лабораторного оборудования и вентиляционных систем в бактериологических референс лабораториях, в отделениях и зонах повышенного биологического риска</w:t>
      </w:r>
    </w:p>
    <w:p w14:paraId="30E8A1C2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i/>
          <w:sz w:val="24"/>
          <w:szCs w:val="24"/>
        </w:rPr>
        <w:t>Мероприятие 1.4:</w:t>
      </w:r>
      <w:r w:rsidRPr="005540B1">
        <w:rPr>
          <w:rFonts w:ascii="Times New Roman" w:hAnsi="Times New Roman" w:cs="Times New Roman"/>
          <w:sz w:val="24"/>
          <w:szCs w:val="24"/>
        </w:rPr>
        <w:t xml:space="preserve"> Обучение и сертификация местных инженеров с целью проведения технического обслуживания и ремонта лабораторного оборудования в бактериологических лабораториях: шкафов биобезопасности и систем вентиляции</w:t>
      </w:r>
    </w:p>
    <w:p w14:paraId="67924A38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i/>
          <w:sz w:val="24"/>
          <w:szCs w:val="24"/>
        </w:rPr>
        <w:t>Мероприятие 1.5</w:t>
      </w:r>
      <w:r w:rsidRPr="005540B1">
        <w:rPr>
          <w:rFonts w:ascii="Times New Roman" w:hAnsi="Times New Roman" w:cs="Times New Roman"/>
          <w:sz w:val="24"/>
          <w:szCs w:val="24"/>
        </w:rPr>
        <w:t>: Разработка и утверждение механизма по обеспечению закупок новых и перепрофилированных противотуберкулезных препаратов, для пенитенциарной системы, используя международные механизмы по преференциальным ценам</w:t>
      </w:r>
    </w:p>
    <w:p w14:paraId="72362FC4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i/>
          <w:sz w:val="24"/>
          <w:szCs w:val="24"/>
        </w:rPr>
        <w:t>Мероприятие 1.6:</w:t>
      </w:r>
      <w:r w:rsidRPr="005540B1">
        <w:rPr>
          <w:rFonts w:ascii="Times New Roman" w:hAnsi="Times New Roman" w:cs="Times New Roman"/>
          <w:sz w:val="24"/>
          <w:szCs w:val="24"/>
        </w:rPr>
        <w:t xml:space="preserve"> Обеспечение регистрации новых препаратов, рекомендованных ВОЗ для лечение пациентов с М/ШЛУ-ТБ</w:t>
      </w:r>
    </w:p>
    <w:p w14:paraId="23D361D9" w14:textId="34BEA2F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i/>
          <w:sz w:val="24"/>
          <w:szCs w:val="24"/>
        </w:rPr>
        <w:t>Мероприятие 1.7:</w:t>
      </w:r>
      <w:r w:rsidRPr="005540B1">
        <w:rPr>
          <w:rFonts w:ascii="Times New Roman" w:hAnsi="Times New Roman" w:cs="Times New Roman"/>
          <w:sz w:val="24"/>
          <w:szCs w:val="24"/>
        </w:rPr>
        <w:t xml:space="preserve"> Обеспечение бесперебойных поставок противотуберкулезных препаратов</w:t>
      </w:r>
      <w:r w:rsidR="00A72214">
        <w:rPr>
          <w:rFonts w:ascii="Times New Roman" w:hAnsi="Times New Roman" w:cs="Times New Roman"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 xml:space="preserve">для лечение пациентов с М/ШЛУ-ТБ, для пенитенциарной системы </w:t>
      </w:r>
    </w:p>
    <w:p w14:paraId="7F5D8E2E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i/>
          <w:sz w:val="24"/>
          <w:szCs w:val="24"/>
        </w:rPr>
        <w:t>Мероприятие 1.8: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>Обучение специалистов ПТО и ПМСП по менеджменту ТБ и ЛУ-ТБ, включая персонал пенитенциарной системы</w:t>
      </w:r>
    </w:p>
    <w:p w14:paraId="43247E6F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0B1">
        <w:rPr>
          <w:rFonts w:ascii="Times New Roman" w:hAnsi="Times New Roman" w:cs="Times New Roman"/>
          <w:b/>
          <w:i/>
          <w:sz w:val="24"/>
          <w:szCs w:val="24"/>
        </w:rPr>
        <w:t>Мероприятие 1.9: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540B1">
        <w:rPr>
          <w:rFonts w:ascii="Times New Roman" w:hAnsi="Times New Roman" w:cs="Times New Roman"/>
          <w:sz w:val="24"/>
          <w:szCs w:val="24"/>
        </w:rPr>
        <w:t xml:space="preserve">Расширение внедрения мероприятий по активному мониторингу безопасности использования противотуберкулезных препаратов, в том числе: координация мероприятий, обновление лекарственного модуля НРБТ, обучение </w:t>
      </w:r>
      <w:r w:rsidRPr="005540B1">
        <w:rPr>
          <w:rFonts w:ascii="Times New Roman" w:hAnsi="Times New Roman" w:cs="Times New Roman"/>
          <w:sz w:val="24"/>
          <w:szCs w:val="24"/>
        </w:rPr>
        <w:lastRenderedPageBreak/>
        <w:t>персонала по вопросам фармаконадзора и аМБП и по использованию лекарственного модуля</w:t>
      </w:r>
    </w:p>
    <w:p w14:paraId="6A134EC0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sz w:val="24"/>
          <w:szCs w:val="24"/>
        </w:rPr>
        <w:t>Задача 2</w:t>
      </w:r>
      <w:r w:rsidRPr="001353BE">
        <w:rPr>
          <w:rFonts w:ascii="Times New Roman" w:hAnsi="Times New Roman" w:cs="Times New Roman"/>
          <w:sz w:val="24"/>
          <w:szCs w:val="24"/>
        </w:rPr>
        <w:t>: Повышение потенциала людских ресурсов для обеспечения эффективного противотуберкулезного контроля</w:t>
      </w:r>
    </w:p>
    <w:p w14:paraId="01C10135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2.1</w:t>
      </w:r>
      <w:r w:rsidRPr="001353BE">
        <w:rPr>
          <w:rFonts w:ascii="Times New Roman" w:hAnsi="Times New Roman" w:cs="Times New Roman"/>
          <w:sz w:val="24"/>
          <w:szCs w:val="24"/>
        </w:rPr>
        <w:t>: Техническое содействие в пересмотре механизмов оплаты провайдеров оказывающих противотуберкулезную помощь населению для повышения эффективности системы</w:t>
      </w:r>
    </w:p>
    <w:p w14:paraId="6457FF7B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2.2</w:t>
      </w:r>
      <w:r w:rsidRPr="001353BE">
        <w:rPr>
          <w:rFonts w:ascii="Times New Roman" w:hAnsi="Times New Roman" w:cs="Times New Roman"/>
          <w:sz w:val="24"/>
          <w:szCs w:val="24"/>
        </w:rPr>
        <w:t>: Техническое содействие в разработке и внедрении механизмов стимулирования для работников противотуберкулезной службы (врачи, медсестры, сотрудники лабораторий)</w:t>
      </w:r>
    </w:p>
    <w:p w14:paraId="1EF0F87D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2.3</w:t>
      </w:r>
      <w:r w:rsidRPr="001353BE">
        <w:rPr>
          <w:rFonts w:ascii="Times New Roman" w:hAnsi="Times New Roman" w:cs="Times New Roman"/>
          <w:sz w:val="24"/>
          <w:szCs w:val="24"/>
        </w:rPr>
        <w:t>: Обучение руководителей региональных противотуберкулезных диспансеров и сети ПМСП, ориентированное на управленческие и практические аспекты, для поддержки внедрения новых платежных механизмов в учреждениях по борьбе с туберкулезом</w:t>
      </w:r>
    </w:p>
    <w:p w14:paraId="1D79A5FC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2.4</w:t>
      </w:r>
      <w:r w:rsidRPr="001353BE">
        <w:rPr>
          <w:rFonts w:ascii="Times New Roman" w:hAnsi="Times New Roman" w:cs="Times New Roman"/>
          <w:sz w:val="24"/>
          <w:szCs w:val="24"/>
        </w:rPr>
        <w:t>: Обучение руководителей региональных противотуберкулезных диспансеров и сети ПМСП в реализации концепции амбулаторной модели ухода за больными туберкулеза и по оптимизации коечного фонда</w:t>
      </w:r>
    </w:p>
    <w:p w14:paraId="5EE16E77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2.5</w:t>
      </w:r>
      <w:r w:rsidRPr="001353BE">
        <w:rPr>
          <w:rFonts w:ascii="Times New Roman" w:hAnsi="Times New Roman" w:cs="Times New Roman"/>
          <w:sz w:val="24"/>
          <w:szCs w:val="24"/>
        </w:rPr>
        <w:t>: Создание при ННЦФ Центра клинического наставничества и повышения квалификации медицинского персонала с использованием дистанционных технологий по оказанию качественных услуг по уходу и лечению больных с туберкулезом и лекарственно-устойчивым туберкулезом</w:t>
      </w:r>
    </w:p>
    <w:p w14:paraId="0957B4BC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2.6</w:t>
      </w:r>
      <w:r w:rsidRPr="001353BE">
        <w:rPr>
          <w:rFonts w:ascii="Times New Roman" w:hAnsi="Times New Roman" w:cs="Times New Roman"/>
          <w:sz w:val="24"/>
          <w:szCs w:val="24"/>
        </w:rPr>
        <w:t xml:space="preserve">: Регулярный пересмотр и обновление учебных программ на всех уровнях медицинского образования для врачей и медсестер, с целью обеспечения соответствия с последними рекомендациями ВОЗ </w:t>
      </w:r>
    </w:p>
    <w:p w14:paraId="04BD3A30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2.7</w:t>
      </w:r>
      <w:r w:rsidRPr="001353BE">
        <w:rPr>
          <w:rFonts w:ascii="Times New Roman" w:hAnsi="Times New Roman" w:cs="Times New Roman"/>
          <w:sz w:val="24"/>
          <w:szCs w:val="24"/>
        </w:rPr>
        <w:t xml:space="preserve">: Периодическое обновление национального плана людских ресурсов для поддержки производства, найма, назначения и сохранения людских ресурсов для борьбы с туберкулезом </w:t>
      </w:r>
    </w:p>
    <w:p w14:paraId="6A6DE527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2.8</w:t>
      </w:r>
      <w:r w:rsidRPr="001353BE">
        <w:rPr>
          <w:rFonts w:ascii="Times New Roman" w:hAnsi="Times New Roman" w:cs="Times New Roman"/>
          <w:sz w:val="24"/>
          <w:szCs w:val="24"/>
        </w:rPr>
        <w:t>: Внедрение механизмов стимулирования работников противотуберкулезной службы для обеспечения удержания персонала и привлечения молодых врачей в программы по борьбе с туберкулезом</w:t>
      </w:r>
    </w:p>
    <w:p w14:paraId="14FCFF55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sz w:val="24"/>
          <w:szCs w:val="24"/>
        </w:rPr>
        <w:t xml:space="preserve">Задача 3: </w:t>
      </w:r>
      <w:r w:rsidRPr="001353BE">
        <w:rPr>
          <w:rFonts w:ascii="Times New Roman" w:hAnsi="Times New Roman" w:cs="Times New Roman"/>
          <w:sz w:val="24"/>
          <w:szCs w:val="24"/>
        </w:rPr>
        <w:t>Укрепление потенциала мониторинга и оценки НПТ</w:t>
      </w:r>
    </w:p>
    <w:p w14:paraId="48DC2483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3.1</w:t>
      </w:r>
      <w:r w:rsidRPr="001353BE">
        <w:rPr>
          <w:rFonts w:ascii="Times New Roman" w:hAnsi="Times New Roman" w:cs="Times New Roman"/>
          <w:sz w:val="24"/>
          <w:szCs w:val="24"/>
        </w:rPr>
        <w:t xml:space="preserve">: Поддержка мероприятий по усовершенствование НРБТ в соответствии с последними рекомендациями ВОЗ </w:t>
      </w:r>
    </w:p>
    <w:p w14:paraId="40719E1D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3.2</w:t>
      </w:r>
      <w:r w:rsidRPr="001353BE">
        <w:rPr>
          <w:rFonts w:ascii="Times New Roman" w:hAnsi="Times New Roman" w:cs="Times New Roman"/>
          <w:sz w:val="24"/>
          <w:szCs w:val="24"/>
        </w:rPr>
        <w:t xml:space="preserve">: Обслуживание электронной национальной информационной системы по туберкулезу </w:t>
      </w:r>
    </w:p>
    <w:p w14:paraId="61CBA748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3.3</w:t>
      </w:r>
      <w:r w:rsidRPr="001353BE">
        <w:rPr>
          <w:rFonts w:ascii="Times New Roman" w:hAnsi="Times New Roman" w:cs="Times New Roman"/>
          <w:sz w:val="24"/>
          <w:szCs w:val="24"/>
        </w:rPr>
        <w:t>: Пересмотр и обновление в соответствии с международными стандартами методических рекомендаций по учетно-отчетным формам используемых при проведении противотуберкулезных мероприятий</w:t>
      </w:r>
    </w:p>
    <w:p w14:paraId="5CDD72CF" w14:textId="53053284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Мероприятие 3.4</w:t>
      </w:r>
      <w:r w:rsidRPr="001353BE">
        <w:rPr>
          <w:rFonts w:ascii="Times New Roman" w:hAnsi="Times New Roman" w:cs="Times New Roman"/>
          <w:sz w:val="24"/>
          <w:szCs w:val="24"/>
        </w:rPr>
        <w:t>: Поддержка в проведении мониторинговых визитов центральным подразделением НТП для непрерывного мониторинга и оценки во время переходно</w:t>
      </w:r>
      <w:r w:rsidR="00A72214">
        <w:rPr>
          <w:rFonts w:ascii="Times New Roman" w:hAnsi="Times New Roman" w:cs="Times New Roman"/>
          <w:sz w:val="24"/>
          <w:szCs w:val="24"/>
        </w:rPr>
        <w:t>го периода</w:t>
      </w:r>
    </w:p>
    <w:p w14:paraId="368A607E" w14:textId="096FCF8B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3.5</w:t>
      </w:r>
      <w:r w:rsidRPr="001353BE">
        <w:rPr>
          <w:rFonts w:ascii="Times New Roman" w:hAnsi="Times New Roman" w:cs="Times New Roman"/>
          <w:sz w:val="24"/>
          <w:szCs w:val="24"/>
        </w:rPr>
        <w:t>: Обеспечить регулярное обновление плана оперативных исследований для решения возникающих вопросов и поддержки их реализации</w:t>
      </w:r>
    </w:p>
    <w:p w14:paraId="75A48DD3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sz w:val="24"/>
          <w:szCs w:val="24"/>
        </w:rPr>
        <w:t xml:space="preserve">Задача 4: </w:t>
      </w:r>
      <w:r w:rsidRPr="001353BE">
        <w:rPr>
          <w:rFonts w:ascii="Times New Roman" w:hAnsi="Times New Roman" w:cs="Times New Roman"/>
          <w:sz w:val="24"/>
          <w:szCs w:val="24"/>
        </w:rPr>
        <w:t>Вовлечение организаций гражданского общества, неправительственных организаций и сообществ в мероприятия по борьбе с туберкулезом</w:t>
      </w:r>
    </w:p>
    <w:p w14:paraId="44E1BF81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4.1</w:t>
      </w:r>
      <w:r w:rsidRPr="001353BE">
        <w:rPr>
          <w:rFonts w:ascii="Times New Roman" w:hAnsi="Times New Roman" w:cs="Times New Roman"/>
          <w:sz w:val="24"/>
          <w:szCs w:val="24"/>
        </w:rPr>
        <w:t>: Оказание технического содействия в расчете стоимости услуг НПО, участвующих в мероприятиях по борьбе с туберкулезом</w:t>
      </w:r>
    </w:p>
    <w:p w14:paraId="237C886A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4.2</w:t>
      </w:r>
      <w:r w:rsidRPr="001353BE">
        <w:rPr>
          <w:rFonts w:ascii="Times New Roman" w:hAnsi="Times New Roman" w:cs="Times New Roman"/>
          <w:sz w:val="24"/>
          <w:szCs w:val="24"/>
        </w:rPr>
        <w:t>: Обучение представителей организаций сообществ управлению программами, стратегическому планированию и развитию организаций, и проведению мероприятий по контролю туберкулеза</w:t>
      </w:r>
    </w:p>
    <w:p w14:paraId="7B8A0818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4.3</w:t>
      </w:r>
      <w:r w:rsidRPr="001353BE">
        <w:rPr>
          <w:rFonts w:ascii="Times New Roman" w:hAnsi="Times New Roman" w:cs="Times New Roman"/>
          <w:sz w:val="24"/>
          <w:szCs w:val="24"/>
        </w:rPr>
        <w:t>: Обучение представителей организаций сообществ по проведению мероприятий по контролю чувствительного и лекарственно-устойчивого туберкулеза</w:t>
      </w:r>
    </w:p>
    <w:p w14:paraId="79658CC2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4.4</w:t>
      </w:r>
      <w:r w:rsidRPr="001353BE">
        <w:rPr>
          <w:rFonts w:ascii="Times New Roman" w:hAnsi="Times New Roman" w:cs="Times New Roman"/>
          <w:sz w:val="24"/>
          <w:szCs w:val="24"/>
        </w:rPr>
        <w:t>: Расширение внедрения программы грантов НПО и сообществам по инновационным ориентированным на пациентов подходов, обеспечению приверженности к лечению и контроля туберкулеза в группах риска</w:t>
      </w:r>
    </w:p>
    <w:p w14:paraId="47D5DB0C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b/>
          <w:i/>
          <w:sz w:val="24"/>
          <w:szCs w:val="24"/>
        </w:rPr>
        <w:t>Мероприятие 4.5</w:t>
      </w:r>
      <w:r w:rsidRPr="001353BE">
        <w:rPr>
          <w:rFonts w:ascii="Times New Roman" w:hAnsi="Times New Roman" w:cs="Times New Roman"/>
          <w:sz w:val="24"/>
          <w:szCs w:val="24"/>
        </w:rPr>
        <w:t>: Расширение мероприятий по мониторингу и оценке программ грантов НПО и сообществам по инновационным ориентированным на пациентов подходов и контроля туберкулеза среди групп риска</w:t>
      </w:r>
    </w:p>
    <w:p w14:paraId="72413CD7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7EA02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sz w:val="24"/>
          <w:szCs w:val="24"/>
        </w:rPr>
        <w:t>В приложениях №1а и №1б указаны мероприятия плана перехода, ответственные за реализацию, сроки исполнения и предполагаемые финансовые потребности.</w:t>
      </w:r>
    </w:p>
    <w:p w14:paraId="4F6929C4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3BE">
        <w:rPr>
          <w:rFonts w:ascii="Times New Roman" w:hAnsi="Times New Roman" w:cs="Times New Roman"/>
          <w:sz w:val="24"/>
          <w:szCs w:val="24"/>
        </w:rPr>
        <w:t>В приложении 2 указан уровень покрытия мероприятий плана перехода из внутренних источников в течении периода исполнения.</w:t>
      </w:r>
    </w:p>
    <w:p w14:paraId="10741248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E11F9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451AC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E39FC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32DD3" w14:textId="77777777" w:rsidR="00E14288" w:rsidRPr="001353BE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14288" w:rsidRPr="001353BE" w:rsidSect="00354734">
          <w:headerReference w:type="default" r:id="rId21"/>
          <w:footerReference w:type="default" r:id="rId22"/>
          <w:endnotePr>
            <w:numFmt w:val="decimal"/>
          </w:endnotePr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2EB1B0C0" w14:textId="77777777" w:rsidR="00E14288" w:rsidRPr="00A71BCC" w:rsidRDefault="00E14288" w:rsidP="00E142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BC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773"/>
        <w:gridCol w:w="2697"/>
        <w:gridCol w:w="3150"/>
        <w:gridCol w:w="2523"/>
      </w:tblGrid>
      <w:tr w:rsidR="00E14288" w:rsidRPr="005540B1" w14:paraId="5970DA0D" w14:textId="77777777" w:rsidTr="00354734">
        <w:tc>
          <w:tcPr>
            <w:tcW w:w="805" w:type="dxa"/>
            <w:vAlign w:val="center"/>
          </w:tcPr>
          <w:p w14:paraId="71D678F5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B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773" w:type="dxa"/>
            <w:vAlign w:val="center"/>
          </w:tcPr>
          <w:p w14:paraId="4BEB4C95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B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697" w:type="dxa"/>
            <w:vAlign w:val="center"/>
          </w:tcPr>
          <w:p w14:paraId="1CE5DA74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B1">
              <w:rPr>
                <w:rFonts w:ascii="Times New Roman" w:hAnsi="Times New Roman" w:cs="Times New Roman"/>
                <w:b/>
              </w:rPr>
              <w:t>Форма завершения</w:t>
            </w:r>
          </w:p>
        </w:tc>
        <w:tc>
          <w:tcPr>
            <w:tcW w:w="3150" w:type="dxa"/>
            <w:vAlign w:val="center"/>
          </w:tcPr>
          <w:p w14:paraId="38FA6451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B1">
              <w:rPr>
                <w:rFonts w:ascii="Times New Roman" w:hAnsi="Times New Roman" w:cs="Times New Roman"/>
                <w:b/>
              </w:rPr>
              <w:t>Ответственный за реализацию</w:t>
            </w:r>
          </w:p>
        </w:tc>
        <w:tc>
          <w:tcPr>
            <w:tcW w:w="2523" w:type="dxa"/>
            <w:vAlign w:val="center"/>
          </w:tcPr>
          <w:p w14:paraId="78E73889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B1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</w:tr>
      <w:tr w:rsidR="00E14288" w:rsidRPr="005540B1" w14:paraId="54DB8F04" w14:textId="77777777" w:rsidTr="00354734">
        <w:tc>
          <w:tcPr>
            <w:tcW w:w="13948" w:type="dxa"/>
            <w:gridSpan w:val="5"/>
          </w:tcPr>
          <w:p w14:paraId="596A0F58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b/>
                <w:sz w:val="20"/>
                <w:szCs w:val="20"/>
              </w:rPr>
              <w:t>Задача 1:</w:t>
            </w: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устойчивости всеобщего доступа к профилактическим, диагностическим и лечебным услугам хорошего качества больным туберкулезом и применение стратегических мер, ориентированных на пациента</w:t>
            </w:r>
          </w:p>
        </w:tc>
      </w:tr>
      <w:tr w:rsidR="00E14288" w:rsidRPr="005540B1" w14:paraId="6AE7CE11" w14:textId="77777777" w:rsidTr="00354734">
        <w:tc>
          <w:tcPr>
            <w:tcW w:w="805" w:type="dxa"/>
          </w:tcPr>
          <w:p w14:paraId="060A6373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773" w:type="dxa"/>
          </w:tcPr>
          <w:p w14:paraId="5795E1D5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Разработка и утверждение механизма по обеспечению закупок тестов для быстрой диагностики туберкулеза для пенитенциарной системы, используя международные механизмы по преференциальным ценам</w:t>
            </w:r>
          </w:p>
        </w:tc>
        <w:tc>
          <w:tcPr>
            <w:tcW w:w="2697" w:type="dxa"/>
          </w:tcPr>
          <w:p w14:paraId="2C0584EB" w14:textId="66388F69" w:rsidR="00E14288" w:rsidRPr="007008DA" w:rsidRDefault="00C65FA5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Механизм утвержден</w:t>
            </w:r>
          </w:p>
        </w:tc>
        <w:tc>
          <w:tcPr>
            <w:tcW w:w="3150" w:type="dxa"/>
          </w:tcPr>
          <w:p w14:paraId="6AC8EB5C" w14:textId="21A242C5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МВД РК, УЗ</w:t>
            </w:r>
            <w:r w:rsidR="00C65FA5">
              <w:rPr>
                <w:rFonts w:ascii="Times New Roman" w:hAnsi="Times New Roman" w:cs="Times New Roman"/>
                <w:sz w:val="20"/>
                <w:szCs w:val="20"/>
              </w:rPr>
              <w:t xml:space="preserve"> МЗ РК</w:t>
            </w:r>
          </w:p>
        </w:tc>
        <w:tc>
          <w:tcPr>
            <w:tcW w:w="2523" w:type="dxa"/>
          </w:tcPr>
          <w:p w14:paraId="38FA06E8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343EE767" w14:textId="77777777" w:rsidTr="00354734">
        <w:tc>
          <w:tcPr>
            <w:tcW w:w="805" w:type="dxa"/>
          </w:tcPr>
          <w:p w14:paraId="59D94F92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773" w:type="dxa"/>
          </w:tcPr>
          <w:p w14:paraId="00CE7560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Обеспечение бесперебойных поставок тестов и принадлежностей для быстрой диагностики туберкулеза для пенитенциарной системы</w:t>
            </w:r>
          </w:p>
        </w:tc>
        <w:tc>
          <w:tcPr>
            <w:tcW w:w="2697" w:type="dxa"/>
          </w:tcPr>
          <w:p w14:paraId="0B79957B" w14:textId="40D463F0" w:rsidR="00E14288" w:rsidRPr="00A71BCC" w:rsidRDefault="00C65FA5" w:rsidP="00C65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E1428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</w:t>
            </w:r>
          </w:p>
        </w:tc>
        <w:tc>
          <w:tcPr>
            <w:tcW w:w="3150" w:type="dxa"/>
          </w:tcPr>
          <w:p w14:paraId="52684C9A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МВД РК</w:t>
            </w:r>
          </w:p>
        </w:tc>
        <w:tc>
          <w:tcPr>
            <w:tcW w:w="2523" w:type="dxa"/>
          </w:tcPr>
          <w:p w14:paraId="064F88C7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7AE3ED64" w14:textId="77777777" w:rsidTr="00354734">
        <w:tc>
          <w:tcPr>
            <w:tcW w:w="805" w:type="dxa"/>
          </w:tcPr>
          <w:p w14:paraId="6C401B3B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773" w:type="dxa"/>
          </w:tcPr>
          <w:p w14:paraId="726184D7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Обеспечение технического обслуживания лабораторного оборудования и вентиляционных систем в бактериологических референс лабораториях, в отделениях и зонах повышенного биологического риска</w:t>
            </w:r>
          </w:p>
        </w:tc>
        <w:tc>
          <w:tcPr>
            <w:tcW w:w="2697" w:type="dxa"/>
          </w:tcPr>
          <w:p w14:paraId="22322737" w14:textId="5E888FE4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техобслуживания</w:t>
            </w:r>
            <w:r w:rsidR="00C65FA5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</w:t>
            </w:r>
          </w:p>
        </w:tc>
        <w:tc>
          <w:tcPr>
            <w:tcW w:w="3150" w:type="dxa"/>
          </w:tcPr>
          <w:p w14:paraId="79172D3D" w14:textId="287FBFF2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МВД РК, </w:t>
            </w:r>
            <w:r w:rsidR="00C65FA5" w:rsidRPr="00C65FA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</w:p>
        </w:tc>
        <w:tc>
          <w:tcPr>
            <w:tcW w:w="2523" w:type="dxa"/>
          </w:tcPr>
          <w:p w14:paraId="092F6936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79F7A3C3" w14:textId="77777777" w:rsidTr="00354734">
        <w:tc>
          <w:tcPr>
            <w:tcW w:w="805" w:type="dxa"/>
          </w:tcPr>
          <w:p w14:paraId="15171F0D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773" w:type="dxa"/>
          </w:tcPr>
          <w:p w14:paraId="330EE3CE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Обучение и сертификация местных инженеров с целью проведения технического обслуживания и ремонта лабораторного оборудования в бактериологических лабораториях: шкафов биобезопасности и систем вентиляции</w:t>
            </w:r>
          </w:p>
        </w:tc>
        <w:tc>
          <w:tcPr>
            <w:tcW w:w="2697" w:type="dxa"/>
          </w:tcPr>
          <w:p w14:paraId="5D462482" w14:textId="5E32570C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обучения</w:t>
            </w:r>
            <w:r w:rsidR="00C65FA5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</w:t>
            </w:r>
          </w:p>
        </w:tc>
        <w:tc>
          <w:tcPr>
            <w:tcW w:w="3150" w:type="dxa"/>
          </w:tcPr>
          <w:p w14:paraId="66F384C9" w14:textId="055E23C8" w:rsidR="00E14288" w:rsidRPr="002D33CB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 xml:space="preserve">МВД РК, </w:t>
            </w:r>
            <w:r w:rsidR="00C65FA5" w:rsidRPr="00C65FA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</w:p>
        </w:tc>
        <w:tc>
          <w:tcPr>
            <w:tcW w:w="2523" w:type="dxa"/>
          </w:tcPr>
          <w:p w14:paraId="273A1300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43C1D3D5" w14:textId="77777777" w:rsidTr="00354734">
        <w:tc>
          <w:tcPr>
            <w:tcW w:w="805" w:type="dxa"/>
          </w:tcPr>
          <w:p w14:paraId="2C527BF5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773" w:type="dxa"/>
          </w:tcPr>
          <w:p w14:paraId="736A3341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механизма по обеспечению закупок новых и перепрофилированных противотуберкулезных препаратов, для </w:t>
            </w:r>
            <w:r w:rsidRPr="00A71B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пенитенциарной системы, используя международные механизмы по преференциальным ценам</w:t>
            </w:r>
          </w:p>
        </w:tc>
        <w:tc>
          <w:tcPr>
            <w:tcW w:w="2697" w:type="dxa"/>
          </w:tcPr>
          <w:p w14:paraId="4C3D28DE" w14:textId="0BC7321E" w:rsidR="00E14288" w:rsidRPr="00A71BCC" w:rsidRDefault="00C65FA5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Механизм утвержден</w:t>
            </w:r>
          </w:p>
        </w:tc>
        <w:tc>
          <w:tcPr>
            <w:tcW w:w="3150" w:type="dxa"/>
          </w:tcPr>
          <w:p w14:paraId="6155A7FC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МВД РК</w:t>
            </w:r>
          </w:p>
        </w:tc>
        <w:tc>
          <w:tcPr>
            <w:tcW w:w="2523" w:type="dxa"/>
          </w:tcPr>
          <w:p w14:paraId="2E1A587F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586AF503" w14:textId="77777777" w:rsidTr="00354734">
        <w:tc>
          <w:tcPr>
            <w:tcW w:w="805" w:type="dxa"/>
          </w:tcPr>
          <w:p w14:paraId="7DE86818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73" w:type="dxa"/>
          </w:tcPr>
          <w:p w14:paraId="57EE5921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бесперебойных поставок противотуберкулезных препаратов для лечение пациентов с М/ШЛУ-ТБ, для пенитенциарной системы </w:t>
            </w:r>
          </w:p>
        </w:tc>
        <w:tc>
          <w:tcPr>
            <w:tcW w:w="2697" w:type="dxa"/>
          </w:tcPr>
          <w:p w14:paraId="6DDE1CEE" w14:textId="11DA688A" w:rsidR="00E14288" w:rsidRPr="00A71BCC" w:rsidRDefault="00E14288" w:rsidP="00C65F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 w:rsidR="00C65FA5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</w:t>
            </w:r>
          </w:p>
        </w:tc>
        <w:tc>
          <w:tcPr>
            <w:tcW w:w="3150" w:type="dxa"/>
          </w:tcPr>
          <w:p w14:paraId="7D08BD69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МВД РК</w:t>
            </w:r>
          </w:p>
        </w:tc>
        <w:tc>
          <w:tcPr>
            <w:tcW w:w="2523" w:type="dxa"/>
          </w:tcPr>
          <w:p w14:paraId="53575529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3BBFAD58" w14:textId="77777777" w:rsidTr="00354734">
        <w:tc>
          <w:tcPr>
            <w:tcW w:w="805" w:type="dxa"/>
          </w:tcPr>
          <w:p w14:paraId="1A465C3E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73" w:type="dxa"/>
          </w:tcPr>
          <w:p w14:paraId="184D7C6F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Обучение специалистов ПТО и ПМСП по менеджменту ТБ и ЛУ-ТБ, включая персонал пенитенциарной системы</w:t>
            </w:r>
          </w:p>
        </w:tc>
        <w:tc>
          <w:tcPr>
            <w:tcW w:w="2697" w:type="dxa"/>
          </w:tcPr>
          <w:p w14:paraId="6FAB73DB" w14:textId="0C62A0A5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обучения</w:t>
            </w:r>
            <w:r w:rsidR="00C65FA5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</w:t>
            </w:r>
          </w:p>
        </w:tc>
        <w:tc>
          <w:tcPr>
            <w:tcW w:w="3150" w:type="dxa"/>
          </w:tcPr>
          <w:p w14:paraId="1F8887FB" w14:textId="285C8CB3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 xml:space="preserve">МВД РК, </w:t>
            </w:r>
            <w:r w:rsidR="00C65FA5" w:rsidRPr="00C65FA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53D55F8E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742FAF32" w14:textId="77777777" w:rsidTr="00354734">
        <w:tc>
          <w:tcPr>
            <w:tcW w:w="805" w:type="dxa"/>
          </w:tcPr>
          <w:p w14:paraId="4369CBE1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73" w:type="dxa"/>
          </w:tcPr>
          <w:p w14:paraId="4CBF5872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Расширение внедрения мероприятий по активному мониторингу безопасности использования противотуберкулезных препаратов, в том числе: координация мероприятий, обновление лекарственного модуля НРБТ, обучение персонала по вопросам фармаконадзора и аМБП и по использованию лекарственного модуля</w:t>
            </w:r>
          </w:p>
        </w:tc>
        <w:tc>
          <w:tcPr>
            <w:tcW w:w="2697" w:type="dxa"/>
          </w:tcPr>
          <w:p w14:paraId="63B0E1DB" w14:textId="474F95DD" w:rsidR="00E14288" w:rsidRPr="00A71BCC" w:rsidRDefault="00C65FA5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реализованы</w:t>
            </w:r>
          </w:p>
        </w:tc>
        <w:tc>
          <w:tcPr>
            <w:tcW w:w="3150" w:type="dxa"/>
          </w:tcPr>
          <w:p w14:paraId="13D58399" w14:textId="64C4D2B0" w:rsidR="00E14288" w:rsidRPr="00227C84" w:rsidRDefault="00C65FA5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FA5">
              <w:rPr>
                <w:rFonts w:ascii="Times New Roman" w:hAnsi="Times New Roman" w:cs="Times New Roman"/>
                <w:bCs/>
                <w:sz w:val="20"/>
                <w:szCs w:val="20"/>
              </w:rPr>
              <w:t>УЗ МЗ РК</w:t>
            </w:r>
            <w:r w:rsidR="00E14288">
              <w:rPr>
                <w:rFonts w:ascii="Times New Roman" w:hAnsi="Times New Roman" w:cs="Times New Roman"/>
                <w:bCs/>
                <w:sz w:val="20"/>
                <w:szCs w:val="20"/>
              </w:rPr>
              <w:t>, ННЦФ, НЦЭЛС</w:t>
            </w:r>
          </w:p>
          <w:p w14:paraId="012653C9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</w:tcPr>
          <w:p w14:paraId="3668F945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78A52EC2" w14:textId="77777777" w:rsidTr="00354734">
        <w:tc>
          <w:tcPr>
            <w:tcW w:w="13948" w:type="dxa"/>
            <w:gridSpan w:val="5"/>
          </w:tcPr>
          <w:p w14:paraId="64610261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b/>
                <w:sz w:val="20"/>
                <w:szCs w:val="20"/>
              </w:rPr>
              <w:t>Задача 2:</w:t>
            </w: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7C84">
              <w:rPr>
                <w:rFonts w:ascii="Times New Roman" w:hAnsi="Times New Roman" w:cs="Times New Roman"/>
                <w:sz w:val="20"/>
                <w:szCs w:val="24"/>
              </w:rPr>
              <w:t>Повышение потенциала людских ресурсов для обеспечения эффективного противотуберкулезного контроля</w:t>
            </w:r>
          </w:p>
        </w:tc>
      </w:tr>
      <w:tr w:rsidR="00E14288" w:rsidRPr="005540B1" w14:paraId="2EA64298" w14:textId="77777777" w:rsidTr="00354734">
        <w:tc>
          <w:tcPr>
            <w:tcW w:w="805" w:type="dxa"/>
          </w:tcPr>
          <w:p w14:paraId="73FFBB6A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773" w:type="dxa"/>
          </w:tcPr>
          <w:p w14:paraId="34C5C3ED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Техническое содействие в пересмотре механизмов оплаты провайдеров оказывающих противотуберкулезную помощь населению для повышения эффективности системы</w:t>
            </w:r>
          </w:p>
        </w:tc>
        <w:tc>
          <w:tcPr>
            <w:tcW w:w="2697" w:type="dxa"/>
          </w:tcPr>
          <w:p w14:paraId="21FA1CA9" w14:textId="3F498A5D" w:rsidR="00E14288" w:rsidRPr="00A71BCC" w:rsidRDefault="00302805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Техническая помощь осуществлена, отчет представлен</w:t>
            </w:r>
          </w:p>
        </w:tc>
        <w:tc>
          <w:tcPr>
            <w:tcW w:w="3150" w:type="dxa"/>
          </w:tcPr>
          <w:p w14:paraId="132A56C4" w14:textId="0EB8F3EB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РК,</w:t>
            </w:r>
            <w:r w:rsidRPr="000771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2805" w:rsidRPr="0030280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0771BC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5A4F48BC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302805" w:rsidRPr="005540B1" w14:paraId="5CD9E3D4" w14:textId="77777777" w:rsidTr="00354734">
        <w:tc>
          <w:tcPr>
            <w:tcW w:w="805" w:type="dxa"/>
          </w:tcPr>
          <w:p w14:paraId="3B558315" w14:textId="77777777" w:rsidR="00302805" w:rsidRPr="00227C84" w:rsidRDefault="00302805" w:rsidP="003028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773" w:type="dxa"/>
          </w:tcPr>
          <w:p w14:paraId="5A928981" w14:textId="77777777" w:rsidR="00302805" w:rsidRPr="00227C84" w:rsidRDefault="00302805" w:rsidP="003028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Техническое содействие в разработке и внедрении механизмов стимулирования для работников противотуберкулезной службы (врачи, медсестры, сотрудники лабораторий)</w:t>
            </w:r>
          </w:p>
        </w:tc>
        <w:tc>
          <w:tcPr>
            <w:tcW w:w="2697" w:type="dxa"/>
          </w:tcPr>
          <w:p w14:paraId="42B201A4" w14:textId="7FA1A55A" w:rsidR="00302805" w:rsidRPr="00A71BCC" w:rsidRDefault="00302805" w:rsidP="00302805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Техническая помощь осуществлена, отчет представлен</w:t>
            </w:r>
          </w:p>
        </w:tc>
        <w:tc>
          <w:tcPr>
            <w:tcW w:w="3150" w:type="dxa"/>
          </w:tcPr>
          <w:p w14:paraId="41F5BA02" w14:textId="0AF1B6B8" w:rsidR="00302805" w:rsidRPr="00A71BCC" w:rsidRDefault="00302805" w:rsidP="00302805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 РК,</w:t>
            </w:r>
            <w:r w:rsidRPr="000771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80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0771BC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0AEDB8DE" w14:textId="77777777" w:rsidR="00302805" w:rsidRPr="00A71BCC" w:rsidRDefault="00302805" w:rsidP="00302805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4923C411" w14:textId="77777777" w:rsidTr="00354734">
        <w:tc>
          <w:tcPr>
            <w:tcW w:w="805" w:type="dxa"/>
          </w:tcPr>
          <w:p w14:paraId="2E062B49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4773" w:type="dxa"/>
          </w:tcPr>
          <w:p w14:paraId="3DB75F3E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руководителей региональных противотуберкулезных диспансеров и сети ПМСП, ориентированное на управленческие и практические </w:t>
            </w:r>
            <w:r w:rsidRPr="00227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аспекты, для поддержки внедрения новых платежных механизмов в учреждениях по борьбе с туберкулезом</w:t>
            </w:r>
          </w:p>
        </w:tc>
        <w:tc>
          <w:tcPr>
            <w:tcW w:w="2697" w:type="dxa"/>
          </w:tcPr>
          <w:p w14:paraId="3ECDB18E" w14:textId="48F7DB5A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 обучения</w:t>
            </w:r>
            <w:r w:rsidR="00302805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</w:t>
            </w:r>
          </w:p>
        </w:tc>
        <w:tc>
          <w:tcPr>
            <w:tcW w:w="3150" w:type="dxa"/>
          </w:tcPr>
          <w:p w14:paraId="74215ADE" w14:textId="65524EF9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 xml:space="preserve">МЗ РК, </w:t>
            </w:r>
            <w:r w:rsidR="00302805" w:rsidRPr="0030280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3EA7DF06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6ACCF62C" w14:textId="77777777" w:rsidTr="00354734">
        <w:tc>
          <w:tcPr>
            <w:tcW w:w="805" w:type="dxa"/>
          </w:tcPr>
          <w:p w14:paraId="7C25A6AD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4773" w:type="dxa"/>
          </w:tcPr>
          <w:p w14:paraId="4B782745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Обучение руководителей региональных противотуберкулезных диспансеров и сети ПМСП в реализации концепции амбулаторной модели ухода за больными туберкулеза и по оптимизации коечного фонда</w:t>
            </w:r>
          </w:p>
        </w:tc>
        <w:tc>
          <w:tcPr>
            <w:tcW w:w="2697" w:type="dxa"/>
          </w:tcPr>
          <w:p w14:paraId="5B87559C" w14:textId="2E3235FD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обучения</w:t>
            </w:r>
            <w:r w:rsidR="00302805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</w:t>
            </w:r>
          </w:p>
        </w:tc>
        <w:tc>
          <w:tcPr>
            <w:tcW w:w="3150" w:type="dxa"/>
          </w:tcPr>
          <w:p w14:paraId="71EC2FD0" w14:textId="3C10170A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 xml:space="preserve">МЗ РК, </w:t>
            </w:r>
            <w:r w:rsidR="00302805" w:rsidRPr="0030280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0CF33F38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7DB59D2C" w14:textId="77777777" w:rsidTr="00354734">
        <w:tc>
          <w:tcPr>
            <w:tcW w:w="805" w:type="dxa"/>
          </w:tcPr>
          <w:p w14:paraId="540CE3FA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4773" w:type="dxa"/>
          </w:tcPr>
          <w:p w14:paraId="0D92E08A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Создание при ННЦФ Центра клинического наставничества и повышения квалификации медицинского персонала с использованием дистанционных технологий по оказанию качественных услуг по уходу и лечению больных с туберкулезом и лекарственно-устойчивым туберкулезом</w:t>
            </w:r>
          </w:p>
        </w:tc>
        <w:tc>
          <w:tcPr>
            <w:tcW w:w="2697" w:type="dxa"/>
          </w:tcPr>
          <w:p w14:paraId="56BCC521" w14:textId="6F0247B9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и программа обучения</w:t>
            </w:r>
            <w:r w:rsidR="00302805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разработаны и утверждены</w:t>
            </w:r>
          </w:p>
        </w:tc>
        <w:tc>
          <w:tcPr>
            <w:tcW w:w="3150" w:type="dxa"/>
          </w:tcPr>
          <w:p w14:paraId="22E36944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ННЦФ</w:t>
            </w:r>
          </w:p>
        </w:tc>
        <w:tc>
          <w:tcPr>
            <w:tcW w:w="2523" w:type="dxa"/>
          </w:tcPr>
          <w:p w14:paraId="094A2D39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008DC270" w14:textId="77777777" w:rsidTr="00354734">
        <w:tc>
          <w:tcPr>
            <w:tcW w:w="805" w:type="dxa"/>
          </w:tcPr>
          <w:p w14:paraId="3B5BAD67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4773" w:type="dxa"/>
          </w:tcPr>
          <w:p w14:paraId="47180B2E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Регулярный пересмотр и обновление учебных программ на всех уровнях медицинского образования для врачей и медсестер, с целью обеспечения соответствия с последними рекомендациями ВОЗ</w:t>
            </w:r>
          </w:p>
        </w:tc>
        <w:tc>
          <w:tcPr>
            <w:tcW w:w="2697" w:type="dxa"/>
          </w:tcPr>
          <w:p w14:paraId="0071B77C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Обновление программ обучения</w:t>
            </w:r>
          </w:p>
        </w:tc>
        <w:tc>
          <w:tcPr>
            <w:tcW w:w="3150" w:type="dxa"/>
          </w:tcPr>
          <w:p w14:paraId="2598C65F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ННЦФ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РЦРЗ</w:t>
            </w:r>
          </w:p>
        </w:tc>
        <w:tc>
          <w:tcPr>
            <w:tcW w:w="2523" w:type="dxa"/>
          </w:tcPr>
          <w:p w14:paraId="70FEF870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7B9D731B" w14:textId="77777777" w:rsidTr="00354734">
        <w:tc>
          <w:tcPr>
            <w:tcW w:w="805" w:type="dxa"/>
          </w:tcPr>
          <w:p w14:paraId="5968E12F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4773" w:type="dxa"/>
          </w:tcPr>
          <w:p w14:paraId="27939F25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Периодическое обновление национального плана людских ресурсов для поддержки производства, найма, назначения и сохранения людских ресурсов для борьбы с туберкулезом</w:t>
            </w:r>
          </w:p>
        </w:tc>
        <w:tc>
          <w:tcPr>
            <w:tcW w:w="2697" w:type="dxa"/>
          </w:tcPr>
          <w:p w14:paraId="654D0FED" w14:textId="38E002BB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302805">
              <w:rPr>
                <w:rFonts w:ascii="Times New Roman" w:hAnsi="Times New Roman" w:cs="Times New Roman"/>
                <w:sz w:val="20"/>
                <w:szCs w:val="20"/>
              </w:rPr>
              <w:t xml:space="preserve"> пересмотрен и утвержден</w:t>
            </w:r>
          </w:p>
        </w:tc>
        <w:tc>
          <w:tcPr>
            <w:tcW w:w="3150" w:type="dxa"/>
          </w:tcPr>
          <w:p w14:paraId="5868EDDC" w14:textId="1BC606F0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 xml:space="preserve">МЗ РК, МВД РК, </w:t>
            </w:r>
            <w:r w:rsidR="00302805" w:rsidRPr="0030280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4C79E6F0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55E1AF2F" w14:textId="77777777" w:rsidTr="00354734">
        <w:tc>
          <w:tcPr>
            <w:tcW w:w="805" w:type="dxa"/>
          </w:tcPr>
          <w:p w14:paraId="6255BE8E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4773" w:type="dxa"/>
          </w:tcPr>
          <w:p w14:paraId="0E7C2F39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Внедрение механизмов стимулирования работников противотуберкулезной службы для обеспечения удержания персонала и привлечения молодых врачей в программы по борьбе с туберкулезом</w:t>
            </w:r>
          </w:p>
        </w:tc>
        <w:tc>
          <w:tcPr>
            <w:tcW w:w="2697" w:type="dxa"/>
          </w:tcPr>
          <w:p w14:paraId="4D2C44D2" w14:textId="49678470" w:rsidR="00E14288" w:rsidRPr="00E65317" w:rsidRDefault="00302805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Механизм разработан и утвержден</w:t>
            </w:r>
          </w:p>
          <w:p w14:paraId="3658FF16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0F3EBDD2" w14:textId="65C231C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МЗ РК, МВД РК, </w:t>
            </w:r>
            <w:r w:rsidR="00302805" w:rsidRPr="0030280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</w:p>
        </w:tc>
        <w:tc>
          <w:tcPr>
            <w:tcW w:w="2523" w:type="dxa"/>
          </w:tcPr>
          <w:p w14:paraId="7504D80F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042E0C18" w14:textId="77777777" w:rsidTr="00354734">
        <w:tc>
          <w:tcPr>
            <w:tcW w:w="13948" w:type="dxa"/>
            <w:gridSpan w:val="5"/>
          </w:tcPr>
          <w:p w14:paraId="4E0A821A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b/>
                <w:sz w:val="20"/>
                <w:szCs w:val="20"/>
              </w:rPr>
              <w:t>Задача 3</w:t>
            </w: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: Укрепление потенциала мониторинга и оценки НПТ</w:t>
            </w:r>
          </w:p>
        </w:tc>
      </w:tr>
      <w:tr w:rsidR="00E14288" w:rsidRPr="005540B1" w14:paraId="4B26D6E2" w14:textId="77777777" w:rsidTr="00354734">
        <w:tc>
          <w:tcPr>
            <w:tcW w:w="805" w:type="dxa"/>
          </w:tcPr>
          <w:p w14:paraId="7592B6BA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3.1</w:t>
            </w:r>
          </w:p>
        </w:tc>
        <w:tc>
          <w:tcPr>
            <w:tcW w:w="4773" w:type="dxa"/>
          </w:tcPr>
          <w:p w14:paraId="1878FEC0" w14:textId="77777777" w:rsidR="00E14288" w:rsidRPr="00E65317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317">
              <w:rPr>
                <w:rFonts w:ascii="Times New Roman" w:hAnsi="Times New Roman" w:cs="Times New Roman"/>
                <w:sz w:val="20"/>
                <w:szCs w:val="20"/>
              </w:rPr>
              <w:t>Поддержка мероприятий по усовершенствование НРБТ в соответствии с последними рекомендациями ВОЗ</w:t>
            </w:r>
          </w:p>
        </w:tc>
        <w:tc>
          <w:tcPr>
            <w:tcW w:w="2697" w:type="dxa"/>
          </w:tcPr>
          <w:p w14:paraId="74D1C4EB" w14:textId="6D75881E" w:rsidR="00E14288" w:rsidRPr="00E65317" w:rsidRDefault="00302805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 с ИТ компанией подписан</w:t>
            </w:r>
          </w:p>
        </w:tc>
        <w:tc>
          <w:tcPr>
            <w:tcW w:w="3150" w:type="dxa"/>
          </w:tcPr>
          <w:p w14:paraId="2E7C5BEA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 xml:space="preserve">МЗ РК,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ННЦФ</w:t>
            </w:r>
          </w:p>
        </w:tc>
        <w:tc>
          <w:tcPr>
            <w:tcW w:w="2523" w:type="dxa"/>
          </w:tcPr>
          <w:p w14:paraId="73DEF340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1B3DB7DD" w14:textId="77777777" w:rsidTr="00354734">
        <w:tc>
          <w:tcPr>
            <w:tcW w:w="805" w:type="dxa"/>
          </w:tcPr>
          <w:p w14:paraId="2C0E8707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3.2</w:t>
            </w:r>
          </w:p>
        </w:tc>
        <w:tc>
          <w:tcPr>
            <w:tcW w:w="4773" w:type="dxa"/>
          </w:tcPr>
          <w:p w14:paraId="445ED2BD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Обслуживание электронной национальной информационной системы по туберкулезу</w:t>
            </w:r>
          </w:p>
        </w:tc>
        <w:tc>
          <w:tcPr>
            <w:tcW w:w="2697" w:type="dxa"/>
          </w:tcPr>
          <w:p w14:paraId="04C7632C" w14:textId="2ADB5394" w:rsidR="00E14288" w:rsidRPr="00E65317" w:rsidRDefault="00302805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 по обслуживанию подписан</w:t>
            </w:r>
          </w:p>
        </w:tc>
        <w:tc>
          <w:tcPr>
            <w:tcW w:w="3150" w:type="dxa"/>
          </w:tcPr>
          <w:p w14:paraId="70343F89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МЗ РК, ННЦФ</w:t>
            </w:r>
          </w:p>
        </w:tc>
        <w:tc>
          <w:tcPr>
            <w:tcW w:w="2523" w:type="dxa"/>
          </w:tcPr>
          <w:p w14:paraId="1F765F96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40EFDED3" w14:textId="77777777" w:rsidTr="00354734">
        <w:tc>
          <w:tcPr>
            <w:tcW w:w="805" w:type="dxa"/>
          </w:tcPr>
          <w:p w14:paraId="29C35FDF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</w:t>
            </w:r>
          </w:p>
        </w:tc>
        <w:tc>
          <w:tcPr>
            <w:tcW w:w="4773" w:type="dxa"/>
          </w:tcPr>
          <w:p w14:paraId="4741A589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Пересмотр и обновление в соответствии с международными стандартами методических рекомендаций по учетно-отчетным формам используемых при проведении противотуберкулезных мероприятий</w:t>
            </w:r>
          </w:p>
        </w:tc>
        <w:tc>
          <w:tcPr>
            <w:tcW w:w="2697" w:type="dxa"/>
          </w:tcPr>
          <w:p w14:paraId="3C784319" w14:textId="32804F56" w:rsidR="00E14288" w:rsidRPr="00E65317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317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</w:t>
            </w:r>
            <w:r w:rsidR="00302805">
              <w:rPr>
                <w:rFonts w:ascii="Times New Roman" w:hAnsi="Times New Roman" w:cs="Times New Roman"/>
                <w:sz w:val="20"/>
                <w:szCs w:val="20"/>
              </w:rPr>
              <w:t xml:space="preserve"> пересмотрены и утверждены</w:t>
            </w:r>
          </w:p>
        </w:tc>
        <w:tc>
          <w:tcPr>
            <w:tcW w:w="3150" w:type="dxa"/>
          </w:tcPr>
          <w:p w14:paraId="6CB2F71D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 xml:space="preserve">МЗ РК,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РЦРЗ</w:t>
            </w: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28BEF5FE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5B0E74BF" w14:textId="77777777" w:rsidTr="00354734">
        <w:tc>
          <w:tcPr>
            <w:tcW w:w="805" w:type="dxa"/>
          </w:tcPr>
          <w:p w14:paraId="4D441E6A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</w:t>
            </w:r>
          </w:p>
        </w:tc>
        <w:tc>
          <w:tcPr>
            <w:tcW w:w="4773" w:type="dxa"/>
          </w:tcPr>
          <w:p w14:paraId="494FB993" w14:textId="0680D511" w:rsidR="00E14288" w:rsidRPr="00227C84" w:rsidRDefault="00E14288" w:rsidP="00203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Поддержка в проведении мониторинговых визитов центральным подразделением НТП для непрерывного мониторинга и оценки во время переходно</w:t>
            </w:r>
            <w:r w:rsidR="00203880">
              <w:rPr>
                <w:rFonts w:ascii="Times New Roman" w:hAnsi="Times New Roman" w:cs="Times New Roman"/>
                <w:sz w:val="20"/>
                <w:szCs w:val="20"/>
              </w:rPr>
              <w:t>го периода</w:t>
            </w:r>
          </w:p>
        </w:tc>
        <w:tc>
          <w:tcPr>
            <w:tcW w:w="2697" w:type="dxa"/>
          </w:tcPr>
          <w:p w14:paraId="128F19EA" w14:textId="214ED66E" w:rsidR="00E14288" w:rsidRPr="00E65317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317">
              <w:rPr>
                <w:rFonts w:ascii="Times New Roman" w:hAnsi="Times New Roman" w:cs="Times New Roman"/>
                <w:sz w:val="20"/>
                <w:szCs w:val="20"/>
              </w:rPr>
              <w:t>План МиО</w:t>
            </w:r>
            <w:r w:rsidR="00302805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 и визиты реализованы</w:t>
            </w:r>
          </w:p>
        </w:tc>
        <w:tc>
          <w:tcPr>
            <w:tcW w:w="3150" w:type="dxa"/>
          </w:tcPr>
          <w:p w14:paraId="16E1F3DC" w14:textId="624EBF44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 xml:space="preserve">МЗ РК, МВД РК, </w:t>
            </w:r>
            <w:r w:rsidR="00302805" w:rsidRPr="0030280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75550E31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49D3673A" w14:textId="77777777" w:rsidTr="00354734">
        <w:tc>
          <w:tcPr>
            <w:tcW w:w="805" w:type="dxa"/>
          </w:tcPr>
          <w:p w14:paraId="54A1A278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4773" w:type="dxa"/>
          </w:tcPr>
          <w:p w14:paraId="57E2C2B0" w14:textId="177A9FC1" w:rsidR="00E14288" w:rsidRPr="00227C84" w:rsidRDefault="00E14288" w:rsidP="002038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Обеспечить регулярное обновление плана оперативных исследований для решения возникающих вопросов и поддержки их реализации</w:t>
            </w:r>
          </w:p>
        </w:tc>
        <w:tc>
          <w:tcPr>
            <w:tcW w:w="2697" w:type="dxa"/>
          </w:tcPr>
          <w:p w14:paraId="3153C5C3" w14:textId="62E59DAD" w:rsidR="00E14288" w:rsidRPr="00E65317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5317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="00302805">
              <w:rPr>
                <w:rFonts w:ascii="Times New Roman" w:hAnsi="Times New Roman" w:cs="Times New Roman"/>
                <w:sz w:val="20"/>
                <w:szCs w:val="20"/>
              </w:rPr>
              <w:t xml:space="preserve"> пересмотрен и утвержден</w:t>
            </w:r>
          </w:p>
        </w:tc>
        <w:tc>
          <w:tcPr>
            <w:tcW w:w="3150" w:type="dxa"/>
          </w:tcPr>
          <w:p w14:paraId="75D68BEC" w14:textId="54FE7240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 xml:space="preserve">МЗ РК, МВД РК, </w:t>
            </w:r>
            <w:r w:rsidR="00302805" w:rsidRPr="0030280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1D77B8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42C2E4E1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</w:rPr>
            </w:pPr>
            <w:r w:rsidRPr="00FB6BDA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0646ABAD" w14:textId="77777777" w:rsidTr="00354734">
        <w:tc>
          <w:tcPr>
            <w:tcW w:w="13948" w:type="dxa"/>
            <w:gridSpan w:val="5"/>
          </w:tcPr>
          <w:p w14:paraId="4E2BED97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b/>
                <w:sz w:val="20"/>
                <w:szCs w:val="20"/>
              </w:rPr>
              <w:t>Задача 4:</w:t>
            </w: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 xml:space="preserve"> Вовлечение организаций гражданского общества, неправительственных организаций и сообществ в мероприятия по борьбе с туберкулезом</w:t>
            </w:r>
          </w:p>
        </w:tc>
      </w:tr>
      <w:tr w:rsidR="00E14288" w:rsidRPr="005540B1" w14:paraId="53EC2024" w14:textId="77777777" w:rsidTr="00354734">
        <w:tc>
          <w:tcPr>
            <w:tcW w:w="805" w:type="dxa"/>
          </w:tcPr>
          <w:p w14:paraId="6034BBF3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773" w:type="dxa"/>
          </w:tcPr>
          <w:p w14:paraId="621B4AA4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Оказание технического содействия в расчете стоимости услуг НПО, участвующих в мероприятиях по борьбе с туберкулезом</w:t>
            </w:r>
          </w:p>
        </w:tc>
        <w:tc>
          <w:tcPr>
            <w:tcW w:w="2697" w:type="dxa"/>
          </w:tcPr>
          <w:p w14:paraId="6DACB718" w14:textId="41A1ED97" w:rsidR="00E14288" w:rsidRPr="00A71BCC" w:rsidRDefault="003A4386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386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Техническая помощь осуществлена, отчет представлен </w:t>
            </w:r>
          </w:p>
        </w:tc>
        <w:tc>
          <w:tcPr>
            <w:tcW w:w="3150" w:type="dxa"/>
          </w:tcPr>
          <w:p w14:paraId="15F90ADC" w14:textId="264BF0A8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 xml:space="preserve">МЗ РК, МВД РК, </w:t>
            </w:r>
            <w:r w:rsidR="00302805" w:rsidRPr="00302805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0E224635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 w:rsidRPr="00381972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7BC7E7F8" w14:textId="77777777" w:rsidTr="00354734">
        <w:tc>
          <w:tcPr>
            <w:tcW w:w="805" w:type="dxa"/>
          </w:tcPr>
          <w:p w14:paraId="2499EA75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773" w:type="dxa"/>
          </w:tcPr>
          <w:p w14:paraId="3FC45B21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Обучение представителей организаций сообществ управлению программами, стратегическому планированию и развитию организации и проведению мероприятий по контролю туберкулеза</w:t>
            </w:r>
          </w:p>
        </w:tc>
        <w:tc>
          <w:tcPr>
            <w:tcW w:w="2697" w:type="dxa"/>
          </w:tcPr>
          <w:p w14:paraId="6AE8C58C" w14:textId="16096BC0" w:rsidR="00E14288" w:rsidRPr="00A71BCC" w:rsidRDefault="00E14288" w:rsidP="003A43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обучения</w:t>
            </w:r>
            <w:r w:rsidR="003A4386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</w:t>
            </w:r>
          </w:p>
        </w:tc>
        <w:tc>
          <w:tcPr>
            <w:tcW w:w="3150" w:type="dxa"/>
          </w:tcPr>
          <w:p w14:paraId="7EEF6D6A" w14:textId="7A5BE26B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 xml:space="preserve">МЗ РК, </w:t>
            </w:r>
            <w:r w:rsidR="003A4386" w:rsidRPr="003A4386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42456887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 w:rsidRPr="00381972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347CDFC9" w14:textId="77777777" w:rsidTr="00354734">
        <w:tc>
          <w:tcPr>
            <w:tcW w:w="805" w:type="dxa"/>
          </w:tcPr>
          <w:p w14:paraId="3F1B08A2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773" w:type="dxa"/>
          </w:tcPr>
          <w:p w14:paraId="0B270C4A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Обучение представителей организаций сообществ по проведению мероприятий по контролю чувствительного и лекарственно-устойчивого туберкулеза</w:t>
            </w:r>
          </w:p>
        </w:tc>
        <w:tc>
          <w:tcPr>
            <w:tcW w:w="2697" w:type="dxa"/>
          </w:tcPr>
          <w:p w14:paraId="740F39C3" w14:textId="43320D23" w:rsidR="00E14288" w:rsidRPr="00A71BCC" w:rsidRDefault="00E14288" w:rsidP="003A43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обучения</w:t>
            </w:r>
            <w:r w:rsidR="003A4386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</w:t>
            </w:r>
          </w:p>
        </w:tc>
        <w:tc>
          <w:tcPr>
            <w:tcW w:w="3150" w:type="dxa"/>
          </w:tcPr>
          <w:p w14:paraId="0727E79A" w14:textId="4E75DD56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 xml:space="preserve">МЗ РК, МВД РК, </w:t>
            </w:r>
            <w:r w:rsidR="003A4386" w:rsidRPr="003A4386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20ECB8DE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 w:rsidRPr="00381972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51AE3BA7" w14:textId="77777777" w:rsidTr="00354734">
        <w:tc>
          <w:tcPr>
            <w:tcW w:w="805" w:type="dxa"/>
          </w:tcPr>
          <w:p w14:paraId="35A1F245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773" w:type="dxa"/>
          </w:tcPr>
          <w:p w14:paraId="20D80926" w14:textId="77777777" w:rsidR="00E14288" w:rsidRPr="00227C84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7C84">
              <w:rPr>
                <w:rFonts w:ascii="Times New Roman" w:hAnsi="Times New Roman" w:cs="Times New Roman"/>
                <w:sz w:val="20"/>
                <w:szCs w:val="20"/>
              </w:rPr>
              <w:t>Расширение внедрения программы грантов НПО и сообществам по инновационным ориентированным на пациентов подходов, обеспечению приверженности к лечению и контроля туберкулеза в группах риска</w:t>
            </w:r>
          </w:p>
        </w:tc>
        <w:tc>
          <w:tcPr>
            <w:tcW w:w="2697" w:type="dxa"/>
          </w:tcPr>
          <w:p w14:paraId="1AE3C69B" w14:textId="1A400AF4" w:rsidR="00E14288" w:rsidRPr="00A71BCC" w:rsidRDefault="003A4386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Контракты с НПО подписаны, мероприятия реализованы</w:t>
            </w:r>
          </w:p>
        </w:tc>
        <w:tc>
          <w:tcPr>
            <w:tcW w:w="3150" w:type="dxa"/>
          </w:tcPr>
          <w:p w14:paraId="2F46ECF2" w14:textId="02A76664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 xml:space="preserve">МЗ РК, МВД РК, </w:t>
            </w:r>
            <w:r w:rsidR="003A4386" w:rsidRPr="003A4386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4EFCC213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 w:rsidRPr="00381972">
              <w:rPr>
                <w:rFonts w:ascii="Times New Roman" w:hAnsi="Times New Roman" w:cs="Times New Roman"/>
              </w:rPr>
              <w:t>2019-2022гг.</w:t>
            </w:r>
          </w:p>
        </w:tc>
      </w:tr>
      <w:tr w:rsidR="00E14288" w:rsidRPr="005540B1" w14:paraId="7E072589" w14:textId="77777777" w:rsidTr="00354734">
        <w:tc>
          <w:tcPr>
            <w:tcW w:w="805" w:type="dxa"/>
          </w:tcPr>
          <w:p w14:paraId="24334CF6" w14:textId="77777777" w:rsidR="00E14288" w:rsidRPr="006B01E4" w:rsidRDefault="00E14288" w:rsidP="00354734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E58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7E585F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773" w:type="dxa"/>
          </w:tcPr>
          <w:p w14:paraId="5F1C444B" w14:textId="77777777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BCC">
              <w:rPr>
                <w:rFonts w:ascii="Times New Roman" w:hAnsi="Times New Roman" w:cs="Times New Roman"/>
                <w:sz w:val="20"/>
                <w:szCs w:val="20"/>
              </w:rPr>
              <w:t>Расширение мероприятий по мониторингу и оценке программ грантов НПО и сообществам по инновационным ориентированным на пациентов подходов и контроля туберкулеза среди групп риска</w:t>
            </w:r>
          </w:p>
        </w:tc>
        <w:tc>
          <w:tcPr>
            <w:tcW w:w="2697" w:type="dxa"/>
          </w:tcPr>
          <w:p w14:paraId="5A74E3A9" w14:textId="4B00A563" w:rsidR="00E14288" w:rsidRPr="00A71BCC" w:rsidRDefault="00E14288" w:rsidP="003A43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r w:rsidR="003A4386">
              <w:rPr>
                <w:rFonts w:ascii="Times New Roman" w:hAnsi="Times New Roman" w:cs="Times New Roman"/>
                <w:sz w:val="20"/>
                <w:szCs w:val="20"/>
              </w:rPr>
              <w:t xml:space="preserve">по МиО разработан и </w:t>
            </w:r>
            <w:bookmarkStart w:id="25" w:name="_GoBack"/>
            <w:bookmarkEnd w:id="25"/>
            <w:r w:rsidR="003A4386">
              <w:rPr>
                <w:rFonts w:ascii="Times New Roman" w:hAnsi="Times New Roman" w:cs="Times New Roman"/>
                <w:sz w:val="20"/>
                <w:szCs w:val="20"/>
              </w:rPr>
              <w:t>утвержден, визиты реализованы</w:t>
            </w:r>
          </w:p>
        </w:tc>
        <w:tc>
          <w:tcPr>
            <w:tcW w:w="3150" w:type="dxa"/>
          </w:tcPr>
          <w:p w14:paraId="514EB23F" w14:textId="3A4B6A81" w:rsidR="00E14288" w:rsidRPr="00A71BCC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 xml:space="preserve">МЗ РК, МВД РК, </w:t>
            </w:r>
            <w:r w:rsidR="003A4386" w:rsidRPr="003A4386">
              <w:rPr>
                <w:rFonts w:ascii="Times New Roman" w:hAnsi="Times New Roman" w:cs="Times New Roman"/>
                <w:sz w:val="20"/>
                <w:szCs w:val="20"/>
              </w:rPr>
              <w:t>УЗ МЗ РК</w:t>
            </w:r>
            <w:r w:rsidRPr="005F2AF4">
              <w:rPr>
                <w:rFonts w:ascii="Times New Roman" w:hAnsi="Times New Roman" w:cs="Times New Roman"/>
                <w:sz w:val="20"/>
                <w:szCs w:val="20"/>
              </w:rPr>
              <w:t>, ННЦФ</w:t>
            </w:r>
          </w:p>
        </w:tc>
        <w:tc>
          <w:tcPr>
            <w:tcW w:w="2523" w:type="dxa"/>
          </w:tcPr>
          <w:p w14:paraId="5318EB49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</w:rPr>
            </w:pPr>
            <w:r w:rsidRPr="00381972">
              <w:rPr>
                <w:rFonts w:ascii="Times New Roman" w:hAnsi="Times New Roman" w:cs="Times New Roman"/>
              </w:rPr>
              <w:t>2019-2022гг.</w:t>
            </w:r>
          </w:p>
        </w:tc>
      </w:tr>
    </w:tbl>
    <w:p w14:paraId="7337E6B0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9D9C2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3D001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F78BF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8350B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7B200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347D06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D0C8C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727A1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84459" w14:textId="77777777" w:rsidR="00E14288" w:rsidRPr="005540B1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2E3A6" w14:textId="77777777" w:rsidR="00E14288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8670A" w14:textId="77777777" w:rsidR="00E14288" w:rsidRDefault="00E14288" w:rsidP="00E142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03">
        <w:rPr>
          <w:rFonts w:ascii="Times New Roman" w:hAnsi="Times New Roman" w:cs="Times New Roman"/>
          <w:b/>
          <w:sz w:val="24"/>
          <w:szCs w:val="24"/>
        </w:rPr>
        <w:t>Приложение № 1б</w:t>
      </w:r>
    </w:p>
    <w:tbl>
      <w:tblPr>
        <w:tblStyle w:val="TableGrid"/>
        <w:tblW w:w="1584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500"/>
        <w:gridCol w:w="945"/>
        <w:gridCol w:w="945"/>
        <w:gridCol w:w="945"/>
        <w:gridCol w:w="945"/>
        <w:gridCol w:w="990"/>
        <w:gridCol w:w="900"/>
        <w:gridCol w:w="945"/>
        <w:gridCol w:w="945"/>
        <w:gridCol w:w="945"/>
        <w:gridCol w:w="945"/>
        <w:gridCol w:w="945"/>
        <w:gridCol w:w="945"/>
      </w:tblGrid>
      <w:tr w:rsidR="00E14288" w:rsidRPr="005540B1" w14:paraId="2E579FBC" w14:textId="77777777" w:rsidTr="00EC219D">
        <w:trPr>
          <w:trHeight w:val="323"/>
        </w:trPr>
        <w:tc>
          <w:tcPr>
            <w:tcW w:w="4500" w:type="dxa"/>
            <w:vMerge w:val="restart"/>
            <w:vAlign w:val="center"/>
          </w:tcPr>
          <w:p w14:paraId="2065AD65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40B1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2835" w:type="dxa"/>
            <w:gridSpan w:val="3"/>
          </w:tcPr>
          <w:p w14:paraId="77B9CF75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2835" w:type="dxa"/>
            <w:gridSpan w:val="3"/>
          </w:tcPr>
          <w:p w14:paraId="2E58BE8E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2835" w:type="dxa"/>
            <w:gridSpan w:val="3"/>
          </w:tcPr>
          <w:p w14:paraId="1D931B97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2835" w:type="dxa"/>
            <w:gridSpan w:val="3"/>
          </w:tcPr>
          <w:p w14:paraId="2F9626B4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</w:tr>
      <w:tr w:rsidR="00E14288" w:rsidRPr="005540B1" w14:paraId="3F1DDE64" w14:textId="77777777" w:rsidTr="00EC219D">
        <w:tc>
          <w:tcPr>
            <w:tcW w:w="4500" w:type="dxa"/>
            <w:vMerge/>
          </w:tcPr>
          <w:p w14:paraId="7297A8B0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 w14:paraId="3F2F6D63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Нац. бюджет</w:t>
            </w:r>
          </w:p>
        </w:tc>
        <w:tc>
          <w:tcPr>
            <w:tcW w:w="945" w:type="dxa"/>
            <w:vAlign w:val="center"/>
          </w:tcPr>
          <w:p w14:paraId="198435C6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Доноры</w:t>
            </w:r>
          </w:p>
        </w:tc>
        <w:tc>
          <w:tcPr>
            <w:tcW w:w="945" w:type="dxa"/>
            <w:vAlign w:val="center"/>
          </w:tcPr>
          <w:p w14:paraId="000FB95C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Дефицит</w:t>
            </w:r>
          </w:p>
        </w:tc>
        <w:tc>
          <w:tcPr>
            <w:tcW w:w="945" w:type="dxa"/>
            <w:vAlign w:val="center"/>
          </w:tcPr>
          <w:p w14:paraId="7646BC62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Нац. бюджет</w:t>
            </w:r>
          </w:p>
        </w:tc>
        <w:tc>
          <w:tcPr>
            <w:tcW w:w="990" w:type="dxa"/>
            <w:vAlign w:val="center"/>
          </w:tcPr>
          <w:p w14:paraId="12B60420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Доноры</w:t>
            </w:r>
          </w:p>
        </w:tc>
        <w:tc>
          <w:tcPr>
            <w:tcW w:w="900" w:type="dxa"/>
            <w:vAlign w:val="center"/>
          </w:tcPr>
          <w:p w14:paraId="6BC8FEF0" w14:textId="77777777" w:rsidR="00E14288" w:rsidRPr="00EC219D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219D">
              <w:rPr>
                <w:rFonts w:ascii="Times New Roman" w:hAnsi="Times New Roman" w:cs="Times New Roman"/>
                <w:b/>
                <w:sz w:val="16"/>
                <w:szCs w:val="16"/>
              </w:rPr>
              <w:t>Дефицит</w:t>
            </w:r>
          </w:p>
        </w:tc>
        <w:tc>
          <w:tcPr>
            <w:tcW w:w="945" w:type="dxa"/>
            <w:vAlign w:val="center"/>
          </w:tcPr>
          <w:p w14:paraId="18E929B0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Нац. бюджет</w:t>
            </w:r>
          </w:p>
        </w:tc>
        <w:tc>
          <w:tcPr>
            <w:tcW w:w="945" w:type="dxa"/>
            <w:vAlign w:val="center"/>
          </w:tcPr>
          <w:p w14:paraId="43F0F903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Доноры</w:t>
            </w:r>
          </w:p>
        </w:tc>
        <w:tc>
          <w:tcPr>
            <w:tcW w:w="945" w:type="dxa"/>
            <w:vAlign w:val="center"/>
          </w:tcPr>
          <w:p w14:paraId="0E8DCB26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Дефицит</w:t>
            </w:r>
          </w:p>
        </w:tc>
        <w:tc>
          <w:tcPr>
            <w:tcW w:w="945" w:type="dxa"/>
            <w:vAlign w:val="center"/>
          </w:tcPr>
          <w:p w14:paraId="70B72939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Нац. бюджет</w:t>
            </w:r>
          </w:p>
        </w:tc>
        <w:tc>
          <w:tcPr>
            <w:tcW w:w="945" w:type="dxa"/>
            <w:vAlign w:val="center"/>
          </w:tcPr>
          <w:p w14:paraId="3DB5674B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Доноры</w:t>
            </w:r>
          </w:p>
        </w:tc>
        <w:tc>
          <w:tcPr>
            <w:tcW w:w="945" w:type="dxa"/>
            <w:vAlign w:val="center"/>
          </w:tcPr>
          <w:p w14:paraId="73487E30" w14:textId="77777777" w:rsidR="00E14288" w:rsidRPr="00203880" w:rsidRDefault="00E14288" w:rsidP="003547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880">
              <w:rPr>
                <w:rFonts w:ascii="Times New Roman" w:hAnsi="Times New Roman" w:cs="Times New Roman"/>
                <w:b/>
                <w:sz w:val="18"/>
                <w:szCs w:val="18"/>
              </w:rPr>
              <w:t>Дефицит</w:t>
            </w:r>
          </w:p>
        </w:tc>
      </w:tr>
      <w:tr w:rsidR="00604FF1" w:rsidRPr="005540B1" w14:paraId="19FEFCA6" w14:textId="77777777" w:rsidTr="00EC219D">
        <w:tc>
          <w:tcPr>
            <w:tcW w:w="15840" w:type="dxa"/>
            <w:gridSpan w:val="13"/>
          </w:tcPr>
          <w:p w14:paraId="4BE48CEB" w14:textId="082A269D" w:rsidR="00604FF1" w:rsidRPr="00203880" w:rsidRDefault="00604FF1" w:rsidP="00604FF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540B1">
              <w:rPr>
                <w:rFonts w:ascii="Times New Roman" w:hAnsi="Times New Roman" w:cs="Times New Roman"/>
                <w:b/>
                <w:sz w:val="20"/>
                <w:szCs w:val="20"/>
              </w:rPr>
              <w:t>Задача 1</w:t>
            </w:r>
          </w:p>
        </w:tc>
      </w:tr>
      <w:tr w:rsidR="00E14288" w:rsidRPr="005540B1" w14:paraId="1A67D4B3" w14:textId="77777777" w:rsidTr="00EC219D">
        <w:tc>
          <w:tcPr>
            <w:tcW w:w="4500" w:type="dxa"/>
          </w:tcPr>
          <w:p w14:paraId="65E63D03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B1">
              <w:rPr>
                <w:rFonts w:ascii="Times New Roman" w:hAnsi="Times New Roman" w:cs="Times New Roman"/>
                <w:sz w:val="20"/>
                <w:szCs w:val="20"/>
              </w:rPr>
              <w:t>1.2 Обеспечение бесперебойных поставок тестов и принадлежностей для быстрой диагностики туберкулеза для пенитенциарной системы</w:t>
            </w:r>
          </w:p>
        </w:tc>
        <w:tc>
          <w:tcPr>
            <w:tcW w:w="945" w:type="dxa"/>
          </w:tcPr>
          <w:p w14:paraId="4CBF7F25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97D8D39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15 764 000</w:t>
            </w:r>
          </w:p>
        </w:tc>
        <w:tc>
          <w:tcPr>
            <w:tcW w:w="945" w:type="dxa"/>
          </w:tcPr>
          <w:p w14:paraId="109FBB4C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5AE10230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051DD265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54 060 650</w:t>
            </w:r>
          </w:p>
        </w:tc>
        <w:tc>
          <w:tcPr>
            <w:tcW w:w="900" w:type="dxa"/>
          </w:tcPr>
          <w:p w14:paraId="641D0FD5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49F53F7C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0916178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50 941 800</w:t>
            </w:r>
          </w:p>
        </w:tc>
        <w:tc>
          <w:tcPr>
            <w:tcW w:w="945" w:type="dxa"/>
          </w:tcPr>
          <w:p w14:paraId="4455283D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1F5785E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26 121 550</w:t>
            </w:r>
          </w:p>
        </w:tc>
        <w:tc>
          <w:tcPr>
            <w:tcW w:w="945" w:type="dxa"/>
          </w:tcPr>
          <w:p w14:paraId="11175736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26 121 550</w:t>
            </w:r>
          </w:p>
        </w:tc>
        <w:tc>
          <w:tcPr>
            <w:tcW w:w="945" w:type="dxa"/>
          </w:tcPr>
          <w:p w14:paraId="47797AC6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E14288" w:rsidRPr="005540B1" w14:paraId="5D7C25B9" w14:textId="77777777" w:rsidTr="00EC219D">
        <w:tc>
          <w:tcPr>
            <w:tcW w:w="4500" w:type="dxa"/>
          </w:tcPr>
          <w:p w14:paraId="1C57978B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B1">
              <w:rPr>
                <w:rFonts w:ascii="Times New Roman" w:hAnsi="Times New Roman" w:cs="Times New Roman"/>
                <w:sz w:val="20"/>
                <w:szCs w:val="20"/>
              </w:rPr>
              <w:t>1.3 Обеспечение технического обслуживания лабораторного оборудования и вентиляционных систем в бактериологических референс лабораториях, в отделениях и зонах повышенного биологического риска</w:t>
            </w:r>
          </w:p>
        </w:tc>
        <w:tc>
          <w:tcPr>
            <w:tcW w:w="945" w:type="dxa"/>
          </w:tcPr>
          <w:p w14:paraId="675D7208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50 947 618</w:t>
            </w:r>
          </w:p>
        </w:tc>
        <w:tc>
          <w:tcPr>
            <w:tcW w:w="945" w:type="dxa"/>
          </w:tcPr>
          <w:p w14:paraId="06EC8223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60 532 850</w:t>
            </w:r>
          </w:p>
        </w:tc>
        <w:tc>
          <w:tcPr>
            <w:tcW w:w="945" w:type="dxa"/>
          </w:tcPr>
          <w:p w14:paraId="3A493B67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20 000 000</w:t>
            </w:r>
          </w:p>
        </w:tc>
        <w:tc>
          <w:tcPr>
            <w:tcW w:w="945" w:type="dxa"/>
          </w:tcPr>
          <w:p w14:paraId="2678AB39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56 042 380</w:t>
            </w:r>
          </w:p>
        </w:tc>
        <w:tc>
          <w:tcPr>
            <w:tcW w:w="990" w:type="dxa"/>
          </w:tcPr>
          <w:p w14:paraId="7E4D6426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</w:tcPr>
          <w:p w14:paraId="7A07F9B7" w14:textId="2432D9E2" w:rsidR="00E14288" w:rsidRPr="008F7A56" w:rsidRDefault="00E14288" w:rsidP="00EC21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20000000</w:t>
            </w:r>
          </w:p>
        </w:tc>
        <w:tc>
          <w:tcPr>
            <w:tcW w:w="945" w:type="dxa"/>
          </w:tcPr>
          <w:p w14:paraId="1F03E1AF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61 646 618</w:t>
            </w:r>
          </w:p>
        </w:tc>
        <w:tc>
          <w:tcPr>
            <w:tcW w:w="945" w:type="dxa"/>
          </w:tcPr>
          <w:p w14:paraId="72F5C851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5A12D225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20 000 000</w:t>
            </w:r>
          </w:p>
        </w:tc>
        <w:tc>
          <w:tcPr>
            <w:tcW w:w="945" w:type="dxa"/>
          </w:tcPr>
          <w:p w14:paraId="1F14C610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67 811 280</w:t>
            </w:r>
          </w:p>
        </w:tc>
        <w:tc>
          <w:tcPr>
            <w:tcW w:w="945" w:type="dxa"/>
          </w:tcPr>
          <w:p w14:paraId="7AFF0782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4D0132B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20 000 000</w:t>
            </w:r>
          </w:p>
        </w:tc>
      </w:tr>
      <w:tr w:rsidR="00E14288" w:rsidRPr="005540B1" w14:paraId="665C225E" w14:textId="77777777" w:rsidTr="00EC219D">
        <w:tc>
          <w:tcPr>
            <w:tcW w:w="4500" w:type="dxa"/>
          </w:tcPr>
          <w:p w14:paraId="7EC00085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B1">
              <w:rPr>
                <w:rFonts w:ascii="Times New Roman" w:hAnsi="Times New Roman" w:cs="Times New Roman"/>
                <w:sz w:val="20"/>
                <w:szCs w:val="20"/>
              </w:rPr>
              <w:t>1.4 Обучение и сертификация местных инженеров с целью проведения технического обслуживания и ремонта лабораторного оборудования в бактериологических лабораториях: шкафов биобезопасности и систем вентиляции</w:t>
            </w:r>
          </w:p>
        </w:tc>
        <w:tc>
          <w:tcPr>
            <w:tcW w:w="945" w:type="dxa"/>
          </w:tcPr>
          <w:p w14:paraId="26E0F81D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F9B2583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DFAD62D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8 000 000</w:t>
            </w:r>
          </w:p>
        </w:tc>
        <w:tc>
          <w:tcPr>
            <w:tcW w:w="945" w:type="dxa"/>
          </w:tcPr>
          <w:p w14:paraId="3AF7500B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3CC68BB7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7 861 000</w:t>
            </w:r>
          </w:p>
        </w:tc>
        <w:tc>
          <w:tcPr>
            <w:tcW w:w="900" w:type="dxa"/>
          </w:tcPr>
          <w:p w14:paraId="27EABD87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375B9E8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669FFA2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7 861 000</w:t>
            </w:r>
          </w:p>
        </w:tc>
        <w:tc>
          <w:tcPr>
            <w:tcW w:w="945" w:type="dxa"/>
          </w:tcPr>
          <w:p w14:paraId="2B809131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E4EC623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F14158A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308B2D78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E14288" w:rsidRPr="005540B1" w14:paraId="3667CAB6" w14:textId="77777777" w:rsidTr="00EC219D">
        <w:tc>
          <w:tcPr>
            <w:tcW w:w="4500" w:type="dxa"/>
          </w:tcPr>
          <w:p w14:paraId="5F35D641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B1">
              <w:rPr>
                <w:rFonts w:ascii="Times New Roman" w:hAnsi="Times New Roman" w:cs="Times New Roman"/>
                <w:sz w:val="20"/>
                <w:szCs w:val="20"/>
              </w:rPr>
              <w:t xml:space="preserve">1.7 Обеспечение бесперебойных поставок противотуберкулезных препаратов для лечение пациентов с М/ШЛУ-ТБ, для пенитенциарной системы </w:t>
            </w:r>
          </w:p>
        </w:tc>
        <w:tc>
          <w:tcPr>
            <w:tcW w:w="945" w:type="dxa"/>
          </w:tcPr>
          <w:p w14:paraId="2F695BF9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7FA298F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98 749 700</w:t>
            </w:r>
          </w:p>
        </w:tc>
        <w:tc>
          <w:tcPr>
            <w:tcW w:w="945" w:type="dxa"/>
          </w:tcPr>
          <w:p w14:paraId="53194570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B89C883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3FDDEF81" w14:textId="5BF1722A" w:rsidR="00E14288" w:rsidRPr="008F7A56" w:rsidRDefault="00E14288" w:rsidP="007B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443388400</w:t>
            </w:r>
          </w:p>
        </w:tc>
        <w:tc>
          <w:tcPr>
            <w:tcW w:w="900" w:type="dxa"/>
          </w:tcPr>
          <w:p w14:paraId="4039FE42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BDBEE04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F46C03C" w14:textId="4C3ED5B7" w:rsidR="00E14288" w:rsidRPr="008F7A56" w:rsidRDefault="00E14288" w:rsidP="007B054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122402000</w:t>
            </w:r>
          </w:p>
        </w:tc>
        <w:tc>
          <w:tcPr>
            <w:tcW w:w="945" w:type="dxa"/>
          </w:tcPr>
          <w:p w14:paraId="28497ACA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5F86BAE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4647B2F3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47A8EBB8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E14288" w:rsidRPr="005540B1" w14:paraId="5F1C0725" w14:textId="77777777" w:rsidTr="00EC219D">
        <w:tc>
          <w:tcPr>
            <w:tcW w:w="4500" w:type="dxa"/>
          </w:tcPr>
          <w:p w14:paraId="46D86BED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B1">
              <w:rPr>
                <w:rFonts w:ascii="Times New Roman" w:hAnsi="Times New Roman" w:cs="Times New Roman"/>
                <w:sz w:val="20"/>
                <w:szCs w:val="20"/>
              </w:rPr>
              <w:t>1.8 Обучение специалистов ПТО и ПМСП по менеджменту ТБ и ЛУ-ТБ, включая персонал пенитенциарной системы</w:t>
            </w:r>
          </w:p>
        </w:tc>
        <w:tc>
          <w:tcPr>
            <w:tcW w:w="945" w:type="dxa"/>
          </w:tcPr>
          <w:p w14:paraId="77B14BB2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48 362 125</w:t>
            </w:r>
          </w:p>
        </w:tc>
        <w:tc>
          <w:tcPr>
            <w:tcW w:w="945" w:type="dxa"/>
          </w:tcPr>
          <w:p w14:paraId="67B1DB61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13 247 850</w:t>
            </w:r>
          </w:p>
        </w:tc>
        <w:tc>
          <w:tcPr>
            <w:tcW w:w="945" w:type="dxa"/>
          </w:tcPr>
          <w:p w14:paraId="2D3A11D9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7CB841B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48 362 125</w:t>
            </w:r>
          </w:p>
        </w:tc>
        <w:tc>
          <w:tcPr>
            <w:tcW w:w="990" w:type="dxa"/>
          </w:tcPr>
          <w:p w14:paraId="4597C438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8 148 000</w:t>
            </w:r>
          </w:p>
        </w:tc>
        <w:tc>
          <w:tcPr>
            <w:tcW w:w="900" w:type="dxa"/>
          </w:tcPr>
          <w:p w14:paraId="6A4F6BF6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3EDB17C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48 362 125</w:t>
            </w:r>
          </w:p>
        </w:tc>
        <w:tc>
          <w:tcPr>
            <w:tcW w:w="945" w:type="dxa"/>
          </w:tcPr>
          <w:p w14:paraId="50BE91DA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8 148 000</w:t>
            </w:r>
          </w:p>
        </w:tc>
        <w:tc>
          <w:tcPr>
            <w:tcW w:w="945" w:type="dxa"/>
          </w:tcPr>
          <w:p w14:paraId="39EE2DB0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15B9C72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48 362 125</w:t>
            </w:r>
          </w:p>
        </w:tc>
        <w:tc>
          <w:tcPr>
            <w:tcW w:w="945" w:type="dxa"/>
          </w:tcPr>
          <w:p w14:paraId="328D7D48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8 148 000</w:t>
            </w:r>
          </w:p>
        </w:tc>
        <w:tc>
          <w:tcPr>
            <w:tcW w:w="945" w:type="dxa"/>
          </w:tcPr>
          <w:p w14:paraId="790C1203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</w:p>
        </w:tc>
      </w:tr>
      <w:tr w:rsidR="00E14288" w:rsidRPr="005540B1" w14:paraId="22047A99" w14:textId="77777777" w:rsidTr="00EC219D">
        <w:tc>
          <w:tcPr>
            <w:tcW w:w="4500" w:type="dxa"/>
          </w:tcPr>
          <w:p w14:paraId="514AF706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40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1.9 Расширение внедрения мероприятий по активному мониторингу безопасности использования противотуберкулезных препаратов, в том числе: координация мероприятий, обновление лекарственного модуля НРБТ, обучение персонала по вопросам фармаконадзора и аМБП и по использованию лекарственного модуля</w:t>
            </w:r>
          </w:p>
        </w:tc>
        <w:tc>
          <w:tcPr>
            <w:tcW w:w="945" w:type="dxa"/>
          </w:tcPr>
          <w:p w14:paraId="43F38030" w14:textId="7978CCF6" w:rsidR="00E14288" w:rsidRPr="008F7A5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133052558</w:t>
            </w:r>
          </w:p>
        </w:tc>
        <w:tc>
          <w:tcPr>
            <w:tcW w:w="945" w:type="dxa"/>
          </w:tcPr>
          <w:p w14:paraId="6F899790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45763 200</w:t>
            </w:r>
          </w:p>
        </w:tc>
        <w:tc>
          <w:tcPr>
            <w:tcW w:w="945" w:type="dxa"/>
          </w:tcPr>
          <w:p w14:paraId="0C885F42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6BB28D6" w14:textId="39080A70" w:rsidR="00E14288" w:rsidRPr="008F7A5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133052558</w:t>
            </w:r>
          </w:p>
        </w:tc>
        <w:tc>
          <w:tcPr>
            <w:tcW w:w="990" w:type="dxa"/>
          </w:tcPr>
          <w:p w14:paraId="351A8CFC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18582 200</w:t>
            </w:r>
          </w:p>
        </w:tc>
        <w:tc>
          <w:tcPr>
            <w:tcW w:w="900" w:type="dxa"/>
          </w:tcPr>
          <w:p w14:paraId="569F60F5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3B5786CC" w14:textId="04854C2C" w:rsidR="00E14288" w:rsidRPr="008F7A5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133052558</w:t>
            </w:r>
          </w:p>
        </w:tc>
        <w:tc>
          <w:tcPr>
            <w:tcW w:w="945" w:type="dxa"/>
          </w:tcPr>
          <w:p w14:paraId="27DB1A40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11173 400</w:t>
            </w:r>
          </w:p>
        </w:tc>
        <w:tc>
          <w:tcPr>
            <w:tcW w:w="945" w:type="dxa"/>
          </w:tcPr>
          <w:p w14:paraId="1B8AD06F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376AFB3B" w14:textId="08C7F387" w:rsidR="00E14288" w:rsidRPr="008F7A5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133052558</w:t>
            </w:r>
          </w:p>
        </w:tc>
        <w:tc>
          <w:tcPr>
            <w:tcW w:w="945" w:type="dxa"/>
          </w:tcPr>
          <w:p w14:paraId="1E34D629" w14:textId="77777777" w:rsidR="00E14288" w:rsidRPr="008F7A5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45" w:type="dxa"/>
          </w:tcPr>
          <w:p w14:paraId="6C08A08F" w14:textId="77777777" w:rsidR="00E14288" w:rsidRPr="005540B1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7A5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604FF1" w:rsidRPr="005540B1" w14:paraId="1D8DD3FA" w14:textId="77777777" w:rsidTr="00EC219D">
        <w:tc>
          <w:tcPr>
            <w:tcW w:w="15840" w:type="dxa"/>
            <w:gridSpan w:val="13"/>
          </w:tcPr>
          <w:p w14:paraId="0FADE744" w14:textId="330F1BA4" w:rsidR="00604FF1" w:rsidRPr="008F7A56" w:rsidRDefault="00604FF1" w:rsidP="003547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C96">
              <w:rPr>
                <w:rFonts w:ascii="Times New Roman" w:hAnsi="Times New Roman" w:cs="Times New Roman"/>
                <w:b/>
                <w:sz w:val="20"/>
                <w:szCs w:val="20"/>
              </w:rPr>
              <w:t>Задача 2</w:t>
            </w:r>
          </w:p>
        </w:tc>
      </w:tr>
      <w:tr w:rsidR="00E14288" w:rsidRPr="00597C96" w14:paraId="71986504" w14:textId="77777777" w:rsidTr="00EC219D">
        <w:tc>
          <w:tcPr>
            <w:tcW w:w="4500" w:type="dxa"/>
          </w:tcPr>
          <w:p w14:paraId="0D36893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2.1 Техническое содействие в пересмотре механизмов оплаты провайдеров оказывающих противотуберкулезную помощь населению для повышения эффективности системы</w:t>
            </w:r>
          </w:p>
        </w:tc>
        <w:tc>
          <w:tcPr>
            <w:tcW w:w="945" w:type="dxa"/>
          </w:tcPr>
          <w:p w14:paraId="003B1AA4" w14:textId="101E1233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7679AB4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4200000</w:t>
            </w:r>
          </w:p>
        </w:tc>
        <w:tc>
          <w:tcPr>
            <w:tcW w:w="945" w:type="dxa"/>
          </w:tcPr>
          <w:p w14:paraId="34AC378E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4DDC215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10F90AB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3D1DA43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35329F1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720EE50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407591B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7964E91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2F4EBA4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7A4CDBC7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288" w:rsidRPr="00597C96" w14:paraId="061744B4" w14:textId="77777777" w:rsidTr="00EC219D">
        <w:tc>
          <w:tcPr>
            <w:tcW w:w="4500" w:type="dxa"/>
          </w:tcPr>
          <w:p w14:paraId="7E6830E0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2.2 Техническое содействие в разработке и внедрении механизмов стимулирования для работников противотуберкулезной службы (врачи, медсестры, сотрудники лабораторий)</w:t>
            </w:r>
          </w:p>
        </w:tc>
        <w:tc>
          <w:tcPr>
            <w:tcW w:w="945" w:type="dxa"/>
          </w:tcPr>
          <w:p w14:paraId="7E280D4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6191C85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4200000</w:t>
            </w:r>
          </w:p>
        </w:tc>
        <w:tc>
          <w:tcPr>
            <w:tcW w:w="945" w:type="dxa"/>
          </w:tcPr>
          <w:p w14:paraId="30BF74F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3BF70CE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FB61C30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14:paraId="586407F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1093A21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0ABD5D9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1DBD180B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7A5026D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6FEE5BC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26437CCB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288" w:rsidRPr="00597C96" w14:paraId="526C2D79" w14:textId="77777777" w:rsidTr="00EC219D">
        <w:tc>
          <w:tcPr>
            <w:tcW w:w="4500" w:type="dxa"/>
          </w:tcPr>
          <w:p w14:paraId="45B34F6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2.3 Обучение руководителей региональных противотуберкулезных диспансеров и сети ПМСП, ориентированное на управленческие и практические аспекты, для поддержки внедрения новых платежных механизмов в учреждениях по борьбе с туберкулезом</w:t>
            </w:r>
          </w:p>
        </w:tc>
        <w:tc>
          <w:tcPr>
            <w:tcW w:w="945" w:type="dxa"/>
          </w:tcPr>
          <w:p w14:paraId="0AFA347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3BBB20A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4E090B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61BB0F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6F60C55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12 386 500</w:t>
            </w:r>
          </w:p>
        </w:tc>
        <w:tc>
          <w:tcPr>
            <w:tcW w:w="900" w:type="dxa"/>
          </w:tcPr>
          <w:p w14:paraId="6E7EF9E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8473E8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036D93A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8 148 000</w:t>
            </w:r>
          </w:p>
        </w:tc>
        <w:tc>
          <w:tcPr>
            <w:tcW w:w="945" w:type="dxa"/>
          </w:tcPr>
          <w:p w14:paraId="5338362C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E83275B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889891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4F5D896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288" w:rsidRPr="00597C96" w14:paraId="1B2BB404" w14:textId="77777777" w:rsidTr="00EC219D">
        <w:tc>
          <w:tcPr>
            <w:tcW w:w="4500" w:type="dxa"/>
          </w:tcPr>
          <w:p w14:paraId="1B194FA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2.4 Обучение руководителей региональных противотуберкулезных диспансеров и сети ПМСП в реализации концепции амбулаторной модели ухода за больными туберкулеза и по оптимизации коечного фонда</w:t>
            </w:r>
          </w:p>
        </w:tc>
        <w:tc>
          <w:tcPr>
            <w:tcW w:w="945" w:type="dxa"/>
          </w:tcPr>
          <w:p w14:paraId="351090B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578C3297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6 619 900</w:t>
            </w:r>
          </w:p>
        </w:tc>
        <w:tc>
          <w:tcPr>
            <w:tcW w:w="945" w:type="dxa"/>
          </w:tcPr>
          <w:p w14:paraId="387DA59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474690C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792D3D5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</w:tcPr>
          <w:p w14:paraId="5796458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3AF57A7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66748AB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8 148 000</w:t>
            </w:r>
          </w:p>
        </w:tc>
        <w:tc>
          <w:tcPr>
            <w:tcW w:w="945" w:type="dxa"/>
          </w:tcPr>
          <w:p w14:paraId="735BBF7B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1CDB92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C452DE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8 148 000</w:t>
            </w:r>
          </w:p>
        </w:tc>
        <w:tc>
          <w:tcPr>
            <w:tcW w:w="945" w:type="dxa"/>
          </w:tcPr>
          <w:p w14:paraId="34FE4F0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288" w:rsidRPr="00597C96" w14:paraId="1EFC1046" w14:textId="77777777" w:rsidTr="00EC219D">
        <w:tc>
          <w:tcPr>
            <w:tcW w:w="4500" w:type="dxa"/>
          </w:tcPr>
          <w:p w14:paraId="76A5AE7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 Создание при ННЦФ Центра клинического наставничества и повышения квалификации медицинского персонала с использованием дистанционных технологий по оказанию качественных услуг по уходу и лечению больных с туберкулезом и лекарственно-устойчивым туберкулезом</w:t>
            </w:r>
          </w:p>
        </w:tc>
        <w:tc>
          <w:tcPr>
            <w:tcW w:w="945" w:type="dxa"/>
          </w:tcPr>
          <w:p w14:paraId="4D22906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420A876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12 346 600</w:t>
            </w:r>
          </w:p>
        </w:tc>
        <w:tc>
          <w:tcPr>
            <w:tcW w:w="945" w:type="dxa"/>
          </w:tcPr>
          <w:p w14:paraId="28FA296E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01429B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409139A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31 158 400</w:t>
            </w:r>
          </w:p>
        </w:tc>
        <w:tc>
          <w:tcPr>
            <w:tcW w:w="900" w:type="dxa"/>
          </w:tcPr>
          <w:p w14:paraId="1E5CC1C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7821B5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560FAE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32 908 400</w:t>
            </w:r>
          </w:p>
        </w:tc>
        <w:tc>
          <w:tcPr>
            <w:tcW w:w="945" w:type="dxa"/>
          </w:tcPr>
          <w:p w14:paraId="74875A1E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799330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B4840D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32 908 400</w:t>
            </w:r>
          </w:p>
        </w:tc>
        <w:tc>
          <w:tcPr>
            <w:tcW w:w="945" w:type="dxa"/>
          </w:tcPr>
          <w:p w14:paraId="3DEBED5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4FF1" w:rsidRPr="00597C96" w14:paraId="65AE0267" w14:textId="77777777" w:rsidTr="00EC219D">
        <w:tc>
          <w:tcPr>
            <w:tcW w:w="15840" w:type="dxa"/>
            <w:gridSpan w:val="13"/>
          </w:tcPr>
          <w:p w14:paraId="559C3BC6" w14:textId="6583D5D4" w:rsidR="00604FF1" w:rsidRPr="00597C96" w:rsidRDefault="00604FF1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Pr="00597C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14288" w:rsidRPr="00597C96" w14:paraId="1F12E07E" w14:textId="77777777" w:rsidTr="00EC219D">
        <w:tc>
          <w:tcPr>
            <w:tcW w:w="4500" w:type="dxa"/>
          </w:tcPr>
          <w:p w14:paraId="03B2EE9B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3.1 Поддержка мероприятий по усовершенствование НРБТ в соответствии с последними рекомендациями ВОЗ</w:t>
            </w:r>
          </w:p>
        </w:tc>
        <w:tc>
          <w:tcPr>
            <w:tcW w:w="945" w:type="dxa"/>
          </w:tcPr>
          <w:p w14:paraId="027862D0" w14:textId="0621EC28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5F73895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9 765 000</w:t>
            </w:r>
          </w:p>
        </w:tc>
        <w:tc>
          <w:tcPr>
            <w:tcW w:w="945" w:type="dxa"/>
          </w:tcPr>
          <w:p w14:paraId="6E69EA1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0473AE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77AB2D7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6 302 800</w:t>
            </w:r>
          </w:p>
        </w:tc>
        <w:tc>
          <w:tcPr>
            <w:tcW w:w="900" w:type="dxa"/>
          </w:tcPr>
          <w:p w14:paraId="7CFB488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4F1B36D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213CC6A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4 552 800</w:t>
            </w:r>
          </w:p>
        </w:tc>
        <w:tc>
          <w:tcPr>
            <w:tcW w:w="945" w:type="dxa"/>
          </w:tcPr>
          <w:p w14:paraId="2C95F77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0428A5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3C1C860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</w:tcPr>
          <w:p w14:paraId="1C31017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E14288" w:rsidRPr="00597C96" w14:paraId="76AED1BA" w14:textId="77777777" w:rsidTr="00EC219D">
        <w:tc>
          <w:tcPr>
            <w:tcW w:w="4500" w:type="dxa"/>
          </w:tcPr>
          <w:p w14:paraId="323B119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3.2 Обслуживание электронной национальной информационной системы по туберкулезу</w:t>
            </w:r>
          </w:p>
        </w:tc>
        <w:tc>
          <w:tcPr>
            <w:tcW w:w="945" w:type="dxa"/>
          </w:tcPr>
          <w:p w14:paraId="1F1DF90A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27 849 335</w:t>
            </w:r>
          </w:p>
        </w:tc>
        <w:tc>
          <w:tcPr>
            <w:tcW w:w="945" w:type="dxa"/>
          </w:tcPr>
          <w:p w14:paraId="5BE7B6CB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10 207 050</w:t>
            </w:r>
          </w:p>
        </w:tc>
        <w:tc>
          <w:tcPr>
            <w:tcW w:w="945" w:type="dxa"/>
          </w:tcPr>
          <w:p w14:paraId="635C727E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CA1496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30 634 269</w:t>
            </w:r>
          </w:p>
        </w:tc>
        <w:tc>
          <w:tcPr>
            <w:tcW w:w="990" w:type="dxa"/>
          </w:tcPr>
          <w:p w14:paraId="028ACBE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</w:tcPr>
          <w:p w14:paraId="21BCB5E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5F9A6097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33 697 695</w:t>
            </w:r>
          </w:p>
        </w:tc>
        <w:tc>
          <w:tcPr>
            <w:tcW w:w="945" w:type="dxa"/>
          </w:tcPr>
          <w:p w14:paraId="4078684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64478E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BE00AD7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37 067 465</w:t>
            </w:r>
          </w:p>
        </w:tc>
        <w:tc>
          <w:tcPr>
            <w:tcW w:w="945" w:type="dxa"/>
          </w:tcPr>
          <w:p w14:paraId="0D0CC5C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</w:tcPr>
          <w:p w14:paraId="3E0C3DE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E14288" w:rsidRPr="00597C96" w14:paraId="0D9F3798" w14:textId="77777777" w:rsidTr="00EC219D">
        <w:tc>
          <w:tcPr>
            <w:tcW w:w="4500" w:type="dxa"/>
          </w:tcPr>
          <w:p w14:paraId="33CDA948" w14:textId="1CBAD5D8" w:rsidR="00E14288" w:rsidRPr="00597C96" w:rsidRDefault="00E14288" w:rsidP="007B05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3.4 Поддержка в проведении мониторинговых визитов центральным подразделением НТП для непрерывного мониторинга и оценки во время переходно</w:t>
            </w:r>
            <w:r w:rsidR="007B0543">
              <w:rPr>
                <w:rFonts w:ascii="Times New Roman" w:hAnsi="Times New Roman" w:cs="Times New Roman"/>
                <w:sz w:val="20"/>
                <w:szCs w:val="20"/>
              </w:rPr>
              <w:t>го периода</w:t>
            </w:r>
          </w:p>
        </w:tc>
        <w:tc>
          <w:tcPr>
            <w:tcW w:w="945" w:type="dxa"/>
          </w:tcPr>
          <w:p w14:paraId="73E40B0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3 051 430</w:t>
            </w:r>
          </w:p>
        </w:tc>
        <w:tc>
          <w:tcPr>
            <w:tcW w:w="945" w:type="dxa"/>
          </w:tcPr>
          <w:p w14:paraId="0E878CD2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31 204 250</w:t>
            </w:r>
          </w:p>
        </w:tc>
        <w:tc>
          <w:tcPr>
            <w:tcW w:w="945" w:type="dxa"/>
          </w:tcPr>
          <w:p w14:paraId="01320B37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7E4F5EC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3 356 573</w:t>
            </w:r>
          </w:p>
        </w:tc>
        <w:tc>
          <w:tcPr>
            <w:tcW w:w="990" w:type="dxa"/>
          </w:tcPr>
          <w:p w14:paraId="25BB60B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24 595 200</w:t>
            </w:r>
          </w:p>
        </w:tc>
        <w:tc>
          <w:tcPr>
            <w:tcW w:w="900" w:type="dxa"/>
          </w:tcPr>
          <w:p w14:paraId="207AF75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870C0A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3 692 231</w:t>
            </w:r>
          </w:p>
        </w:tc>
        <w:tc>
          <w:tcPr>
            <w:tcW w:w="945" w:type="dxa"/>
          </w:tcPr>
          <w:p w14:paraId="089B383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24 595 200</w:t>
            </w:r>
          </w:p>
        </w:tc>
        <w:tc>
          <w:tcPr>
            <w:tcW w:w="945" w:type="dxa"/>
          </w:tcPr>
          <w:p w14:paraId="45C820EC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9A3C52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4 061 454</w:t>
            </w:r>
          </w:p>
        </w:tc>
        <w:tc>
          <w:tcPr>
            <w:tcW w:w="945" w:type="dxa"/>
          </w:tcPr>
          <w:p w14:paraId="0ACED3E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3BA39530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4FF1" w:rsidRPr="00597C96" w14:paraId="773581B5" w14:textId="77777777" w:rsidTr="00EC219D">
        <w:tc>
          <w:tcPr>
            <w:tcW w:w="14895" w:type="dxa"/>
            <w:gridSpan w:val="12"/>
          </w:tcPr>
          <w:p w14:paraId="1BFE5A90" w14:textId="42DA20B7" w:rsidR="00604FF1" w:rsidRPr="00597C96" w:rsidRDefault="00604FF1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</w:t>
            </w:r>
            <w:r w:rsidRPr="00597C9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945" w:type="dxa"/>
          </w:tcPr>
          <w:p w14:paraId="07E4FFC9" w14:textId="77777777" w:rsidR="00604FF1" w:rsidRPr="00597C96" w:rsidRDefault="00604FF1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288" w:rsidRPr="00597C96" w14:paraId="384B3B6F" w14:textId="77777777" w:rsidTr="00EC219D">
        <w:tc>
          <w:tcPr>
            <w:tcW w:w="4500" w:type="dxa"/>
          </w:tcPr>
          <w:p w14:paraId="61DD4D5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4.1 Оказание технического содействия в расчете стоимости услуг НПО, участвующих в мероприятиях по борьбе с туберкулезом</w:t>
            </w:r>
          </w:p>
        </w:tc>
        <w:tc>
          <w:tcPr>
            <w:tcW w:w="945" w:type="dxa"/>
          </w:tcPr>
          <w:p w14:paraId="01EBF512" w14:textId="7C9F24B5" w:rsidR="00E14288" w:rsidRPr="00597C96" w:rsidRDefault="00E14288" w:rsidP="00604FF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5425627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393E7E0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D753EB0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05F2BA9C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4 196 500</w:t>
            </w:r>
          </w:p>
        </w:tc>
        <w:tc>
          <w:tcPr>
            <w:tcW w:w="900" w:type="dxa"/>
          </w:tcPr>
          <w:p w14:paraId="4BEDAFE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88180A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B31D480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61B1E4C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</w:tcPr>
          <w:p w14:paraId="00A27B9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</w:tcPr>
          <w:p w14:paraId="746B11E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</w:tcPr>
          <w:p w14:paraId="4A9B063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88" w:rsidRPr="00597C96" w14:paraId="3E339DA9" w14:textId="77777777" w:rsidTr="00EC219D">
        <w:tc>
          <w:tcPr>
            <w:tcW w:w="4500" w:type="dxa"/>
          </w:tcPr>
          <w:p w14:paraId="3933F30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4.2 Обучение представителей организаций сообществ управлению программами, стратегическому планированию и развитию организации и проведению мероприятий по контролю туберкулеза</w:t>
            </w:r>
          </w:p>
        </w:tc>
        <w:tc>
          <w:tcPr>
            <w:tcW w:w="945" w:type="dxa"/>
          </w:tcPr>
          <w:p w14:paraId="18FF4E5A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56DA15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9 895 900</w:t>
            </w:r>
          </w:p>
        </w:tc>
        <w:tc>
          <w:tcPr>
            <w:tcW w:w="945" w:type="dxa"/>
          </w:tcPr>
          <w:p w14:paraId="29D488B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598D87BB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259CF41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5 636 050</w:t>
            </w:r>
          </w:p>
        </w:tc>
        <w:tc>
          <w:tcPr>
            <w:tcW w:w="900" w:type="dxa"/>
          </w:tcPr>
          <w:p w14:paraId="114BEF9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9325AC7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BD15A9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5 636 050</w:t>
            </w:r>
          </w:p>
        </w:tc>
        <w:tc>
          <w:tcPr>
            <w:tcW w:w="945" w:type="dxa"/>
          </w:tcPr>
          <w:p w14:paraId="798DF61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</w:tcPr>
          <w:p w14:paraId="56271EB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</w:tcPr>
          <w:p w14:paraId="35D1E8E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</w:tcPr>
          <w:p w14:paraId="50E00BDA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88" w:rsidRPr="00597C96" w14:paraId="3134E2CD" w14:textId="77777777" w:rsidTr="00EC219D">
        <w:tc>
          <w:tcPr>
            <w:tcW w:w="4500" w:type="dxa"/>
          </w:tcPr>
          <w:p w14:paraId="5D3432B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 Обучение представителей организаций сообществ по проведению мероприятий по контролю чувствительного и лекарственно-устойчивого туберкулеза</w:t>
            </w:r>
          </w:p>
        </w:tc>
        <w:tc>
          <w:tcPr>
            <w:tcW w:w="945" w:type="dxa"/>
          </w:tcPr>
          <w:p w14:paraId="368A538C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</w:tcPr>
          <w:p w14:paraId="73B3FD1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5 052 950</w:t>
            </w:r>
          </w:p>
        </w:tc>
        <w:tc>
          <w:tcPr>
            <w:tcW w:w="945" w:type="dxa"/>
          </w:tcPr>
          <w:p w14:paraId="5B02713E" w14:textId="77777777" w:rsidR="00E14288" w:rsidRPr="00597C96" w:rsidRDefault="00E14288" w:rsidP="00354734">
            <w:pPr>
              <w:jc w:val="both"/>
              <w:rPr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7BF2F6B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4C8AD1D2" w14:textId="77777777" w:rsidR="00E14288" w:rsidRPr="00597C96" w:rsidRDefault="00E14288" w:rsidP="00354734">
            <w:pPr>
              <w:jc w:val="both"/>
              <w:rPr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6 358 100</w:t>
            </w:r>
          </w:p>
        </w:tc>
        <w:tc>
          <w:tcPr>
            <w:tcW w:w="900" w:type="dxa"/>
          </w:tcPr>
          <w:p w14:paraId="04A036B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1160B52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46122708" w14:textId="77777777" w:rsidR="00E14288" w:rsidRPr="00597C96" w:rsidRDefault="00E14288" w:rsidP="00354734">
            <w:pPr>
              <w:jc w:val="both"/>
              <w:rPr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3 179 050</w:t>
            </w:r>
          </w:p>
        </w:tc>
        <w:tc>
          <w:tcPr>
            <w:tcW w:w="945" w:type="dxa"/>
          </w:tcPr>
          <w:p w14:paraId="4170288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6CFE65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0C35D08" w14:textId="77777777" w:rsidR="00E14288" w:rsidRPr="00597C96" w:rsidRDefault="00E14288" w:rsidP="00354734">
            <w:pPr>
              <w:jc w:val="both"/>
              <w:rPr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3 179 050</w:t>
            </w:r>
          </w:p>
        </w:tc>
        <w:tc>
          <w:tcPr>
            <w:tcW w:w="945" w:type="dxa"/>
          </w:tcPr>
          <w:p w14:paraId="11D4F12C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88" w:rsidRPr="00597C96" w14:paraId="50A5C5B8" w14:textId="77777777" w:rsidTr="00EC219D">
        <w:tc>
          <w:tcPr>
            <w:tcW w:w="4500" w:type="dxa"/>
          </w:tcPr>
          <w:p w14:paraId="54EDA6B1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4.4 Расширение внедрения программы грантов НПО и сообществам по инновационным ориентированным на пациентов подходов, обеспечению приверженности к лечению и контроля туберкулеза в группах риска</w:t>
            </w:r>
          </w:p>
        </w:tc>
        <w:tc>
          <w:tcPr>
            <w:tcW w:w="945" w:type="dxa"/>
            <w:vAlign w:val="center"/>
          </w:tcPr>
          <w:p w14:paraId="3C20B46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  <w:vAlign w:val="center"/>
          </w:tcPr>
          <w:p w14:paraId="4DB6E1E3" w14:textId="2833D915" w:rsidR="00E14288" w:rsidRPr="00597C9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240303700</w:t>
            </w:r>
          </w:p>
        </w:tc>
        <w:tc>
          <w:tcPr>
            <w:tcW w:w="945" w:type="dxa"/>
            <w:vAlign w:val="center"/>
          </w:tcPr>
          <w:p w14:paraId="7C0499F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70 453 600</w:t>
            </w:r>
          </w:p>
        </w:tc>
        <w:tc>
          <w:tcPr>
            <w:tcW w:w="945" w:type="dxa"/>
            <w:vAlign w:val="center"/>
          </w:tcPr>
          <w:p w14:paraId="57931356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79 453 600</w:t>
            </w:r>
          </w:p>
        </w:tc>
        <w:tc>
          <w:tcPr>
            <w:tcW w:w="990" w:type="dxa"/>
            <w:vAlign w:val="center"/>
          </w:tcPr>
          <w:p w14:paraId="4059A116" w14:textId="0D84FED9" w:rsidR="00E14288" w:rsidRPr="00597C9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371742000</w:t>
            </w:r>
          </w:p>
        </w:tc>
        <w:tc>
          <w:tcPr>
            <w:tcW w:w="900" w:type="dxa"/>
            <w:vAlign w:val="center"/>
          </w:tcPr>
          <w:p w14:paraId="4985907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  <w:vAlign w:val="center"/>
          </w:tcPr>
          <w:p w14:paraId="240456BD" w14:textId="01513CA8" w:rsidR="00E14288" w:rsidRPr="00597C9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105680400</w:t>
            </w:r>
          </w:p>
        </w:tc>
        <w:tc>
          <w:tcPr>
            <w:tcW w:w="945" w:type="dxa"/>
            <w:vAlign w:val="center"/>
          </w:tcPr>
          <w:p w14:paraId="55804FE6" w14:textId="0B021747" w:rsidR="00E14288" w:rsidRPr="00597C9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278806500</w:t>
            </w:r>
          </w:p>
        </w:tc>
        <w:tc>
          <w:tcPr>
            <w:tcW w:w="945" w:type="dxa"/>
            <w:vAlign w:val="center"/>
          </w:tcPr>
          <w:p w14:paraId="36861015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  <w:vAlign w:val="center"/>
          </w:tcPr>
          <w:p w14:paraId="5023D430" w14:textId="4026A93E" w:rsidR="00E14288" w:rsidRPr="00597C9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176134000</w:t>
            </w:r>
          </w:p>
        </w:tc>
        <w:tc>
          <w:tcPr>
            <w:tcW w:w="945" w:type="dxa"/>
            <w:vAlign w:val="center"/>
          </w:tcPr>
          <w:p w14:paraId="0990181F" w14:textId="39C61BAB" w:rsidR="00E14288" w:rsidRPr="00597C96" w:rsidRDefault="00E14288" w:rsidP="00A8576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185871000</w:t>
            </w:r>
          </w:p>
        </w:tc>
        <w:tc>
          <w:tcPr>
            <w:tcW w:w="945" w:type="dxa"/>
          </w:tcPr>
          <w:p w14:paraId="77FA193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288" w:rsidRPr="00597C96" w14:paraId="21DC6451" w14:textId="77777777" w:rsidTr="00EC219D">
        <w:tc>
          <w:tcPr>
            <w:tcW w:w="4500" w:type="dxa"/>
          </w:tcPr>
          <w:p w14:paraId="029EF7FE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4.5 Расширение мероприятий по мониторингу и оценке программ грантов НПО и сообществам по инновационным ориентированным на пациентов подходов и контроля туберкулеза среди групп риска</w:t>
            </w:r>
          </w:p>
        </w:tc>
        <w:tc>
          <w:tcPr>
            <w:tcW w:w="945" w:type="dxa"/>
          </w:tcPr>
          <w:p w14:paraId="279C7E1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</w:tcPr>
          <w:p w14:paraId="399D7E97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18 213 650</w:t>
            </w:r>
          </w:p>
        </w:tc>
        <w:tc>
          <w:tcPr>
            <w:tcW w:w="945" w:type="dxa"/>
          </w:tcPr>
          <w:p w14:paraId="6A0E2F9C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3D455BD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</w:tcPr>
          <w:p w14:paraId="28E07390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25 200 000</w:t>
            </w:r>
          </w:p>
        </w:tc>
        <w:tc>
          <w:tcPr>
            <w:tcW w:w="900" w:type="dxa"/>
          </w:tcPr>
          <w:p w14:paraId="45BE20D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29FEEDE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33F8FB20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18 900 000</w:t>
            </w:r>
          </w:p>
        </w:tc>
        <w:tc>
          <w:tcPr>
            <w:tcW w:w="945" w:type="dxa"/>
          </w:tcPr>
          <w:p w14:paraId="71C6D66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741C678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5" w:type="dxa"/>
          </w:tcPr>
          <w:p w14:paraId="00BCFA78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7C96">
              <w:rPr>
                <w:rFonts w:ascii="Times New Roman" w:hAnsi="Times New Roman" w:cs="Times New Roman"/>
                <w:sz w:val="16"/>
                <w:szCs w:val="16"/>
              </w:rPr>
              <w:t>12 600 000</w:t>
            </w:r>
          </w:p>
        </w:tc>
        <w:tc>
          <w:tcPr>
            <w:tcW w:w="945" w:type="dxa"/>
          </w:tcPr>
          <w:p w14:paraId="6CE17F45" w14:textId="7B56C603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19D" w:rsidRPr="00EC219D" w14:paraId="678CFA2B" w14:textId="77777777" w:rsidTr="00EC219D">
        <w:trPr>
          <w:trHeight w:val="522"/>
        </w:trPr>
        <w:tc>
          <w:tcPr>
            <w:tcW w:w="4500" w:type="dxa"/>
            <w:hideMark/>
          </w:tcPr>
          <w:p w14:paraId="712CE6E0" w14:textId="77777777" w:rsidR="00EC219D" w:rsidRPr="00EC219D" w:rsidRDefault="00EC219D" w:rsidP="00EC2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Всего Задачи 1-4</w:t>
            </w:r>
          </w:p>
        </w:tc>
        <w:tc>
          <w:tcPr>
            <w:tcW w:w="945" w:type="dxa"/>
            <w:hideMark/>
          </w:tcPr>
          <w:p w14:paraId="62A22233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263,263,067</w:t>
            </w:r>
          </w:p>
        </w:tc>
        <w:tc>
          <w:tcPr>
            <w:tcW w:w="945" w:type="dxa"/>
            <w:hideMark/>
          </w:tcPr>
          <w:p w14:paraId="0106DE11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586,066,600</w:t>
            </w:r>
          </w:p>
        </w:tc>
        <w:tc>
          <w:tcPr>
            <w:tcW w:w="945" w:type="dxa"/>
            <w:hideMark/>
          </w:tcPr>
          <w:p w14:paraId="7F81D5FD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98,453,600</w:t>
            </w:r>
          </w:p>
        </w:tc>
        <w:tc>
          <w:tcPr>
            <w:tcW w:w="945" w:type="dxa"/>
            <w:hideMark/>
          </w:tcPr>
          <w:p w14:paraId="32FB445F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350,901,505</w:t>
            </w:r>
          </w:p>
        </w:tc>
        <w:tc>
          <w:tcPr>
            <w:tcW w:w="990" w:type="dxa"/>
            <w:hideMark/>
          </w:tcPr>
          <w:p w14:paraId="6C7AC075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/>
              </w:rPr>
              <w:t>1,019,615,800</w:t>
            </w:r>
          </w:p>
        </w:tc>
        <w:tc>
          <w:tcPr>
            <w:tcW w:w="900" w:type="dxa"/>
            <w:hideMark/>
          </w:tcPr>
          <w:p w14:paraId="3C364170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val="en-US"/>
              </w:rPr>
              <w:t>20,000,000</w:t>
            </w:r>
          </w:p>
        </w:tc>
        <w:tc>
          <w:tcPr>
            <w:tcW w:w="945" w:type="dxa"/>
            <w:hideMark/>
          </w:tcPr>
          <w:p w14:paraId="08794620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386,131,627</w:t>
            </w:r>
          </w:p>
        </w:tc>
        <w:tc>
          <w:tcPr>
            <w:tcW w:w="945" w:type="dxa"/>
            <w:hideMark/>
          </w:tcPr>
          <w:p w14:paraId="2F83E456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585,400,200</w:t>
            </w:r>
          </w:p>
        </w:tc>
        <w:tc>
          <w:tcPr>
            <w:tcW w:w="945" w:type="dxa"/>
            <w:hideMark/>
          </w:tcPr>
          <w:p w14:paraId="71DB7F3F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20,000,000</w:t>
            </w:r>
          </w:p>
        </w:tc>
        <w:tc>
          <w:tcPr>
            <w:tcW w:w="945" w:type="dxa"/>
            <w:hideMark/>
          </w:tcPr>
          <w:p w14:paraId="0CAD8315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492,610,432</w:t>
            </w:r>
          </w:p>
        </w:tc>
        <w:tc>
          <w:tcPr>
            <w:tcW w:w="945" w:type="dxa"/>
            <w:hideMark/>
          </w:tcPr>
          <w:p w14:paraId="778A8562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276,976,000</w:t>
            </w:r>
          </w:p>
        </w:tc>
        <w:tc>
          <w:tcPr>
            <w:tcW w:w="945" w:type="dxa"/>
            <w:hideMark/>
          </w:tcPr>
          <w:p w14:paraId="182BE8C1" w14:textId="77777777" w:rsidR="00EC219D" w:rsidRPr="00EC219D" w:rsidRDefault="00EC219D" w:rsidP="00EC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EC2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6"/>
                <w:lang w:val="en-US"/>
              </w:rPr>
              <w:t>20,000,000</w:t>
            </w:r>
          </w:p>
        </w:tc>
      </w:tr>
    </w:tbl>
    <w:p w14:paraId="1F014C2C" w14:textId="77777777" w:rsidR="00E14288" w:rsidRPr="00597C96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3F82C" w14:textId="77777777" w:rsidR="00E14288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A88AC" w14:textId="77777777" w:rsidR="007B0543" w:rsidRDefault="007B0543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A1A16" w14:textId="77777777" w:rsidR="007B0543" w:rsidRDefault="007B0543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6B2D" w14:textId="77777777" w:rsidR="007B0543" w:rsidRDefault="007B0543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76521" w14:textId="77777777" w:rsidR="007B0543" w:rsidRDefault="007B0543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F7D46" w14:textId="77777777" w:rsidR="007B0543" w:rsidRDefault="007B0543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866E5" w14:textId="77777777" w:rsidR="00DB32C7" w:rsidRDefault="00DB32C7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03CDB" w14:textId="77777777" w:rsidR="00DB32C7" w:rsidRDefault="00DB32C7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B52FB" w14:textId="77777777" w:rsidR="00DB32C7" w:rsidRPr="00597C96" w:rsidRDefault="00DB32C7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46EB3" w14:textId="77777777" w:rsidR="00E14288" w:rsidRPr="00597C96" w:rsidRDefault="00E14288" w:rsidP="00E142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C96">
        <w:rPr>
          <w:rFonts w:ascii="Times New Roman" w:hAnsi="Times New Roman" w:cs="Times New Roman"/>
          <w:b/>
          <w:sz w:val="24"/>
          <w:szCs w:val="24"/>
        </w:rPr>
        <w:t xml:space="preserve">Приложение №2: Пропорция покрытия мероприятий плана перехода из внутренних источников </w:t>
      </w:r>
    </w:p>
    <w:p w14:paraId="4377A424" w14:textId="77777777" w:rsidR="00E14288" w:rsidRPr="00597C96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725" w:type="dxa"/>
        <w:tblLayout w:type="fixed"/>
        <w:tblLook w:val="04A0" w:firstRow="1" w:lastRow="0" w:firstColumn="1" w:lastColumn="0" w:noHBand="0" w:noVBand="1"/>
      </w:tblPr>
      <w:tblGrid>
        <w:gridCol w:w="6120"/>
        <w:gridCol w:w="2143"/>
        <w:gridCol w:w="2143"/>
        <w:gridCol w:w="2143"/>
        <w:gridCol w:w="2144"/>
      </w:tblGrid>
      <w:tr w:rsidR="00E14288" w:rsidRPr="00597C96" w14:paraId="288D128E" w14:textId="77777777" w:rsidTr="00354734">
        <w:tc>
          <w:tcPr>
            <w:tcW w:w="6120" w:type="dxa"/>
            <w:vAlign w:val="center"/>
          </w:tcPr>
          <w:p w14:paraId="5FE0CE1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7C96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143" w:type="dxa"/>
          </w:tcPr>
          <w:p w14:paraId="4E505B52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C96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2143" w:type="dxa"/>
          </w:tcPr>
          <w:p w14:paraId="7BCC2D61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C96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2143" w:type="dxa"/>
          </w:tcPr>
          <w:p w14:paraId="62F5E536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C96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2144" w:type="dxa"/>
          </w:tcPr>
          <w:p w14:paraId="0E6735F1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C96">
              <w:rPr>
                <w:rFonts w:ascii="Times New Roman" w:hAnsi="Times New Roman" w:cs="Times New Roman"/>
                <w:b/>
              </w:rPr>
              <w:t>2022</w:t>
            </w:r>
          </w:p>
        </w:tc>
      </w:tr>
      <w:tr w:rsidR="00E14288" w:rsidRPr="00597C96" w14:paraId="7DBA25E6" w14:textId="77777777" w:rsidTr="00354734">
        <w:trPr>
          <w:trHeight w:val="602"/>
        </w:trPr>
        <w:tc>
          <w:tcPr>
            <w:tcW w:w="6120" w:type="dxa"/>
          </w:tcPr>
          <w:p w14:paraId="470D874F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1.2 Обеспечение бесперебойных поставок тестов и принадлежностей для быстрой диагностики туберкулеза для пенитенциарной системы</w:t>
            </w:r>
          </w:p>
        </w:tc>
        <w:tc>
          <w:tcPr>
            <w:tcW w:w="2143" w:type="dxa"/>
            <w:vAlign w:val="center"/>
          </w:tcPr>
          <w:p w14:paraId="6D0CC49A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3" w:type="dxa"/>
            <w:vAlign w:val="center"/>
          </w:tcPr>
          <w:p w14:paraId="1DDF3F29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3" w:type="dxa"/>
            <w:vAlign w:val="center"/>
          </w:tcPr>
          <w:p w14:paraId="1886BB13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4" w:type="dxa"/>
            <w:vAlign w:val="center"/>
          </w:tcPr>
          <w:p w14:paraId="03C37DB4" w14:textId="7F3C0DA7" w:rsidR="00E14288" w:rsidRPr="00597C96" w:rsidRDefault="004F6960" w:rsidP="003547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14288" w:rsidRPr="00597C96">
              <w:rPr>
                <w:rFonts w:ascii="Times New Roman" w:hAnsi="Times New Roman" w:cs="Times New Roman"/>
              </w:rPr>
              <w:t>0%</w:t>
            </w:r>
          </w:p>
        </w:tc>
      </w:tr>
      <w:tr w:rsidR="00E14288" w:rsidRPr="00597C96" w14:paraId="4C722BFB" w14:textId="77777777" w:rsidTr="00354734">
        <w:tc>
          <w:tcPr>
            <w:tcW w:w="6120" w:type="dxa"/>
          </w:tcPr>
          <w:p w14:paraId="694CDBA4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 xml:space="preserve">1.7 Обеспечение бесперебойных поставок противотуберкулезных препаратов для лечение пациентов с М/ШЛУ-ТБ, для пенитенциарной системы </w:t>
            </w:r>
          </w:p>
        </w:tc>
        <w:tc>
          <w:tcPr>
            <w:tcW w:w="2143" w:type="dxa"/>
            <w:vAlign w:val="center"/>
          </w:tcPr>
          <w:p w14:paraId="449322C8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3" w:type="dxa"/>
            <w:vAlign w:val="center"/>
          </w:tcPr>
          <w:p w14:paraId="5BAA2454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3" w:type="dxa"/>
            <w:vAlign w:val="center"/>
          </w:tcPr>
          <w:p w14:paraId="294083E8" w14:textId="0CA340EC" w:rsidR="00E14288" w:rsidRPr="00597C96" w:rsidRDefault="00E14288" w:rsidP="004F6960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100% (МЛУ-ТБ)</w:t>
            </w:r>
            <w:r w:rsidR="004F6960">
              <w:rPr>
                <w:rFonts w:ascii="Times New Roman" w:hAnsi="Times New Roman" w:cs="Times New Roman"/>
              </w:rPr>
              <w:br/>
              <w:t>50% (ШЛУ-ТБ)</w:t>
            </w:r>
          </w:p>
        </w:tc>
        <w:tc>
          <w:tcPr>
            <w:tcW w:w="2144" w:type="dxa"/>
            <w:vAlign w:val="center"/>
          </w:tcPr>
          <w:p w14:paraId="2B112982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100% (М/ШЛУ-ТБ)</w:t>
            </w:r>
          </w:p>
        </w:tc>
      </w:tr>
      <w:tr w:rsidR="00E14288" w:rsidRPr="00597C96" w14:paraId="45C066DE" w14:textId="77777777" w:rsidTr="00354734">
        <w:tc>
          <w:tcPr>
            <w:tcW w:w="6120" w:type="dxa"/>
          </w:tcPr>
          <w:p w14:paraId="530E0829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3.4 Поддержка в проведении мониторинговых визитов центральным подразделением НТП для непрерывного мониторинга и оценки во время переходной фазы</w:t>
            </w:r>
          </w:p>
        </w:tc>
        <w:tc>
          <w:tcPr>
            <w:tcW w:w="2143" w:type="dxa"/>
            <w:vAlign w:val="center"/>
          </w:tcPr>
          <w:p w14:paraId="5C5BEDC7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143" w:type="dxa"/>
            <w:vAlign w:val="center"/>
          </w:tcPr>
          <w:p w14:paraId="4DBDBFD0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143" w:type="dxa"/>
            <w:vAlign w:val="center"/>
          </w:tcPr>
          <w:p w14:paraId="03746436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144" w:type="dxa"/>
            <w:vAlign w:val="center"/>
          </w:tcPr>
          <w:p w14:paraId="23351056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100%</w:t>
            </w:r>
          </w:p>
        </w:tc>
      </w:tr>
      <w:tr w:rsidR="00E14288" w:rsidRPr="00597C96" w14:paraId="2AE959DF" w14:textId="77777777" w:rsidTr="00354734">
        <w:tc>
          <w:tcPr>
            <w:tcW w:w="6120" w:type="dxa"/>
          </w:tcPr>
          <w:p w14:paraId="01373243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4.4 Расширение внедрения программы грантов НПО и сообществам по инновационным ориентированным на пациентов подходов, обеспечению приверженности к лечению и контроля туберкулеза в группах риска</w:t>
            </w:r>
          </w:p>
        </w:tc>
        <w:tc>
          <w:tcPr>
            <w:tcW w:w="2143" w:type="dxa"/>
            <w:vAlign w:val="center"/>
          </w:tcPr>
          <w:p w14:paraId="3D8FDF20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3" w:type="dxa"/>
            <w:vAlign w:val="center"/>
          </w:tcPr>
          <w:p w14:paraId="536F9D9A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3" w:type="dxa"/>
            <w:vAlign w:val="center"/>
          </w:tcPr>
          <w:p w14:paraId="7BFDED1E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2144" w:type="dxa"/>
            <w:vAlign w:val="center"/>
          </w:tcPr>
          <w:p w14:paraId="577E7F60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50%</w:t>
            </w:r>
          </w:p>
        </w:tc>
      </w:tr>
      <w:tr w:rsidR="00E14288" w:rsidRPr="00597C96" w14:paraId="082564F2" w14:textId="77777777" w:rsidTr="00354734">
        <w:tc>
          <w:tcPr>
            <w:tcW w:w="6120" w:type="dxa"/>
          </w:tcPr>
          <w:p w14:paraId="55298B3D" w14:textId="77777777" w:rsidR="00E14288" w:rsidRPr="00597C96" w:rsidRDefault="00E14288" w:rsidP="003547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7C96">
              <w:rPr>
                <w:rFonts w:ascii="Times New Roman" w:hAnsi="Times New Roman" w:cs="Times New Roman"/>
                <w:sz w:val="20"/>
                <w:szCs w:val="20"/>
              </w:rPr>
              <w:t>4.5 Расширение мероприятий по мониторингу и оценке программ грантов НПО и сообществам по инновационным ориентированным на пациентов подходов и контроля туберкулеза среди групп риска</w:t>
            </w:r>
          </w:p>
        </w:tc>
        <w:tc>
          <w:tcPr>
            <w:tcW w:w="2143" w:type="dxa"/>
            <w:vAlign w:val="center"/>
          </w:tcPr>
          <w:p w14:paraId="35CF8B16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3" w:type="dxa"/>
            <w:vAlign w:val="center"/>
          </w:tcPr>
          <w:p w14:paraId="7617A25B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3" w:type="dxa"/>
            <w:vAlign w:val="center"/>
          </w:tcPr>
          <w:p w14:paraId="03BC7553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2144" w:type="dxa"/>
            <w:vAlign w:val="center"/>
          </w:tcPr>
          <w:p w14:paraId="6FED92CB" w14:textId="77777777" w:rsidR="00E14288" w:rsidRPr="00597C96" w:rsidRDefault="00E14288" w:rsidP="00354734">
            <w:pPr>
              <w:jc w:val="center"/>
              <w:rPr>
                <w:rFonts w:ascii="Times New Roman" w:hAnsi="Times New Roman" w:cs="Times New Roman"/>
              </w:rPr>
            </w:pPr>
            <w:r w:rsidRPr="00597C96">
              <w:rPr>
                <w:rFonts w:ascii="Times New Roman" w:hAnsi="Times New Roman" w:cs="Times New Roman"/>
              </w:rPr>
              <w:t>50%</w:t>
            </w:r>
          </w:p>
        </w:tc>
      </w:tr>
    </w:tbl>
    <w:p w14:paraId="1D9E3A4F" w14:textId="77777777" w:rsidR="00E14288" w:rsidRPr="00597C96" w:rsidRDefault="00E14288" w:rsidP="00E14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FAA7C" w14:textId="77777777" w:rsidR="00317729" w:rsidRDefault="00317729"/>
    <w:sectPr w:rsidR="00317729" w:rsidSect="00354734">
      <w:endnotePr>
        <w:numFmt w:val="decimal"/>
      </w:endnote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38630" w14:textId="77777777" w:rsidR="00426FBE" w:rsidRDefault="00426FBE" w:rsidP="00E14288">
      <w:pPr>
        <w:spacing w:after="0" w:line="240" w:lineRule="auto"/>
      </w:pPr>
      <w:r>
        <w:separator/>
      </w:r>
    </w:p>
  </w:endnote>
  <w:endnote w:type="continuationSeparator" w:id="0">
    <w:p w14:paraId="6A703968" w14:textId="77777777" w:rsidR="00426FBE" w:rsidRDefault="00426FBE" w:rsidP="00E1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FAE72" w14:textId="77777777" w:rsidR="002D0DF0" w:rsidRDefault="002D0DF0" w:rsidP="00354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4407A7" w14:textId="77777777" w:rsidR="002D0DF0" w:rsidRDefault="002D0DF0" w:rsidP="00354734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6935F" w14:textId="77777777" w:rsidR="002D0DF0" w:rsidRDefault="002D0DF0" w:rsidP="00354734">
    <w:pPr>
      <w:pStyle w:val="Footer"/>
      <w:ind w:right="360"/>
    </w:pPr>
  </w:p>
  <w:p w14:paraId="6AB0672B" w14:textId="77777777" w:rsidR="002D0DF0" w:rsidRDefault="002D0DF0"/>
  <w:p w14:paraId="0C72DDA7" w14:textId="77777777" w:rsidR="002D0DF0" w:rsidRDefault="002D0DF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F4258" w14:textId="77777777" w:rsidR="002D0DF0" w:rsidRPr="00FE6DBC" w:rsidRDefault="002D0DF0" w:rsidP="00354734">
    <w:pPr>
      <w:pStyle w:val="Footer"/>
      <w:framePr w:wrap="around" w:vAnchor="text" w:hAnchor="margin" w:xAlign="right" w:y="1"/>
      <w:rPr>
        <w:rStyle w:val="PageNumber"/>
        <w:lang w:val="en-US"/>
      </w:rPr>
    </w:pPr>
    <w:r>
      <w:rPr>
        <w:rStyle w:val="PageNumber"/>
      </w:rPr>
      <w:fldChar w:fldCharType="begin"/>
    </w:r>
    <w:r w:rsidRPr="00FE6DBC">
      <w:rPr>
        <w:rStyle w:val="PageNumber"/>
        <w:lang w:val="en-US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lang w:val="en-US"/>
      </w:rPr>
      <w:t>ii</w:t>
    </w:r>
    <w:r>
      <w:rPr>
        <w:rStyle w:val="PageNumber"/>
      </w:rPr>
      <w:fldChar w:fldCharType="end"/>
    </w:r>
  </w:p>
  <w:p w14:paraId="5B20D5F3" w14:textId="77777777" w:rsidR="002D0DF0" w:rsidRPr="00FE6DBC" w:rsidRDefault="002D0DF0" w:rsidP="00354734">
    <w:pPr>
      <w:pStyle w:val="Footer"/>
      <w:tabs>
        <w:tab w:val="left" w:pos="8509"/>
      </w:tabs>
      <w:ind w:right="360"/>
      <w:rPr>
        <w:sz w:val="18"/>
        <w:lang w:val="en-US"/>
      </w:rPr>
    </w:pPr>
    <w:r w:rsidRPr="00F85178">
      <w:rPr>
        <w:rStyle w:val="BookTitle"/>
        <w:rFonts w:ascii="Helvetica" w:hAnsi="Helvetica"/>
        <w:i w:val="0"/>
        <w:color w:val="5B9BD5" w:themeColor="accent1"/>
        <w:sz w:val="20"/>
        <w:lang w:val="en-US"/>
      </w:rPr>
      <w:t>www.curatiofoundation.org</w:t>
    </w:r>
    <w:r w:rsidRPr="00F85178">
      <w:rPr>
        <w:rStyle w:val="BookTitle"/>
        <w:rFonts w:ascii="Helvetica" w:hAnsi="Helvetica"/>
        <w:i w:val="0"/>
        <w:color w:val="5B9BD5" w:themeColor="accent1"/>
        <w:sz w:val="20"/>
        <w:lang w:val="en-US"/>
      </w:rPr>
      <w:tab/>
      <w:t>(c) Curatio International Foundation</w:t>
    </w:r>
    <w:r w:rsidRPr="00F85178">
      <w:rPr>
        <w:rStyle w:val="BookTitle"/>
        <w:rFonts w:ascii="Helvetica" w:hAnsi="Helvetica"/>
        <w:i w:val="0"/>
        <w:color w:val="5B9BD5" w:themeColor="accent1"/>
        <w:sz w:val="20"/>
        <w:lang w:val="en-US"/>
      </w:rPr>
      <w:tab/>
    </w:r>
    <w:r>
      <w:rPr>
        <w:rStyle w:val="BookTitle"/>
        <w:rFonts w:ascii="Helvetica" w:hAnsi="Helvetica"/>
        <w:i w:val="0"/>
        <w:color w:val="5B9BD5" w:themeColor="accent1"/>
        <w:sz w:val="20"/>
        <w:lang w:val="en-US"/>
      </w:rPr>
      <w:tab/>
    </w:r>
  </w:p>
  <w:p w14:paraId="15BCBD05" w14:textId="77777777" w:rsidR="002D0DF0" w:rsidRPr="00FE6DBC" w:rsidRDefault="002D0DF0">
    <w:pPr>
      <w:rPr>
        <w:lang w:val="en-US"/>
      </w:rPr>
    </w:pPr>
  </w:p>
  <w:p w14:paraId="04AC3852" w14:textId="77777777" w:rsidR="002D0DF0" w:rsidRPr="00FE6DBC" w:rsidRDefault="002D0DF0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67556" w14:textId="77777777" w:rsidR="002D0DF0" w:rsidRDefault="002D0DF0" w:rsidP="00354734">
    <w:pPr>
      <w:pStyle w:val="Footer"/>
      <w:ind w:right="360"/>
    </w:pPr>
  </w:p>
  <w:p w14:paraId="2A3045CD" w14:textId="77777777" w:rsidR="002D0DF0" w:rsidRDefault="002D0DF0"/>
  <w:p w14:paraId="18F28FFC" w14:textId="77777777" w:rsidR="002D0DF0" w:rsidRDefault="002D0DF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777304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207C5D0" w14:textId="26CA0AB9" w:rsidR="002D0DF0" w:rsidRDefault="002D0DF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4386">
          <w:rPr>
            <w:noProof/>
          </w:rPr>
          <w:t>30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F3C7834" w14:textId="77777777" w:rsidR="002D0DF0" w:rsidRDefault="002D0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6E3D1" w14:textId="77777777" w:rsidR="00426FBE" w:rsidRDefault="00426FBE" w:rsidP="00E14288">
      <w:pPr>
        <w:spacing w:after="0" w:line="240" w:lineRule="auto"/>
      </w:pPr>
      <w:r>
        <w:separator/>
      </w:r>
    </w:p>
  </w:footnote>
  <w:footnote w:type="continuationSeparator" w:id="0">
    <w:p w14:paraId="6FECB5CF" w14:textId="77777777" w:rsidR="00426FBE" w:rsidRDefault="00426FBE" w:rsidP="00E14288">
      <w:pPr>
        <w:spacing w:after="0" w:line="240" w:lineRule="auto"/>
      </w:pPr>
      <w:r>
        <w:continuationSeparator/>
      </w:r>
    </w:p>
  </w:footnote>
  <w:footnote w:id="1">
    <w:p w14:paraId="3BAC3057" w14:textId="77777777" w:rsidR="002D0DF0" w:rsidRPr="006977A5" w:rsidRDefault="002D0DF0" w:rsidP="00E14288">
      <w:pPr>
        <w:pStyle w:val="FootnoteText"/>
        <w:rPr>
          <w:rFonts w:ascii="Sylfaen" w:hAnsi="Sylfaen"/>
          <w:lang w:val="en-US"/>
        </w:rPr>
      </w:pPr>
      <w:r w:rsidRPr="003365A5">
        <w:rPr>
          <w:rStyle w:val="FootnoteReference"/>
          <w:rFonts w:ascii="Sylfaen" w:hAnsi="Sylfaen"/>
        </w:rPr>
        <w:footnoteRef/>
      </w:r>
      <w:hyperlink r:id="rId1" w:history="1">
        <w:r w:rsidRPr="004F5E41">
          <w:rPr>
            <w:rStyle w:val="Hyperlink"/>
            <w:lang w:val="en-US"/>
          </w:rPr>
          <w:t>https://www.theglobalfund.org/en/portfolio/country/?loc=KAZ&amp;k=cee65577-bd1c-4508-9205-3972358d659f</w:t>
        </w:r>
      </w:hyperlink>
    </w:p>
  </w:footnote>
  <w:footnote w:id="2">
    <w:p w14:paraId="57C7511F" w14:textId="77777777" w:rsidR="002D0DF0" w:rsidRDefault="002D0DF0" w:rsidP="00E14288">
      <w:pPr>
        <w:pStyle w:val="FootnoteText"/>
        <w:jc w:val="both"/>
      </w:pPr>
      <w:r>
        <w:rPr>
          <w:rStyle w:val="FootnoteReference"/>
        </w:rPr>
        <w:footnoteRef/>
      </w:r>
      <w:r w:rsidRPr="00E925EC">
        <w:t xml:space="preserve">Министерство национальной экономики Республики Казахстан, Комитет по статистике, </w:t>
      </w:r>
      <w:hyperlink r:id="rId2" w:history="1">
        <w:r w:rsidRPr="00F81C22">
          <w:rPr>
            <w:rStyle w:val="Hyperlink"/>
          </w:rPr>
          <w:t>http://stat.gov.kz</w:t>
        </w:r>
      </w:hyperlink>
      <w:r w:rsidRPr="00E925EC">
        <w:t>.</w:t>
      </w:r>
    </w:p>
  </w:footnote>
  <w:footnote w:id="3">
    <w:p w14:paraId="147FF219" w14:textId="77777777" w:rsidR="002D0DF0" w:rsidRDefault="002D0DF0" w:rsidP="00E14288">
      <w:pPr>
        <w:pStyle w:val="FootnoteText"/>
        <w:jc w:val="both"/>
      </w:pPr>
      <w:r>
        <w:rPr>
          <w:rStyle w:val="FootnoteReference"/>
        </w:rPr>
        <w:footnoteRef/>
      </w:r>
      <w:r w:rsidRPr="004A1C24">
        <w:t>19 июня 2018 г. указом президента Казахстана Шымкенту был придан статус города республиканского значения, он был изъят из состава Южно-Казахстанской области, которая тем же указом была переименована в Туркестанскую со столицей в городе Туркестан.</w:t>
      </w:r>
    </w:p>
  </w:footnote>
  <w:footnote w:id="4">
    <w:p w14:paraId="0B7768C6" w14:textId="77777777" w:rsidR="002D0DF0" w:rsidRDefault="002D0DF0" w:rsidP="00E14288">
      <w:pPr>
        <w:pStyle w:val="FootnoteText"/>
        <w:jc w:val="both"/>
      </w:pPr>
      <w:r>
        <w:rPr>
          <w:rStyle w:val="FootnoteReference"/>
        </w:rPr>
        <w:footnoteRef/>
      </w:r>
      <w:r w:rsidRPr="004A1C24">
        <w:t xml:space="preserve">Всемирный Банк, </w:t>
      </w:r>
      <w:hyperlink r:id="rId3" w:history="1">
        <w:r w:rsidRPr="00F81C22">
          <w:rPr>
            <w:rStyle w:val="Hyperlink"/>
          </w:rPr>
          <w:t>http://data.worldbank.org/country/kazakhstan</w:t>
        </w:r>
      </w:hyperlink>
      <w:r w:rsidRPr="004A1C24">
        <w:t>Атлас-метод, в долларах США.</w:t>
      </w:r>
    </w:p>
  </w:footnote>
  <w:footnote w:id="5">
    <w:p w14:paraId="7EFB368A" w14:textId="77777777" w:rsidR="002D0DF0" w:rsidRDefault="002D0DF0" w:rsidP="00E14288">
      <w:pPr>
        <w:pStyle w:val="FootnoteText"/>
        <w:jc w:val="both"/>
      </w:pPr>
      <w:r>
        <w:rPr>
          <w:rStyle w:val="FootnoteReference"/>
        </w:rPr>
        <w:footnoteRef/>
      </w:r>
      <w:r w:rsidRPr="004A1C24">
        <w:t xml:space="preserve">Глобальный отчет ВОЗ о туберкулезе 2018 г. / WHO GlobalTuberculosisReport 2018, </w:t>
      </w:r>
      <w:hyperlink r:id="rId4" w:history="1">
        <w:r w:rsidRPr="00F81C22">
          <w:rPr>
            <w:rStyle w:val="Hyperlink"/>
          </w:rPr>
          <w:t>http://www.who.int/tb/publications/global_report/en/</w:t>
        </w:r>
      </w:hyperlink>
    </w:p>
  </w:footnote>
  <w:footnote w:id="6">
    <w:p w14:paraId="6C3CA363" w14:textId="48FAADD3" w:rsidR="00FB6755" w:rsidRPr="00FB6755" w:rsidRDefault="00FB675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B6755">
        <w:rPr>
          <w:lang w:val="en-US"/>
        </w:rPr>
        <w:t xml:space="preserve"> UNAIDS, </w:t>
      </w:r>
      <w:hyperlink r:id="rId5" w:history="1">
        <w:r w:rsidRPr="00345B87">
          <w:rPr>
            <w:rStyle w:val="Hyperlink"/>
            <w:lang w:val="en-US"/>
          </w:rPr>
          <w:t>http://www.unaids.org/en/regionscountries/countries/kazakhstan</w:t>
        </w:r>
      </w:hyperlink>
      <w:r>
        <w:rPr>
          <w:lang w:val="en-US"/>
        </w:rPr>
        <w:t xml:space="preserve"> </w:t>
      </w:r>
    </w:p>
  </w:footnote>
  <w:footnote w:id="7">
    <w:p w14:paraId="6745D371" w14:textId="77777777" w:rsidR="002D0DF0" w:rsidRPr="001302D5" w:rsidRDefault="002D0DF0" w:rsidP="00E1428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 xml:space="preserve">World Prison Brief, </w:t>
      </w:r>
      <w:hyperlink r:id="rId6" w:history="1">
        <w:r w:rsidRPr="00F47B35">
          <w:rPr>
            <w:rStyle w:val="Hyperlink"/>
            <w:lang w:val="en-US"/>
          </w:rPr>
          <w:t>http://www.prisonstudies.org/world-prison-brief-data</w:t>
        </w:r>
      </w:hyperlink>
    </w:p>
  </w:footnote>
  <w:footnote w:id="8">
    <w:p w14:paraId="7CCD8996" w14:textId="77777777" w:rsidR="002D0DF0" w:rsidRPr="007A4633" w:rsidRDefault="002D0DF0" w:rsidP="00E14288">
      <w:pPr>
        <w:pStyle w:val="FootnoteText"/>
        <w:jc w:val="both"/>
      </w:pPr>
      <w:r>
        <w:rPr>
          <w:rStyle w:val="FootnoteReference"/>
        </w:rPr>
        <w:footnoteRef/>
      </w:r>
      <w:r w:rsidRPr="001302D5">
        <w:rPr>
          <w:i/>
        </w:rPr>
        <w:t>Отчет внешнего консультанта</w:t>
      </w:r>
      <w:r>
        <w:rPr>
          <w:i/>
        </w:rPr>
        <w:t>, Гурбановой Е,</w:t>
      </w:r>
      <w:r w:rsidRPr="001302D5">
        <w:rPr>
          <w:i/>
        </w:rPr>
        <w:t xml:space="preserve"> по оказанию технической помощи по усилению контроля над туберкулезом и лекарственно-устойчивым туберкулезом в пенитенциарной системе Республики Казахстан</w:t>
      </w:r>
      <w:r>
        <w:t>, 2017</w:t>
      </w:r>
    </w:p>
  </w:footnote>
  <w:footnote w:id="9">
    <w:p w14:paraId="74244323" w14:textId="77777777" w:rsidR="002D0DF0" w:rsidRPr="00906B0B" w:rsidRDefault="002D0DF0" w:rsidP="00E14288">
      <w:pPr>
        <w:pStyle w:val="FootnoteText"/>
        <w:rPr>
          <w:rFonts w:ascii="Sylfaen" w:hAnsi="Sylfaen" w:cs="Arial"/>
        </w:rPr>
      </w:pPr>
      <w:r w:rsidRPr="003365A5">
        <w:rPr>
          <w:rStyle w:val="FootnoteReference"/>
          <w:rFonts w:ascii="Sylfaen" w:hAnsi="Sylfaen" w:cs="Arial"/>
        </w:rPr>
        <w:footnoteRef/>
      </w:r>
      <w:r w:rsidRPr="00906B0B">
        <w:rPr>
          <w:rFonts w:ascii="Sylfaen" w:hAnsi="Sylfaen" w:cs="Arial"/>
        </w:rPr>
        <w:t xml:space="preserve">. </w:t>
      </w:r>
      <w:r w:rsidRPr="003365A5">
        <w:rPr>
          <w:rFonts w:ascii="Sylfaen" w:hAnsi="Sylfaen" w:cs="Arial"/>
          <w:lang w:val="en-US"/>
        </w:rPr>
        <w:t>http</w:t>
      </w:r>
      <w:r w:rsidRPr="00906B0B">
        <w:rPr>
          <w:rFonts w:ascii="Sylfaen" w:hAnsi="Sylfaen" w:cs="Arial"/>
        </w:rPr>
        <w:t>://</w:t>
      </w:r>
      <w:r w:rsidRPr="003365A5">
        <w:rPr>
          <w:rFonts w:ascii="Sylfaen" w:hAnsi="Sylfaen" w:cs="Arial"/>
          <w:lang w:val="en-US"/>
        </w:rPr>
        <w:t>www</w:t>
      </w:r>
      <w:r w:rsidRPr="00906B0B">
        <w:rPr>
          <w:rFonts w:ascii="Sylfaen" w:hAnsi="Sylfaen" w:cs="Arial"/>
        </w:rPr>
        <w:t>.</w:t>
      </w:r>
      <w:r w:rsidRPr="003365A5">
        <w:rPr>
          <w:rFonts w:ascii="Sylfaen" w:hAnsi="Sylfaen" w:cs="Arial"/>
          <w:lang w:val="en-US"/>
        </w:rPr>
        <w:t>who</w:t>
      </w:r>
      <w:r w:rsidRPr="00906B0B">
        <w:rPr>
          <w:rFonts w:ascii="Sylfaen" w:hAnsi="Sylfaen" w:cs="Arial"/>
        </w:rPr>
        <w:t>.</w:t>
      </w:r>
      <w:r w:rsidRPr="003365A5">
        <w:rPr>
          <w:rFonts w:ascii="Sylfaen" w:hAnsi="Sylfaen" w:cs="Arial"/>
          <w:lang w:val="en-US"/>
        </w:rPr>
        <w:t>int</w:t>
      </w:r>
      <w:r w:rsidRPr="00906B0B">
        <w:rPr>
          <w:rFonts w:ascii="Sylfaen" w:hAnsi="Sylfaen" w:cs="Arial"/>
        </w:rPr>
        <w:t>/</w:t>
      </w:r>
      <w:r w:rsidRPr="003365A5">
        <w:rPr>
          <w:rFonts w:ascii="Sylfaen" w:hAnsi="Sylfaen" w:cs="Arial"/>
          <w:lang w:val="en-US"/>
        </w:rPr>
        <w:t>tb</w:t>
      </w:r>
      <w:r w:rsidRPr="00906B0B">
        <w:rPr>
          <w:rFonts w:ascii="Sylfaen" w:hAnsi="Sylfaen" w:cs="Arial"/>
        </w:rPr>
        <w:t>/</w:t>
      </w:r>
      <w:r w:rsidRPr="003365A5">
        <w:rPr>
          <w:rFonts w:ascii="Sylfaen" w:hAnsi="Sylfaen" w:cs="Arial"/>
          <w:lang w:val="en-US"/>
        </w:rPr>
        <w:t>health</w:t>
      </w:r>
      <w:r w:rsidRPr="00906B0B">
        <w:rPr>
          <w:rFonts w:ascii="Sylfaen" w:hAnsi="Sylfaen" w:cs="Arial"/>
        </w:rPr>
        <w:t>_</w:t>
      </w:r>
      <w:r w:rsidRPr="003365A5">
        <w:rPr>
          <w:rFonts w:ascii="Sylfaen" w:hAnsi="Sylfaen" w:cs="Arial"/>
          <w:lang w:val="en-US"/>
        </w:rPr>
        <w:t>systems</w:t>
      </w:r>
      <w:r w:rsidRPr="00906B0B">
        <w:rPr>
          <w:rFonts w:ascii="Sylfaen" w:hAnsi="Sylfaen" w:cs="Arial"/>
        </w:rPr>
        <w:t>/</w:t>
      </w:r>
      <w:r w:rsidRPr="003365A5">
        <w:rPr>
          <w:rFonts w:ascii="Sylfaen" w:hAnsi="Sylfaen" w:cs="Arial"/>
          <w:lang w:val="en-US"/>
        </w:rPr>
        <w:t>human</w:t>
      </w:r>
      <w:r w:rsidRPr="00906B0B">
        <w:rPr>
          <w:rFonts w:ascii="Sylfaen" w:hAnsi="Sylfaen" w:cs="Arial"/>
        </w:rPr>
        <w:t>_</w:t>
      </w:r>
      <w:r w:rsidRPr="003365A5">
        <w:rPr>
          <w:rFonts w:ascii="Sylfaen" w:hAnsi="Sylfaen" w:cs="Arial"/>
          <w:lang w:val="en-US"/>
        </w:rPr>
        <w:t>resources</w:t>
      </w:r>
      <w:r w:rsidRPr="00906B0B">
        <w:rPr>
          <w:rFonts w:ascii="Sylfaen" w:hAnsi="Sylfaen" w:cs="Arial"/>
        </w:rPr>
        <w:t>/</w:t>
      </w:r>
      <w:r w:rsidRPr="003365A5">
        <w:rPr>
          <w:rFonts w:ascii="Sylfaen" w:hAnsi="Sylfaen" w:cs="Arial"/>
          <w:lang w:val="en-US"/>
        </w:rPr>
        <w:t>en</w:t>
      </w:r>
      <w:r w:rsidRPr="00906B0B">
        <w:rPr>
          <w:rFonts w:ascii="Sylfaen" w:hAnsi="Sylfaen" w:cs="Arial"/>
        </w:rPr>
        <w:t>/</w:t>
      </w:r>
    </w:p>
  </w:footnote>
  <w:footnote w:id="10">
    <w:p w14:paraId="2E309B77" w14:textId="77777777" w:rsidR="002D0DF0" w:rsidRPr="00346766" w:rsidRDefault="002D0DF0" w:rsidP="00E1428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D6C4F">
        <w:rPr>
          <w:i/>
          <w:lang w:val="en-US"/>
        </w:rPr>
        <w:t>Tuberculosis epidemiological and impact analysis in Kazakhstan, 2017,</w:t>
      </w:r>
      <w:r w:rsidRPr="00FD6C4F">
        <w:rPr>
          <w:lang w:val="en-US"/>
        </w:rPr>
        <w:t xml:space="preserve"> WHO Regional Office for Europe, 2018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9EC7F" w14:textId="413E95B2" w:rsidR="002D0DF0" w:rsidRDefault="002D0DF0">
    <w:pPr>
      <w:pStyle w:val="Header"/>
    </w:pPr>
  </w:p>
  <w:p w14:paraId="2E02822E" w14:textId="77777777" w:rsidR="002D0DF0" w:rsidRDefault="002D0DF0"/>
  <w:p w14:paraId="3148E179" w14:textId="77777777" w:rsidR="002D0DF0" w:rsidRDefault="002D0D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B6641" w14:textId="1901B07F" w:rsidR="002D0DF0" w:rsidRDefault="002D0DF0" w:rsidP="00354734">
    <w:pPr>
      <w:pStyle w:val="Header"/>
    </w:pPr>
  </w:p>
  <w:p w14:paraId="4F2EBFE7" w14:textId="77777777" w:rsidR="002D0DF0" w:rsidRDefault="002D0DF0"/>
  <w:p w14:paraId="4F84D729" w14:textId="77777777" w:rsidR="002D0DF0" w:rsidRDefault="002D0DF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DD5DE" w14:textId="0DC45D5E" w:rsidR="002D0DF0" w:rsidRDefault="002D0DF0" w:rsidP="00354734">
    <w:pPr>
      <w:pStyle w:val="Header"/>
    </w:pPr>
  </w:p>
  <w:p w14:paraId="0AF28CE7" w14:textId="77777777" w:rsidR="002D0DF0" w:rsidRDefault="002D0DF0"/>
  <w:p w14:paraId="161438F0" w14:textId="77777777" w:rsidR="002D0DF0" w:rsidRDefault="002D0DF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21EE5" w14:textId="67D1D5E6" w:rsidR="002D0DF0" w:rsidRPr="002D0DF0" w:rsidRDefault="002D0DF0" w:rsidP="00354734">
    <w:pPr>
      <w:pStyle w:val="Header"/>
      <w:jc w:val="right"/>
      <w:rPr>
        <w:b/>
        <w:i/>
        <w:sz w:val="18"/>
        <w:szCs w:val="18"/>
      </w:rPr>
    </w:pPr>
    <w:r w:rsidRPr="002D0DF0">
      <w:rPr>
        <w:b/>
        <w:i/>
        <w:sz w:val="18"/>
        <w:szCs w:val="18"/>
      </w:rPr>
      <w:t>Финальная версия, 13 Декабря 2018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hybridMultilevel"/>
    <w:tmpl w:val="2D1D5AE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5A2A8D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4"/>
    <w:multiLevelType w:val="hybridMultilevel"/>
    <w:tmpl w:val="71F32454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5"/>
    <w:multiLevelType w:val="hybridMultilevel"/>
    <w:tmpl w:val="2CA88610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3F03F15"/>
    <w:multiLevelType w:val="hybridMultilevel"/>
    <w:tmpl w:val="96748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6F3D4E"/>
    <w:multiLevelType w:val="hybridMultilevel"/>
    <w:tmpl w:val="B428F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D75C49"/>
    <w:multiLevelType w:val="hybridMultilevel"/>
    <w:tmpl w:val="34BC6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C107C0E"/>
    <w:multiLevelType w:val="hybridMultilevel"/>
    <w:tmpl w:val="0F40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A652A0"/>
    <w:multiLevelType w:val="hybridMultilevel"/>
    <w:tmpl w:val="886C3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C1597"/>
    <w:multiLevelType w:val="hybridMultilevel"/>
    <w:tmpl w:val="E258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E587C"/>
    <w:multiLevelType w:val="hybridMultilevel"/>
    <w:tmpl w:val="A202AD58"/>
    <w:lvl w:ilvl="0" w:tplc="ACAA7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3A4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32B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445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4E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4A03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200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28E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A4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7B162E0"/>
    <w:multiLevelType w:val="hybridMultilevel"/>
    <w:tmpl w:val="675ED7AE"/>
    <w:lvl w:ilvl="0" w:tplc="43CE96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F19A9"/>
    <w:multiLevelType w:val="hybridMultilevel"/>
    <w:tmpl w:val="19BC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07FF7"/>
    <w:multiLevelType w:val="hybridMultilevel"/>
    <w:tmpl w:val="0BCE3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153BC"/>
    <w:multiLevelType w:val="hybridMultilevel"/>
    <w:tmpl w:val="119C07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327B4768"/>
    <w:multiLevelType w:val="hybridMultilevel"/>
    <w:tmpl w:val="7B7CB7BC"/>
    <w:lvl w:ilvl="0" w:tplc="72081C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355DA"/>
    <w:multiLevelType w:val="hybridMultilevel"/>
    <w:tmpl w:val="8924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012D7"/>
    <w:multiLevelType w:val="hybridMultilevel"/>
    <w:tmpl w:val="D994B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7D6C08"/>
    <w:multiLevelType w:val="hybridMultilevel"/>
    <w:tmpl w:val="5F4E8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080C89"/>
    <w:multiLevelType w:val="hybridMultilevel"/>
    <w:tmpl w:val="0D54B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01551B"/>
    <w:multiLevelType w:val="hybridMultilevel"/>
    <w:tmpl w:val="59FECE9E"/>
    <w:lvl w:ilvl="0" w:tplc="1A069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DE40AC1"/>
    <w:multiLevelType w:val="hybridMultilevel"/>
    <w:tmpl w:val="8CDC3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CD676C"/>
    <w:multiLevelType w:val="hybridMultilevel"/>
    <w:tmpl w:val="BAAE1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020F2"/>
    <w:multiLevelType w:val="hybridMultilevel"/>
    <w:tmpl w:val="20B8789A"/>
    <w:lvl w:ilvl="0" w:tplc="6626484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4">
    <w:nsid w:val="43DD483F"/>
    <w:multiLevelType w:val="hybridMultilevel"/>
    <w:tmpl w:val="CBCC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A7FFA"/>
    <w:multiLevelType w:val="hybridMultilevel"/>
    <w:tmpl w:val="84A42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0CAA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512DE"/>
    <w:multiLevelType w:val="hybridMultilevel"/>
    <w:tmpl w:val="04D2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585E82"/>
    <w:multiLevelType w:val="hybridMultilevel"/>
    <w:tmpl w:val="C65076D2"/>
    <w:lvl w:ilvl="0" w:tplc="1A069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BC42A18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70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396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>
    <w:nsid w:val="61996373"/>
    <w:multiLevelType w:val="hybridMultilevel"/>
    <w:tmpl w:val="11DEE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F6B47"/>
    <w:multiLevelType w:val="hybridMultilevel"/>
    <w:tmpl w:val="26D8B538"/>
    <w:lvl w:ilvl="0" w:tplc="568C8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825DA6"/>
    <w:multiLevelType w:val="hybridMultilevel"/>
    <w:tmpl w:val="F3161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C885A53"/>
    <w:multiLevelType w:val="hybridMultilevel"/>
    <w:tmpl w:val="A3FA1B5E"/>
    <w:lvl w:ilvl="0" w:tplc="94F86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F1552A"/>
    <w:multiLevelType w:val="hybridMultilevel"/>
    <w:tmpl w:val="FC9EE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73173"/>
    <w:multiLevelType w:val="hybridMultilevel"/>
    <w:tmpl w:val="76807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1"/>
  </w:num>
  <w:num w:numId="4">
    <w:abstractNumId w:val="13"/>
  </w:num>
  <w:num w:numId="5">
    <w:abstractNumId w:val="27"/>
  </w:num>
  <w:num w:numId="6">
    <w:abstractNumId w:val="20"/>
  </w:num>
  <w:num w:numId="7">
    <w:abstractNumId w:val="10"/>
  </w:num>
  <w:num w:numId="8">
    <w:abstractNumId w:val="14"/>
  </w:num>
  <w:num w:numId="9">
    <w:abstractNumId w:val="0"/>
  </w:num>
  <w:num w:numId="10">
    <w:abstractNumId w:val="28"/>
  </w:num>
  <w:num w:numId="11">
    <w:abstractNumId w:val="32"/>
  </w:num>
  <w:num w:numId="12">
    <w:abstractNumId w:val="30"/>
  </w:num>
  <w:num w:numId="13">
    <w:abstractNumId w:val="15"/>
  </w:num>
  <w:num w:numId="14">
    <w:abstractNumId w:val="18"/>
  </w:num>
  <w:num w:numId="15">
    <w:abstractNumId w:val="33"/>
  </w:num>
  <w:num w:numId="16">
    <w:abstractNumId w:val="17"/>
  </w:num>
  <w:num w:numId="17">
    <w:abstractNumId w:val="8"/>
  </w:num>
  <w:num w:numId="18">
    <w:abstractNumId w:val="31"/>
  </w:num>
  <w:num w:numId="19">
    <w:abstractNumId w:val="5"/>
  </w:num>
  <w:num w:numId="20">
    <w:abstractNumId w:val="11"/>
  </w:num>
  <w:num w:numId="21">
    <w:abstractNumId w:val="1"/>
  </w:num>
  <w:num w:numId="22">
    <w:abstractNumId w:val="3"/>
  </w:num>
  <w:num w:numId="23">
    <w:abstractNumId w:val="2"/>
  </w:num>
  <w:num w:numId="24">
    <w:abstractNumId w:val="19"/>
  </w:num>
  <w:num w:numId="25">
    <w:abstractNumId w:val="34"/>
  </w:num>
  <w:num w:numId="26">
    <w:abstractNumId w:val="9"/>
  </w:num>
  <w:num w:numId="27">
    <w:abstractNumId w:val="22"/>
  </w:num>
  <w:num w:numId="28">
    <w:abstractNumId w:val="12"/>
  </w:num>
  <w:num w:numId="29">
    <w:abstractNumId w:val="23"/>
  </w:num>
  <w:num w:numId="30">
    <w:abstractNumId w:val="25"/>
  </w:num>
  <w:num w:numId="31">
    <w:abstractNumId w:val="26"/>
  </w:num>
  <w:num w:numId="32">
    <w:abstractNumId w:val="6"/>
  </w:num>
  <w:num w:numId="33">
    <w:abstractNumId w:val="24"/>
  </w:num>
  <w:num w:numId="34">
    <w:abstractNumId w:val="1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5F"/>
    <w:rsid w:val="001353BE"/>
    <w:rsid w:val="001A7534"/>
    <w:rsid w:val="00203880"/>
    <w:rsid w:val="0022534B"/>
    <w:rsid w:val="0024225F"/>
    <w:rsid w:val="002B6DDE"/>
    <w:rsid w:val="002D0DF0"/>
    <w:rsid w:val="00302805"/>
    <w:rsid w:val="00317729"/>
    <w:rsid w:val="00340901"/>
    <w:rsid w:val="00354734"/>
    <w:rsid w:val="00383FF5"/>
    <w:rsid w:val="003A4386"/>
    <w:rsid w:val="00426FBE"/>
    <w:rsid w:val="004C7F87"/>
    <w:rsid w:val="004F6960"/>
    <w:rsid w:val="0053195E"/>
    <w:rsid w:val="005320BC"/>
    <w:rsid w:val="005F4544"/>
    <w:rsid w:val="00604FF1"/>
    <w:rsid w:val="006216B0"/>
    <w:rsid w:val="00651DDF"/>
    <w:rsid w:val="00686466"/>
    <w:rsid w:val="006B0999"/>
    <w:rsid w:val="006D0519"/>
    <w:rsid w:val="006D5DBF"/>
    <w:rsid w:val="00731394"/>
    <w:rsid w:val="007B0543"/>
    <w:rsid w:val="008D257F"/>
    <w:rsid w:val="0093067F"/>
    <w:rsid w:val="00951FE4"/>
    <w:rsid w:val="00A10C77"/>
    <w:rsid w:val="00A72214"/>
    <w:rsid w:val="00A85763"/>
    <w:rsid w:val="00AD47B2"/>
    <w:rsid w:val="00BD2BC5"/>
    <w:rsid w:val="00BF2229"/>
    <w:rsid w:val="00C65FA5"/>
    <w:rsid w:val="00DB32C7"/>
    <w:rsid w:val="00E14288"/>
    <w:rsid w:val="00EC219D"/>
    <w:rsid w:val="00EF1A04"/>
    <w:rsid w:val="00FB6755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93AEF"/>
  <w15:chartTrackingRefBased/>
  <w15:docId w15:val="{4733B580-076E-4C87-806F-1610109D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288"/>
    <w:pPr>
      <w:spacing w:after="200" w:line="276" w:lineRule="auto"/>
    </w:pPr>
    <w:rPr>
      <w:rFonts w:asciiTheme="majorHAnsi" w:eastAsiaTheme="majorEastAsia" w:hAnsiTheme="majorHAnsi" w:cstheme="maj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288"/>
    <w:pPr>
      <w:numPr>
        <w:numId w:val="10"/>
      </w:numPr>
      <w:spacing w:before="480" w:after="0"/>
      <w:ind w:left="432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288"/>
    <w:pPr>
      <w:numPr>
        <w:ilvl w:val="1"/>
        <w:numId w:val="10"/>
      </w:num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288"/>
    <w:pPr>
      <w:numPr>
        <w:ilvl w:val="2"/>
        <w:numId w:val="10"/>
      </w:num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288"/>
    <w:pPr>
      <w:numPr>
        <w:ilvl w:val="3"/>
        <w:numId w:val="10"/>
      </w:num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288"/>
    <w:pPr>
      <w:numPr>
        <w:ilvl w:val="4"/>
        <w:numId w:val="10"/>
      </w:num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288"/>
    <w:pPr>
      <w:numPr>
        <w:ilvl w:val="5"/>
        <w:numId w:val="10"/>
      </w:num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288"/>
    <w:pPr>
      <w:numPr>
        <w:ilvl w:val="6"/>
        <w:numId w:val="10"/>
      </w:num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288"/>
    <w:pPr>
      <w:numPr>
        <w:ilvl w:val="7"/>
        <w:numId w:val="10"/>
      </w:num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288"/>
    <w:pPr>
      <w:numPr>
        <w:ilvl w:val="8"/>
        <w:numId w:val="10"/>
      </w:num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288"/>
    <w:rPr>
      <w:rFonts w:asciiTheme="majorHAnsi" w:eastAsiaTheme="majorEastAsia" w:hAnsiTheme="majorHAnsi" w:cstheme="majorBidi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1428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14288"/>
    <w:rPr>
      <w:rFonts w:asciiTheme="majorHAnsi" w:eastAsiaTheme="majorEastAsia" w:hAnsiTheme="majorHAnsi" w:cstheme="majorBidi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14288"/>
    <w:rPr>
      <w:rFonts w:asciiTheme="majorHAnsi" w:eastAsiaTheme="majorEastAsia" w:hAnsiTheme="majorHAnsi" w:cstheme="majorBidi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28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288"/>
    <w:rPr>
      <w:rFonts w:asciiTheme="majorHAnsi" w:eastAsiaTheme="majorEastAsia" w:hAnsiTheme="majorHAnsi" w:cstheme="majorBidi"/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288"/>
    <w:rPr>
      <w:rFonts w:asciiTheme="majorHAnsi" w:eastAsiaTheme="majorEastAsia" w:hAnsiTheme="majorHAnsi" w:cstheme="majorBidi"/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288"/>
    <w:rPr>
      <w:rFonts w:asciiTheme="majorHAnsi" w:eastAsiaTheme="majorEastAsia" w:hAnsiTheme="majorHAnsi" w:cstheme="majorBidi"/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288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  <w:szCs w:val="18"/>
    </w:rPr>
  </w:style>
  <w:style w:type="paragraph" w:customStyle="1" w:styleId="Default">
    <w:name w:val="Default"/>
    <w:rsid w:val="00E14288"/>
    <w:pPr>
      <w:autoSpaceDE w:val="0"/>
      <w:autoSpaceDN w:val="0"/>
      <w:adjustRightInd w:val="0"/>
      <w:spacing w:after="0" w:line="240" w:lineRule="auto"/>
    </w:pPr>
    <w:rPr>
      <w:rFonts w:ascii="Century Gothic" w:eastAsiaTheme="majorEastAsia" w:hAnsi="Century Gothic" w:cs="Century Gothic"/>
      <w:color w:val="000000"/>
      <w:sz w:val="24"/>
      <w:szCs w:val="24"/>
    </w:rPr>
  </w:style>
  <w:style w:type="paragraph" w:styleId="FootnoteText">
    <w:name w:val="footnote text"/>
    <w:aliases w:val="single space,FOOTNOTES,fn,Footnote Text Char1 Char,Footnote Text Char Char Char,Footnote Text Char Char,Footnote Text Char1 Char Char Char Char,Footnote Text Char Char1,Footnote Text Char Char Char1,Geneva 9,f,ft,Footnote a"/>
    <w:basedOn w:val="Normal"/>
    <w:link w:val="FootnoteTextChar"/>
    <w:uiPriority w:val="99"/>
    <w:unhideWhenUsed/>
    <w:rsid w:val="00E142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S Char,fn Char,Footnote Text Char1 Char Char,Footnote Text Char Char Char Char,Footnote Text Char Char Char2,Footnote Text Char1 Char Char Char Char Char,Footnote Text Char Char1 Char,Geneva 9 Char,f Char"/>
    <w:basedOn w:val="DefaultParagraphFont"/>
    <w:link w:val="FootnoteText"/>
    <w:uiPriority w:val="99"/>
    <w:rsid w:val="00E14288"/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aliases w:val="ftref,BVI fnr,16 Point,Superscript 6 Point,Fußnotenzeichen DISS,fr,(NECG) Footnote Reference,footnote ref,Char Char Char Char Car Char, BVI fnr"/>
    <w:basedOn w:val="DefaultParagraphFont"/>
    <w:uiPriority w:val="99"/>
    <w:unhideWhenUsed/>
    <w:rsid w:val="00E14288"/>
    <w:rPr>
      <w:vertAlign w:val="superscript"/>
    </w:rPr>
  </w:style>
  <w:style w:type="table" w:styleId="TableGrid">
    <w:name w:val="Table Grid"/>
    <w:basedOn w:val="TableNormal"/>
    <w:uiPriority w:val="59"/>
    <w:rsid w:val="00E14288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Arial">
    <w:name w:val="Style Arial"/>
    <w:rsid w:val="00E14288"/>
    <w:rPr>
      <w:rFonts w:ascii="Arial" w:hAnsi="Arial"/>
    </w:rPr>
  </w:style>
  <w:style w:type="character" w:customStyle="1" w:styleId="hps">
    <w:name w:val="hps"/>
    <w:basedOn w:val="DefaultParagraphFont"/>
    <w:rsid w:val="00E14288"/>
  </w:style>
  <w:style w:type="character" w:customStyle="1" w:styleId="atn">
    <w:name w:val="atn"/>
    <w:basedOn w:val="DefaultParagraphFont"/>
    <w:rsid w:val="00E14288"/>
  </w:style>
  <w:style w:type="paragraph" w:styleId="ListParagraph">
    <w:name w:val="List Paragraph"/>
    <w:basedOn w:val="Normal"/>
    <w:link w:val="ListParagraphChar"/>
    <w:uiPriority w:val="34"/>
    <w:qFormat/>
    <w:rsid w:val="00E14288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rsid w:val="00E14288"/>
    <w:pPr>
      <w:spacing w:before="120" w:after="120"/>
    </w:pPr>
    <w:rPr>
      <w:rFonts w:ascii="Calibri" w:eastAsiaTheme="minorEastAsia" w:hAnsi="Calibri" w:cs="Times New Roman"/>
      <w:b/>
      <w:bCs/>
      <w:color w:val="01596B"/>
      <w:sz w:val="20"/>
      <w:szCs w:val="16"/>
      <w:lang w:val="en-GB"/>
    </w:rPr>
  </w:style>
  <w:style w:type="character" w:customStyle="1" w:styleId="CaptionChar">
    <w:name w:val="Caption Char"/>
    <w:basedOn w:val="DefaultParagraphFont"/>
    <w:link w:val="Caption"/>
    <w:uiPriority w:val="35"/>
    <w:rsid w:val="00E14288"/>
    <w:rPr>
      <w:rFonts w:ascii="Calibri" w:eastAsiaTheme="minorEastAsia" w:hAnsi="Calibri" w:cs="Times New Roman"/>
      <w:b/>
      <w:bCs/>
      <w:color w:val="01596B"/>
      <w:sz w:val="20"/>
      <w:szCs w:val="16"/>
      <w:lang w:val="en-GB"/>
    </w:rPr>
  </w:style>
  <w:style w:type="character" w:styleId="CommentReference">
    <w:name w:val="annotation reference"/>
    <w:basedOn w:val="DefaultParagraphFont"/>
    <w:rsid w:val="00E142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4288"/>
    <w:pPr>
      <w:spacing w:before="120" w:after="0"/>
    </w:pPr>
    <w:rPr>
      <w:rFonts w:ascii="Calibri" w:eastAsiaTheme="minorEastAsia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14288"/>
    <w:rPr>
      <w:rFonts w:ascii="Calibri" w:eastAsiaTheme="minorEastAsia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88"/>
    <w:rPr>
      <w:rFonts w:ascii="Tahoma" w:eastAsiaTheme="majorEastAsi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288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288"/>
    <w:rPr>
      <w:rFonts w:asciiTheme="majorHAnsi" w:eastAsiaTheme="majorEastAsia" w:hAnsiTheme="majorHAnsi" w:cstheme="majorBidi"/>
      <w:i/>
      <w:iCs/>
      <w:smallCaps/>
      <w:spacing w:val="1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14288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E142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nhideWhenUsed/>
    <w:rsid w:val="00E1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14288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E1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88"/>
    <w:rPr>
      <w:rFonts w:asciiTheme="majorHAnsi" w:eastAsiaTheme="majorEastAsia" w:hAnsiTheme="majorHAnsi" w:cstheme="majorBidi"/>
    </w:rPr>
  </w:style>
  <w:style w:type="paragraph" w:styleId="TOCHeading">
    <w:name w:val="TOC Heading"/>
    <w:basedOn w:val="Heading1"/>
    <w:next w:val="Normal"/>
    <w:uiPriority w:val="39"/>
    <w:unhideWhenUsed/>
    <w:qFormat/>
    <w:rsid w:val="00E14288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14288"/>
    <w:pPr>
      <w:tabs>
        <w:tab w:val="left" w:pos="440"/>
        <w:tab w:val="right" w:leader="dot" w:pos="9016"/>
      </w:tabs>
      <w:spacing w:after="100"/>
    </w:pPr>
    <w:rPr>
      <w:noProof/>
      <w:color w:val="7030A0"/>
    </w:rPr>
  </w:style>
  <w:style w:type="paragraph" w:styleId="TOC2">
    <w:name w:val="toc 2"/>
    <w:basedOn w:val="Normal"/>
    <w:next w:val="Normal"/>
    <w:autoRedefine/>
    <w:uiPriority w:val="39"/>
    <w:unhideWhenUsed/>
    <w:rsid w:val="00E1428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14288"/>
    <w:pPr>
      <w:spacing w:after="100"/>
      <w:ind w:left="440"/>
    </w:pPr>
  </w:style>
  <w:style w:type="character" w:customStyle="1" w:styleId="A10">
    <w:name w:val="A10"/>
    <w:uiPriority w:val="99"/>
    <w:rsid w:val="00E14288"/>
    <w:rPr>
      <w:color w:val="221E1F"/>
      <w:sz w:val="21"/>
    </w:rPr>
  </w:style>
  <w:style w:type="paragraph" w:styleId="Title">
    <w:name w:val="Title"/>
    <w:aliases w:val="Title_CIF"/>
    <w:basedOn w:val="Normal"/>
    <w:next w:val="Normal"/>
    <w:link w:val="TitleChar"/>
    <w:uiPriority w:val="10"/>
    <w:qFormat/>
    <w:rsid w:val="00E1428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aliases w:val="Title_CIF Char"/>
    <w:basedOn w:val="DefaultParagraphFont"/>
    <w:link w:val="Title"/>
    <w:uiPriority w:val="10"/>
    <w:rsid w:val="00E14288"/>
    <w:rPr>
      <w:rFonts w:asciiTheme="majorHAnsi" w:eastAsiaTheme="majorEastAsia" w:hAnsiTheme="majorHAnsi" w:cstheme="majorBidi"/>
      <w:smallCaps/>
      <w:sz w:val="52"/>
      <w:szCs w:val="52"/>
    </w:rPr>
  </w:style>
  <w:style w:type="character" w:styleId="Strong">
    <w:name w:val="Strong"/>
    <w:uiPriority w:val="22"/>
    <w:qFormat/>
    <w:rsid w:val="00E14288"/>
    <w:rPr>
      <w:b/>
      <w:bCs/>
    </w:rPr>
  </w:style>
  <w:style w:type="character" w:styleId="Emphasis">
    <w:name w:val="Emphasis"/>
    <w:uiPriority w:val="20"/>
    <w:qFormat/>
    <w:rsid w:val="00E14288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1428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1428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14288"/>
    <w:rPr>
      <w:rFonts w:asciiTheme="majorHAnsi" w:eastAsiaTheme="majorEastAsia" w:hAnsiTheme="majorHAnsi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28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288"/>
    <w:rPr>
      <w:rFonts w:asciiTheme="majorHAnsi" w:eastAsiaTheme="majorEastAsia" w:hAnsiTheme="majorHAnsi" w:cstheme="majorBidi"/>
      <w:i/>
      <w:iCs/>
    </w:rPr>
  </w:style>
  <w:style w:type="character" w:styleId="SubtleEmphasis">
    <w:name w:val="Subtle Emphasis"/>
    <w:uiPriority w:val="19"/>
    <w:qFormat/>
    <w:rsid w:val="00E14288"/>
    <w:rPr>
      <w:i/>
      <w:iCs/>
    </w:rPr>
  </w:style>
  <w:style w:type="character" w:styleId="IntenseEmphasis">
    <w:name w:val="Intense Emphasis"/>
    <w:uiPriority w:val="21"/>
    <w:qFormat/>
    <w:rsid w:val="00E1428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14288"/>
    <w:rPr>
      <w:smallCaps/>
    </w:rPr>
  </w:style>
  <w:style w:type="character" w:styleId="IntenseReference">
    <w:name w:val="Intense Reference"/>
    <w:uiPriority w:val="32"/>
    <w:qFormat/>
    <w:rsid w:val="00E14288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14288"/>
    <w:rPr>
      <w:i/>
      <w:iCs/>
      <w:smallCaps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288"/>
    <w:pPr>
      <w:spacing w:before="0" w:after="200" w:line="240" w:lineRule="auto"/>
    </w:pPr>
    <w:rPr>
      <w:rFonts w:asciiTheme="majorHAnsi" w:eastAsiaTheme="majorEastAsia" w:hAnsiTheme="majorHAnsi" w:cstheme="majorBidi"/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288"/>
    <w:rPr>
      <w:rFonts w:asciiTheme="majorHAnsi" w:eastAsiaTheme="majorEastAsia" w:hAnsiTheme="majorHAnsi" w:cstheme="majorBidi"/>
      <w:b/>
      <w:bCs/>
      <w:sz w:val="20"/>
      <w:szCs w:val="20"/>
      <w:lang w:val="en-GB"/>
    </w:rPr>
  </w:style>
  <w:style w:type="paragraph" w:styleId="EndnoteText">
    <w:name w:val="endnote text"/>
    <w:basedOn w:val="Normal"/>
    <w:link w:val="EndnoteTextChar"/>
    <w:uiPriority w:val="99"/>
    <w:unhideWhenUsed/>
    <w:rsid w:val="00E142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14288"/>
    <w:rPr>
      <w:rFonts w:asciiTheme="majorHAnsi" w:eastAsiaTheme="majorEastAsia" w:hAnsiTheme="majorHAnsi" w:cs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288"/>
    <w:rPr>
      <w:vertAlign w:val="superscript"/>
    </w:rPr>
  </w:style>
  <w:style w:type="character" w:customStyle="1" w:styleId="apple-converted-space">
    <w:name w:val="apple-converted-space"/>
    <w:basedOn w:val="DefaultParagraphFont"/>
    <w:rsid w:val="00E14288"/>
  </w:style>
  <w:style w:type="character" w:customStyle="1" w:styleId="NoSpacingChar">
    <w:name w:val="No Spacing Char"/>
    <w:link w:val="NoSpacing"/>
    <w:uiPriority w:val="1"/>
    <w:rsid w:val="00E14288"/>
    <w:rPr>
      <w:rFonts w:asciiTheme="majorHAnsi" w:eastAsiaTheme="majorEastAsia" w:hAnsiTheme="majorHAnsi" w:cstheme="majorBidi"/>
    </w:rPr>
  </w:style>
  <w:style w:type="character" w:customStyle="1" w:styleId="ListParagraphChar">
    <w:name w:val="List Paragraph Char"/>
    <w:link w:val="ListParagraph"/>
    <w:uiPriority w:val="34"/>
    <w:locked/>
    <w:rsid w:val="00E14288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E14288"/>
    <w:rPr>
      <w:color w:val="954F72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14288"/>
    <w:pPr>
      <w:spacing w:after="0"/>
    </w:pPr>
  </w:style>
  <w:style w:type="character" w:styleId="PageNumber">
    <w:name w:val="page number"/>
    <w:basedOn w:val="DefaultParagraphFont"/>
    <w:uiPriority w:val="99"/>
    <w:rsid w:val="00E14288"/>
  </w:style>
  <w:style w:type="paragraph" w:customStyle="1" w:styleId="Normal0">
    <w:name w:val="[Normal]"/>
    <w:qFormat/>
    <w:rsid w:val="00E14288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E1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E14288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BodyTextIndentChar">
    <w:name w:val="Body Text Indent Char"/>
    <w:basedOn w:val="DefaultParagraphFont"/>
    <w:link w:val="BodyTextIndent"/>
    <w:rsid w:val="00E14288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styleId="Revision">
    <w:name w:val="Revision"/>
    <w:hidden/>
    <w:uiPriority w:val="99"/>
    <w:semiHidden/>
    <w:rsid w:val="00E14288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footer" Target="foot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worldbank.org/country/kazakhstan" TargetMode="External"/><Relationship Id="rId2" Type="http://schemas.openxmlformats.org/officeDocument/2006/relationships/hyperlink" Target="http://stat.gov.kz" TargetMode="External"/><Relationship Id="rId1" Type="http://schemas.openxmlformats.org/officeDocument/2006/relationships/hyperlink" Target="https://www.theglobalfund.org/en/portfolio/country/?loc=KAZ&amp;k=cee65577-bd1c-4508-9205-3972358d659f" TargetMode="External"/><Relationship Id="rId6" Type="http://schemas.openxmlformats.org/officeDocument/2006/relationships/hyperlink" Target="http://www.prisonstudies.org/world-prison-brief-data" TargetMode="External"/><Relationship Id="rId5" Type="http://schemas.openxmlformats.org/officeDocument/2006/relationships/hyperlink" Target="http://www.unaids.org/en/regionscountries/countries/kazakhstan" TargetMode="External"/><Relationship Id="rId4" Type="http://schemas.openxmlformats.org/officeDocument/2006/relationships/hyperlink" Target="http://www.who.int/tb/publications/global_report/en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645013485283455E-2"/>
          <c:y val="7.3226883273516993E-2"/>
          <c:w val="0.95664470512614497"/>
          <c:h val="0.664900534897963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новые случаи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8.8251516822945401E-3"/>
                  <c:y val="-4.866769723267530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D68-48B2-A39D-0BBA6DB8BAE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8251516822945401E-3"/>
                  <c:y val="4.866769723267530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D68-48B2-A39D-0BBA6DB8BAE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3237727523441808E-2"/>
                  <c:y val="5.30926466684364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D68-48B2-A39D-0BBA6DB8BAE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18.5</c:v>
                </c:pt>
                <c:pt idx="1">
                  <c:v>20.399999999999999</c:v>
                </c:pt>
                <c:pt idx="2">
                  <c:v>25.3</c:v>
                </c:pt>
                <c:pt idx="3">
                  <c:v>19.100000000000001</c:v>
                </c:pt>
                <c:pt idx="4">
                  <c:v>20.8</c:v>
                </c:pt>
                <c:pt idx="5">
                  <c:v>25.2</c:v>
                </c:pt>
                <c:pt idx="6">
                  <c:v>23.8</c:v>
                </c:pt>
                <c:pt idx="7">
                  <c:v>21.9</c:v>
                </c:pt>
                <c:pt idx="8">
                  <c:v>19.5</c:v>
                </c:pt>
                <c:pt idx="9">
                  <c:v>17.2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D68-48B2-A39D-0BBA6DB8BA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повторные случаи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45.2</c:v>
                </c:pt>
                <c:pt idx="1">
                  <c:v>35.6</c:v>
                </c:pt>
                <c:pt idx="2">
                  <c:v>37.299999999999997</c:v>
                </c:pt>
                <c:pt idx="3">
                  <c:v>53.3</c:v>
                </c:pt>
                <c:pt idx="4">
                  <c:v>53.6</c:v>
                </c:pt>
                <c:pt idx="5">
                  <c:v>48.6</c:v>
                </c:pt>
                <c:pt idx="6" formatCode="0.0">
                  <c:v>40</c:v>
                </c:pt>
                <c:pt idx="7">
                  <c:v>44.9</c:v>
                </c:pt>
                <c:pt idx="8">
                  <c:v>47.1</c:v>
                </c:pt>
                <c:pt idx="9">
                  <c:v>35.1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D68-48B2-A39D-0BBA6DB8BA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59849440"/>
        <c:axId val="459850224"/>
      </c:barChart>
      <c:catAx>
        <c:axId val="459849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9850224"/>
        <c:crosses val="autoZero"/>
        <c:auto val="1"/>
        <c:lblAlgn val="ctr"/>
        <c:lblOffset val="100"/>
        <c:noMultiLvlLbl val="0"/>
      </c:catAx>
      <c:valAx>
        <c:axId val="459850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984944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678111676275582E-2"/>
          <c:y val="1.8838194267752569E-2"/>
          <c:w val="0.93915440668600936"/>
          <c:h val="0.85071574642126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МЛУ ТБ</c:v>
                </c:pt>
              </c:strCache>
            </c:strRef>
          </c:tx>
          <c:spPr>
            <a:solidFill>
              <a:srgbClr val="99CCFF"/>
            </a:solidFill>
            <a:ln w="27051">
              <a:noFill/>
            </a:ln>
          </c:spPr>
          <c:invertIfNegative val="0"/>
          <c:dLbls>
            <c:spPr>
              <a:noFill/>
              <a:ln w="27051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900" b="0" i="0" u="none" strike="noStrike" baseline="0">
                    <a:solidFill>
                      <a:schemeClr val="tx1"/>
                    </a:solidFill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Sheet1!$B$2:$K$2</c:f>
              <c:numCache>
                <c:formatCode>General</c:formatCode>
                <c:ptCount val="10"/>
                <c:pt idx="0">
                  <c:v>7591</c:v>
                </c:pt>
                <c:pt idx="1">
                  <c:v>8974</c:v>
                </c:pt>
                <c:pt idx="2">
                  <c:v>8664</c:v>
                </c:pt>
                <c:pt idx="3">
                  <c:v>8324</c:v>
                </c:pt>
                <c:pt idx="4">
                  <c:v>8424</c:v>
                </c:pt>
                <c:pt idx="5">
                  <c:v>7802</c:v>
                </c:pt>
                <c:pt idx="6">
                  <c:v>7373</c:v>
                </c:pt>
                <c:pt idx="7">
                  <c:v>6998</c:v>
                </c:pt>
                <c:pt idx="8">
                  <c:v>6314</c:v>
                </c:pt>
                <c:pt idx="9">
                  <c:v>5893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15-431F-BD5A-F1B5DE4556D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ШЛУ ТБ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900" b="0">
                    <a:latin typeface="Cambria" panose="02040503050406030204" pitchFamily="18" charset="0"/>
                    <a:ea typeface="Cambria" panose="020405030504060302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Sheet1!$B$1:$K$1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Sheet1!$B$3:$K$3</c:f>
              <c:numCache>
                <c:formatCode>General</c:formatCode>
                <c:ptCount val="10"/>
                <c:pt idx="1">
                  <c:v>2</c:v>
                </c:pt>
                <c:pt idx="2">
                  <c:v>21</c:v>
                </c:pt>
                <c:pt idx="3">
                  <c:v>163</c:v>
                </c:pt>
                <c:pt idx="4">
                  <c:v>200</c:v>
                </c:pt>
                <c:pt idx="5">
                  <c:v>406</c:v>
                </c:pt>
                <c:pt idx="6">
                  <c:v>419</c:v>
                </c:pt>
                <c:pt idx="7">
                  <c:v>530</c:v>
                </c:pt>
                <c:pt idx="8">
                  <c:v>558</c:v>
                </c:pt>
                <c:pt idx="9">
                  <c:v>547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15-431F-BD5A-F1B5DE4556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1"/>
        <c:axId val="417904512"/>
        <c:axId val="423657392"/>
      </c:barChart>
      <c:catAx>
        <c:axId val="417904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381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lang="en-US" sz="900" b="0" i="0" u="none" strike="noStrike" baseline="0">
                <a:solidFill>
                  <a:schemeClr val="tx1"/>
                </a:solidFill>
                <a:latin typeface="Cambria" panose="02040503050406030204" pitchFamily="18" charset="0"/>
                <a:ea typeface="Cambria" panose="020405030504060302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4236573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236573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417904512"/>
        <c:crosses val="autoZero"/>
        <c:crossBetween val="between"/>
      </c:valAx>
      <c:spPr>
        <a:noFill/>
        <a:ln w="27051">
          <a:noFill/>
        </a:ln>
      </c:spPr>
    </c:plotArea>
    <c:legend>
      <c:legendPos val="t"/>
      <c:layout>
        <c:manualLayout>
          <c:xMode val="edge"/>
          <c:yMode val="edge"/>
          <c:x val="0.63558331762039499"/>
          <c:y val="3.3424077036930275E-2"/>
          <c:w val="0.30885273571530758"/>
          <c:h val="5.8926587081867515E-2"/>
        </c:manualLayout>
      </c:layout>
      <c:overlay val="0"/>
      <c:txPr>
        <a:bodyPr/>
        <a:lstStyle/>
        <a:p>
          <a:pPr>
            <a:defRPr lang="en-US" sz="1100" b="0"/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236" b="1" i="0" u="none" strike="noStrike" baseline="0">
          <a:solidFill>
            <a:schemeClr val="tx1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58035736187182"/>
          <c:y val="0.14543718976708672"/>
          <c:w val="0.77264489135119796"/>
          <c:h val="0.494888353732415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Общие ожидаемые внутренние ресурсы (долл. США)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Sheet1!$B$5:$B$8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Sheet1!$C$5:$C$8</c:f>
              <c:numCache>
                <c:formatCode>#,##0</c:formatCode>
                <c:ptCount val="4"/>
                <c:pt idx="0">
                  <c:v>147208937</c:v>
                </c:pt>
                <c:pt idx="1">
                  <c:v>147490034</c:v>
                </c:pt>
                <c:pt idx="2">
                  <c:v>147709281</c:v>
                </c:pt>
                <c:pt idx="3">
                  <c:v>147928528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EC-48B2-822F-8C270F4FEF73}"/>
            </c:ext>
          </c:extLst>
        </c:ser>
        <c:ser>
          <c:idx val="1"/>
          <c:order val="1"/>
          <c:tx>
            <c:strRef>
              <c:f>Sheet1!$D$4</c:f>
              <c:strCache>
                <c:ptCount val="1"/>
                <c:pt idx="0">
                  <c:v>Общие ожидаемые ресурсы Глобального фонда (долл. США)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Sheet1!$B$5:$B$8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Sheet1!$D$5:$D$8</c:f>
              <c:numCache>
                <c:formatCode>#,##0</c:formatCode>
                <c:ptCount val="4"/>
                <c:pt idx="0">
                  <c:v>5932168</c:v>
                </c:pt>
                <c:pt idx="1">
                  <c:v>4136592</c:v>
                </c:pt>
                <c:pt idx="2">
                  <c:v>2420433</c:v>
                </c:pt>
                <c:pt idx="3">
                  <c:v>1497637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EC-48B2-822F-8C270F4FEF73}"/>
            </c:ext>
          </c:extLst>
        </c:ser>
        <c:ser>
          <c:idx val="2"/>
          <c:order val="2"/>
          <c:tx>
            <c:strRef>
              <c:f>Sheet1!$E$4</c:f>
              <c:strCache>
                <c:ptCount val="1"/>
                <c:pt idx="0">
                  <c:v>Общие ожидаемые ресурсы донров, отличных от  Глобального фонда (долл. США)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Sheet1!$B$5:$B$8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Sheet1!$E$5:$E$8</c:f>
              <c:numCache>
                <c:formatCode>#,##0</c:formatCode>
                <c:ptCount val="4"/>
                <c:pt idx="0">
                  <c:v>1946320</c:v>
                </c:pt>
                <c:pt idx="1">
                  <c:v>1800000</c:v>
                </c:pt>
                <c:pt idx="2">
                  <c:v>1800000</c:v>
                </c:pt>
                <c:pt idx="3">
                  <c:v>1800000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EC-48B2-822F-8C270F4FEF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3660528"/>
        <c:axId val="423657784"/>
      </c:barChart>
      <c:lineChart>
        <c:grouping val="standard"/>
        <c:varyColors val="0"/>
        <c:ser>
          <c:idx val="3"/>
          <c:order val="3"/>
          <c:tx>
            <c:strRef>
              <c:f>Sheet1!$F$4</c:f>
              <c:strCache>
                <c:ptCount val="1"/>
                <c:pt idx="0">
                  <c:v>Доля внутреннего финансирования в общем объеме финансовых ассигнований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spPr>
              <a:ln w="28575" cap="rnd">
                <a:solidFill>
                  <a:srgbClr val="FF0000"/>
                </a:solidFill>
                <a:prstDash val="solid"/>
                <a:bevel/>
              </a:ln>
              <a:effectLst>
                <a:glow rad="25400">
                  <a:schemeClr val="accent1">
                    <a:alpha val="40000"/>
                  </a:schemeClr>
                </a:glo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BEC-48B2-822F-8C270F4FEF73}"/>
              </c:ext>
            </c:extLst>
          </c:dPt>
          <c:dLbls>
            <c:dLbl>
              <c:idx val="0"/>
              <c:layout>
                <c:manualLayout>
                  <c:x val="-3.1091499076634114E-2"/>
                  <c:y val="-6.6790834994422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BEC-48B2-822F-8C270F4FEF7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541877358788179E-2"/>
                  <c:y val="-6.6790834994422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BEC-48B2-822F-8C270F4FEF7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316688217711186E-2"/>
                  <c:y val="-6.2972583753491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BEC-48B2-822F-8C270F4FEF7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866309935557121E-2"/>
                  <c:y val="-3.6244825066969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BEC-48B2-822F-8C270F4FEF7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Sheet1!$B$5:$B$8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Sheet1!$F$5:$F$8</c:f>
              <c:numCache>
                <c:formatCode>0.00%</c:formatCode>
                <c:ptCount val="4"/>
                <c:pt idx="0">
                  <c:v>0.94899999999999995</c:v>
                </c:pt>
                <c:pt idx="1">
                  <c:v>0.96099999999999997</c:v>
                </c:pt>
                <c:pt idx="2">
                  <c:v>0.97199999999999998</c:v>
                </c:pt>
                <c:pt idx="3">
                  <c:v>0.97799999999999998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8-DBEC-48B2-822F-8C270F4FEF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3658176"/>
        <c:axId val="423660920"/>
      </c:lineChart>
      <c:catAx>
        <c:axId val="42366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3657784"/>
        <c:crosses val="autoZero"/>
        <c:auto val="1"/>
        <c:lblAlgn val="ctr"/>
        <c:lblOffset val="100"/>
        <c:noMultiLvlLbl val="0"/>
      </c:catAx>
      <c:valAx>
        <c:axId val="423657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3660528"/>
        <c:crosses val="autoZero"/>
        <c:crossBetween val="between"/>
      </c:valAx>
      <c:valAx>
        <c:axId val="423660920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3658176"/>
        <c:crosses val="max"/>
        <c:crossBetween val="between"/>
      </c:valAx>
      <c:catAx>
        <c:axId val="4236581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236609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5268817204301078E-2"/>
          <c:y val="0.70076659443617118"/>
          <c:w val="0.87311827956989252"/>
          <c:h val="0.295458396126305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9375-6C0C-413A-93DA-0EC5F669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31</Pages>
  <Words>8273</Words>
  <Characters>47159</Characters>
  <Application>Microsoft Office Word</Application>
  <DocSecurity>0</DocSecurity>
  <Lines>392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Victor</cp:lastModifiedBy>
  <cp:revision>40</cp:revision>
  <dcterms:created xsi:type="dcterms:W3CDTF">2018-12-13T04:35:00Z</dcterms:created>
  <dcterms:modified xsi:type="dcterms:W3CDTF">2019-01-14T06:02:00Z</dcterms:modified>
</cp:coreProperties>
</file>