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F8443" w14:textId="77777777" w:rsidR="00CD6AB4" w:rsidRPr="00984A35" w:rsidRDefault="00CD6AB4" w:rsidP="00CD6AB4">
      <w:pPr>
        <w:jc w:val="center"/>
        <w:rPr>
          <w:b/>
          <w:bCs/>
          <w:color w:val="000000" w:themeColor="text1"/>
          <w:sz w:val="28"/>
          <w:szCs w:val="28"/>
          <w:lang w:val="ru-RU"/>
        </w:rPr>
      </w:pPr>
      <w:r w:rsidRPr="00984A35">
        <w:rPr>
          <w:b/>
          <w:bCs/>
          <w:color w:val="000000" w:themeColor="text1"/>
          <w:sz w:val="28"/>
          <w:szCs w:val="28"/>
          <w:lang w:val="ru-RU"/>
        </w:rPr>
        <w:t>ЧЕК ЛИСТ</w:t>
      </w:r>
    </w:p>
    <w:p w14:paraId="5A21E630" w14:textId="77777777" w:rsidR="00CD6AB4" w:rsidRPr="00984A35" w:rsidRDefault="00CD6AB4" w:rsidP="00CD6AB4">
      <w:pPr>
        <w:jc w:val="center"/>
        <w:rPr>
          <w:b/>
          <w:bCs/>
          <w:color w:val="000000" w:themeColor="text1"/>
          <w:sz w:val="28"/>
          <w:szCs w:val="28"/>
          <w:lang w:val="ru-RU"/>
        </w:rPr>
      </w:pPr>
      <w:r>
        <w:rPr>
          <w:b/>
          <w:bCs/>
          <w:color w:val="000000" w:themeColor="text1"/>
          <w:sz w:val="28"/>
          <w:szCs w:val="28"/>
          <w:lang w:val="ru-RU"/>
        </w:rPr>
        <w:t>Компонент</w:t>
      </w:r>
      <w:r w:rsidRPr="00984A35">
        <w:rPr>
          <w:b/>
          <w:bCs/>
          <w:color w:val="000000" w:themeColor="text1"/>
          <w:sz w:val="28"/>
          <w:szCs w:val="28"/>
          <w:lang w:val="ru-RU"/>
        </w:rPr>
        <w:t>:</w:t>
      </w:r>
      <w:r>
        <w:rPr>
          <w:b/>
          <w:bCs/>
          <w:color w:val="000000" w:themeColor="text1"/>
          <w:sz w:val="28"/>
          <w:szCs w:val="28"/>
          <w:lang w:val="ru-RU"/>
        </w:rPr>
        <w:t xml:space="preserve"> ВИЧ-инфекция</w:t>
      </w:r>
    </w:p>
    <w:p w14:paraId="6188B632" w14:textId="77777777" w:rsidR="00CD6AB4" w:rsidRDefault="00CD6AB4" w:rsidP="00CD6AB4">
      <w:pPr>
        <w:rPr>
          <w:lang w:val="ru-RU"/>
        </w:rPr>
      </w:pPr>
    </w:p>
    <w:p w14:paraId="54C2988B" w14:textId="77777777" w:rsidR="00CD6AB4" w:rsidRDefault="00CD6AB4" w:rsidP="00CD6AB4">
      <w:pPr>
        <w:rPr>
          <w:lang w:val="ru-RU"/>
        </w:rPr>
      </w:pPr>
      <w:r>
        <w:rPr>
          <w:lang w:val="ru-RU"/>
        </w:rPr>
        <w:t xml:space="preserve">На сегодняшний день, согласно </w:t>
      </w:r>
      <w:proofErr w:type="spellStart"/>
      <w:r>
        <w:rPr>
          <w:lang w:val="ru-RU"/>
        </w:rPr>
        <w:t>Аллокационному</w:t>
      </w:r>
      <w:proofErr w:type="spellEnd"/>
      <w:r>
        <w:rPr>
          <w:lang w:val="ru-RU"/>
        </w:rPr>
        <w:t xml:space="preserve"> письму ГФ, для Казахстана определены следующие приоритеты финансирования для Грантового цикла8:</w:t>
      </w:r>
    </w:p>
    <w:p w14:paraId="4862FA6A" w14:textId="77777777" w:rsidR="00CD6AB4" w:rsidRPr="00F61342" w:rsidRDefault="00CD6AB4" w:rsidP="00CD6AB4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eastAsia="Times New Roman"/>
          <w:lang w:val="ru-RU"/>
        </w:rPr>
      </w:pPr>
      <w:r w:rsidRPr="00F61342">
        <w:rPr>
          <w:rFonts w:eastAsia="Times New Roman"/>
          <w:lang w:val="ru-RU"/>
        </w:rPr>
        <w:t xml:space="preserve">Тестирование (ранняя диагностика и активное выявление) </w:t>
      </w:r>
    </w:p>
    <w:p w14:paraId="182DA042" w14:textId="77777777" w:rsidR="00CD6AB4" w:rsidRPr="00F61342" w:rsidRDefault="00CD6AB4" w:rsidP="00CD6AB4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eastAsia="Times New Roman"/>
          <w:lang w:val="ru-RU"/>
        </w:rPr>
      </w:pPr>
      <w:r w:rsidRPr="00F61342">
        <w:rPr>
          <w:rFonts w:eastAsia="Times New Roman"/>
          <w:lang w:val="ru-RU"/>
        </w:rPr>
        <w:t>До-контактная профилактика ВИЧ-инфекции</w:t>
      </w:r>
    </w:p>
    <w:p w14:paraId="2969BF19" w14:textId="77777777" w:rsidR="00CD6AB4" w:rsidRPr="00F61342" w:rsidRDefault="00CD6AB4" w:rsidP="00CD6AB4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eastAsia="Times New Roman"/>
          <w:lang w:val="ru-RU"/>
        </w:rPr>
      </w:pPr>
      <w:r w:rsidRPr="00F61342">
        <w:rPr>
          <w:rFonts w:eastAsia="Times New Roman"/>
          <w:lang w:val="ru-RU"/>
        </w:rPr>
        <w:t>Оказание медицинской помощи ЛЖВ</w:t>
      </w:r>
    </w:p>
    <w:p w14:paraId="58D4E19F" w14:textId="77777777" w:rsidR="00CD6AB4" w:rsidRPr="00F61342" w:rsidRDefault="00CD6AB4" w:rsidP="00CD6AB4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eastAsia="Times New Roman"/>
          <w:lang w:val="ru-RU"/>
        </w:rPr>
      </w:pPr>
      <w:r w:rsidRPr="00F61342">
        <w:rPr>
          <w:rFonts w:eastAsia="Times New Roman"/>
          <w:lang w:val="ru-RU"/>
        </w:rPr>
        <w:t>Устойчивый переход.</w:t>
      </w:r>
    </w:p>
    <w:p w14:paraId="79E06BCC" w14:textId="77777777" w:rsidR="00CD6AB4" w:rsidRPr="00984A35" w:rsidRDefault="00CD6AB4" w:rsidP="00CD6AB4">
      <w:pPr>
        <w:jc w:val="both"/>
        <w:rPr>
          <w:lang w:val="ru-RU"/>
        </w:rPr>
      </w:pPr>
      <w:r w:rsidRPr="00984A35">
        <w:rPr>
          <w:lang w:val="ru-RU"/>
        </w:rPr>
        <w:t xml:space="preserve">Предлагаемые вмешательства должны быть максимально взаимосвязаны со всеми компонентами проекта, иметь преемственность с предыдущей Программой ГФ, а также опираться на единую логику и конкретный результат, в общей системе индикаторов и требований </w:t>
      </w:r>
      <w:proofErr w:type="spellStart"/>
      <w:r w:rsidRPr="00984A35">
        <w:rPr>
          <w:lang w:val="ru-RU"/>
        </w:rPr>
        <w:t>Аллокационного</w:t>
      </w:r>
      <w:proofErr w:type="spellEnd"/>
      <w:r w:rsidRPr="00984A35">
        <w:rPr>
          <w:lang w:val="ru-RU"/>
        </w:rPr>
        <w:t xml:space="preserve"> письма ГФ в отношении Казахстана.</w:t>
      </w:r>
    </w:p>
    <w:tbl>
      <w:tblPr>
        <w:tblStyle w:val="TableGrid"/>
        <w:tblpPr w:leftFromText="180" w:rightFromText="180" w:vertAnchor="page" w:horzAnchor="margin" w:tblpY="5995"/>
        <w:tblW w:w="0" w:type="auto"/>
        <w:tblLook w:val="04A0" w:firstRow="1" w:lastRow="0" w:firstColumn="1" w:lastColumn="0" w:noHBand="0" w:noVBand="1"/>
      </w:tblPr>
      <w:tblGrid>
        <w:gridCol w:w="381"/>
        <w:gridCol w:w="8964"/>
      </w:tblGrid>
      <w:tr w:rsidR="00CD6AB4" w:rsidRPr="00CD6AB4" w14:paraId="54906398" w14:textId="77777777" w:rsidTr="00995035">
        <w:tc>
          <w:tcPr>
            <w:tcW w:w="381" w:type="dxa"/>
            <w:shd w:val="clear" w:color="auto" w:fill="F2CEED" w:themeFill="accent5" w:themeFillTint="33"/>
          </w:tcPr>
          <w:p w14:paraId="3194658D" w14:textId="77777777" w:rsidR="00CD6AB4" w:rsidRPr="00F907AD" w:rsidRDefault="00CD6AB4" w:rsidP="00995035">
            <w:pPr>
              <w:rPr>
                <w:b/>
                <w:bCs/>
              </w:rPr>
            </w:pPr>
            <w:r w:rsidRPr="00F907AD">
              <w:rPr>
                <w:b/>
                <w:bCs/>
              </w:rPr>
              <w:t>1</w:t>
            </w:r>
          </w:p>
        </w:tc>
        <w:tc>
          <w:tcPr>
            <w:tcW w:w="8964" w:type="dxa"/>
            <w:shd w:val="clear" w:color="auto" w:fill="F2CEED" w:themeFill="accent5" w:themeFillTint="33"/>
          </w:tcPr>
          <w:p w14:paraId="25089031" w14:textId="77777777" w:rsidR="00CD6AB4" w:rsidRPr="00F907AD" w:rsidRDefault="00CD6AB4" w:rsidP="00995035">
            <w:pPr>
              <w:rPr>
                <w:b/>
                <w:bCs/>
              </w:rPr>
            </w:pPr>
            <w:r w:rsidRPr="00F907AD">
              <w:rPr>
                <w:b/>
                <w:bCs/>
              </w:rPr>
              <w:t>Предоставьте четкое описание предлагаемых мероприятий и механизм их реализации</w:t>
            </w:r>
          </w:p>
        </w:tc>
      </w:tr>
      <w:tr w:rsidR="00CD6AB4" w:rsidRPr="00CD6AB4" w14:paraId="1C108C7C" w14:textId="77777777" w:rsidTr="00995035">
        <w:trPr>
          <w:trHeight w:val="1703"/>
        </w:trPr>
        <w:tc>
          <w:tcPr>
            <w:tcW w:w="9345" w:type="dxa"/>
            <w:gridSpan w:val="2"/>
          </w:tcPr>
          <w:p w14:paraId="4249961C" w14:textId="77777777" w:rsidR="00CD6AB4" w:rsidRPr="00F71955" w:rsidRDefault="00CD6AB4" w:rsidP="00995035"/>
        </w:tc>
      </w:tr>
      <w:tr w:rsidR="00CD6AB4" w:rsidRPr="00CD6AB4" w14:paraId="1FA19C5A" w14:textId="77777777" w:rsidTr="00995035">
        <w:tc>
          <w:tcPr>
            <w:tcW w:w="381" w:type="dxa"/>
            <w:shd w:val="clear" w:color="auto" w:fill="F2CEED" w:themeFill="accent5" w:themeFillTint="33"/>
          </w:tcPr>
          <w:p w14:paraId="41EA427E" w14:textId="77777777" w:rsidR="00CD6AB4" w:rsidRPr="00F907AD" w:rsidRDefault="00CD6AB4" w:rsidP="00995035">
            <w:pPr>
              <w:rPr>
                <w:b/>
                <w:bCs/>
              </w:rPr>
            </w:pPr>
            <w:r w:rsidRPr="00F907AD">
              <w:rPr>
                <w:b/>
                <w:bCs/>
              </w:rPr>
              <w:t>2</w:t>
            </w:r>
          </w:p>
        </w:tc>
        <w:tc>
          <w:tcPr>
            <w:tcW w:w="8964" w:type="dxa"/>
            <w:shd w:val="clear" w:color="auto" w:fill="F2CEED" w:themeFill="accent5" w:themeFillTint="33"/>
          </w:tcPr>
          <w:p w14:paraId="5305C69F" w14:textId="77777777" w:rsidR="00CD6AB4" w:rsidRPr="00F907AD" w:rsidRDefault="00CD6AB4" w:rsidP="00995035">
            <w:pPr>
              <w:rPr>
                <w:b/>
                <w:bCs/>
              </w:rPr>
            </w:pPr>
            <w:r w:rsidRPr="00F907AD">
              <w:rPr>
                <w:b/>
                <w:bCs/>
              </w:rPr>
              <w:t>Обоснуйте необходимость включения этих мероприятий в запрос на финансирование.</w:t>
            </w:r>
          </w:p>
        </w:tc>
      </w:tr>
      <w:tr w:rsidR="00CD6AB4" w:rsidRPr="00CD6AB4" w14:paraId="643E8DB1" w14:textId="77777777" w:rsidTr="00995035">
        <w:trPr>
          <w:trHeight w:val="1885"/>
        </w:trPr>
        <w:tc>
          <w:tcPr>
            <w:tcW w:w="9345" w:type="dxa"/>
            <w:gridSpan w:val="2"/>
          </w:tcPr>
          <w:p w14:paraId="15F7F354" w14:textId="77777777" w:rsidR="00CD6AB4" w:rsidRDefault="00CD6AB4" w:rsidP="00995035"/>
        </w:tc>
      </w:tr>
      <w:tr w:rsidR="00CD6AB4" w:rsidRPr="00CD6AB4" w14:paraId="04E8B7A5" w14:textId="77777777" w:rsidTr="00995035">
        <w:tc>
          <w:tcPr>
            <w:tcW w:w="381" w:type="dxa"/>
            <w:shd w:val="clear" w:color="auto" w:fill="F2CEED" w:themeFill="accent5" w:themeFillTint="33"/>
          </w:tcPr>
          <w:p w14:paraId="4ECEB7A3" w14:textId="77777777" w:rsidR="00CD6AB4" w:rsidRPr="00F907AD" w:rsidRDefault="00CD6AB4" w:rsidP="00995035">
            <w:pPr>
              <w:rPr>
                <w:b/>
                <w:bCs/>
              </w:rPr>
            </w:pPr>
            <w:r w:rsidRPr="00F907AD">
              <w:rPr>
                <w:b/>
                <w:bCs/>
              </w:rPr>
              <w:t>3.</w:t>
            </w:r>
          </w:p>
        </w:tc>
        <w:tc>
          <w:tcPr>
            <w:tcW w:w="8964" w:type="dxa"/>
            <w:shd w:val="clear" w:color="auto" w:fill="F2CEED" w:themeFill="accent5" w:themeFillTint="33"/>
          </w:tcPr>
          <w:p w14:paraId="6B67B71D" w14:textId="77777777" w:rsidR="00CD6AB4" w:rsidRPr="00F907AD" w:rsidRDefault="00CD6AB4" w:rsidP="00995035">
            <w:pPr>
              <w:rPr>
                <w:b/>
                <w:bCs/>
              </w:rPr>
            </w:pPr>
            <w:r w:rsidRPr="00F907AD">
              <w:rPr>
                <w:b/>
                <w:bCs/>
              </w:rPr>
              <w:t>Укажите, как предлагаемые мероприятия будут воздействовать на конечного получателя.</w:t>
            </w:r>
          </w:p>
        </w:tc>
      </w:tr>
      <w:tr w:rsidR="00CD6AB4" w:rsidRPr="00CD6AB4" w14:paraId="36D33845" w14:textId="77777777" w:rsidTr="00995035">
        <w:trPr>
          <w:trHeight w:val="1709"/>
        </w:trPr>
        <w:tc>
          <w:tcPr>
            <w:tcW w:w="9345" w:type="dxa"/>
            <w:gridSpan w:val="2"/>
          </w:tcPr>
          <w:p w14:paraId="6ED9DBD4" w14:textId="77777777" w:rsidR="00CD6AB4" w:rsidRPr="00F71955" w:rsidRDefault="00CD6AB4" w:rsidP="00995035"/>
        </w:tc>
      </w:tr>
      <w:tr w:rsidR="00CD6AB4" w:rsidRPr="00CD6AB4" w14:paraId="1A9D98D9" w14:textId="77777777" w:rsidTr="00995035">
        <w:tc>
          <w:tcPr>
            <w:tcW w:w="381" w:type="dxa"/>
            <w:shd w:val="clear" w:color="auto" w:fill="F2CEED" w:themeFill="accent5" w:themeFillTint="33"/>
          </w:tcPr>
          <w:p w14:paraId="60228A67" w14:textId="77777777" w:rsidR="00CD6AB4" w:rsidRPr="00F907AD" w:rsidRDefault="00CD6AB4" w:rsidP="00995035">
            <w:pPr>
              <w:rPr>
                <w:b/>
                <w:bCs/>
              </w:rPr>
            </w:pPr>
            <w:r w:rsidRPr="00F907AD">
              <w:rPr>
                <w:b/>
                <w:bCs/>
              </w:rPr>
              <w:t>3</w:t>
            </w:r>
          </w:p>
        </w:tc>
        <w:tc>
          <w:tcPr>
            <w:tcW w:w="8964" w:type="dxa"/>
            <w:shd w:val="clear" w:color="auto" w:fill="F2CEED" w:themeFill="accent5" w:themeFillTint="33"/>
          </w:tcPr>
          <w:p w14:paraId="28247B5E" w14:textId="77777777" w:rsidR="00CD6AB4" w:rsidRPr="00F907AD" w:rsidRDefault="00CD6AB4" w:rsidP="00995035">
            <w:pPr>
              <w:rPr>
                <w:b/>
                <w:bCs/>
              </w:rPr>
            </w:pPr>
            <w:r w:rsidRPr="00F907AD">
              <w:rPr>
                <w:b/>
                <w:bCs/>
              </w:rPr>
              <w:t>Опишите, кто будет конечным получателем услуг</w:t>
            </w:r>
          </w:p>
        </w:tc>
      </w:tr>
      <w:tr w:rsidR="00CD6AB4" w:rsidRPr="00CD6AB4" w14:paraId="572C3F7C" w14:textId="77777777" w:rsidTr="00995035">
        <w:trPr>
          <w:trHeight w:val="2063"/>
        </w:trPr>
        <w:tc>
          <w:tcPr>
            <w:tcW w:w="9345" w:type="dxa"/>
            <w:gridSpan w:val="2"/>
          </w:tcPr>
          <w:p w14:paraId="2AFD6C30" w14:textId="77777777" w:rsidR="00CD6AB4" w:rsidRDefault="00CD6AB4" w:rsidP="00995035"/>
        </w:tc>
      </w:tr>
      <w:tr w:rsidR="00CD6AB4" w:rsidRPr="00CD6AB4" w14:paraId="5E3E82E6" w14:textId="77777777" w:rsidTr="00995035">
        <w:tc>
          <w:tcPr>
            <w:tcW w:w="381" w:type="dxa"/>
            <w:shd w:val="clear" w:color="auto" w:fill="F2CEED" w:themeFill="accent5" w:themeFillTint="33"/>
          </w:tcPr>
          <w:p w14:paraId="578C4DEA" w14:textId="77777777" w:rsidR="00CD6AB4" w:rsidRPr="00F907AD" w:rsidRDefault="00CD6AB4" w:rsidP="00995035">
            <w:pPr>
              <w:rPr>
                <w:b/>
                <w:bCs/>
              </w:rPr>
            </w:pPr>
            <w:r w:rsidRPr="00F907AD">
              <w:rPr>
                <w:b/>
                <w:bCs/>
              </w:rPr>
              <w:t>4</w:t>
            </w:r>
          </w:p>
        </w:tc>
        <w:tc>
          <w:tcPr>
            <w:tcW w:w="8964" w:type="dxa"/>
            <w:shd w:val="clear" w:color="auto" w:fill="F2CEED" w:themeFill="accent5" w:themeFillTint="33"/>
          </w:tcPr>
          <w:p w14:paraId="3C95E9FE" w14:textId="77777777" w:rsidR="00CD6AB4" w:rsidRPr="00F907AD" w:rsidRDefault="00CD6AB4" w:rsidP="00995035">
            <w:pPr>
              <w:rPr>
                <w:b/>
                <w:bCs/>
              </w:rPr>
            </w:pPr>
            <w:r w:rsidRPr="00F907AD">
              <w:rPr>
                <w:b/>
                <w:bCs/>
              </w:rPr>
              <w:t>Какие территориальные области будут охватывать предлагаемые мероприятия?</w:t>
            </w:r>
          </w:p>
        </w:tc>
      </w:tr>
      <w:tr w:rsidR="00CD6AB4" w:rsidRPr="00CD6AB4" w14:paraId="2568E778" w14:textId="77777777" w:rsidTr="00995035">
        <w:trPr>
          <w:trHeight w:val="1337"/>
        </w:trPr>
        <w:tc>
          <w:tcPr>
            <w:tcW w:w="9345" w:type="dxa"/>
            <w:gridSpan w:val="2"/>
          </w:tcPr>
          <w:p w14:paraId="1F30924A" w14:textId="77777777" w:rsidR="00CD6AB4" w:rsidRDefault="00CD6AB4" w:rsidP="00995035"/>
        </w:tc>
      </w:tr>
      <w:tr w:rsidR="00CD6AB4" w:rsidRPr="00F907AD" w14:paraId="17F9251B" w14:textId="77777777" w:rsidTr="00995035">
        <w:tc>
          <w:tcPr>
            <w:tcW w:w="381" w:type="dxa"/>
            <w:shd w:val="clear" w:color="auto" w:fill="F2CEED" w:themeFill="accent5" w:themeFillTint="33"/>
          </w:tcPr>
          <w:p w14:paraId="44849E1E" w14:textId="77777777" w:rsidR="00CD6AB4" w:rsidRPr="00F907AD" w:rsidRDefault="00CD6AB4" w:rsidP="00995035">
            <w:pPr>
              <w:rPr>
                <w:b/>
                <w:bCs/>
              </w:rPr>
            </w:pPr>
            <w:r w:rsidRPr="00F907AD">
              <w:rPr>
                <w:b/>
                <w:bCs/>
              </w:rPr>
              <w:t>5</w:t>
            </w:r>
          </w:p>
        </w:tc>
        <w:tc>
          <w:tcPr>
            <w:tcW w:w="8964" w:type="dxa"/>
            <w:shd w:val="clear" w:color="auto" w:fill="F2CEED" w:themeFill="accent5" w:themeFillTint="33"/>
          </w:tcPr>
          <w:p w14:paraId="2EB2AF3B" w14:textId="77777777" w:rsidR="00CD6AB4" w:rsidRPr="00F907AD" w:rsidRDefault="00CD6AB4" w:rsidP="00995035">
            <w:pPr>
              <w:rPr>
                <w:b/>
                <w:bCs/>
              </w:rPr>
            </w:pPr>
            <w:r w:rsidRPr="00F907AD">
              <w:rPr>
                <w:b/>
                <w:bCs/>
              </w:rPr>
              <w:t>Опишите, как будет обеспечен переход этих услуг/мероприятий на государственное финансирование. Какие существуют риски для такого перехода?</w:t>
            </w:r>
          </w:p>
        </w:tc>
      </w:tr>
      <w:tr w:rsidR="00CD6AB4" w:rsidRPr="00F71955" w14:paraId="4BC0C352" w14:textId="77777777" w:rsidTr="00995035">
        <w:trPr>
          <w:trHeight w:val="2707"/>
        </w:trPr>
        <w:tc>
          <w:tcPr>
            <w:tcW w:w="9345" w:type="dxa"/>
            <w:gridSpan w:val="2"/>
          </w:tcPr>
          <w:p w14:paraId="4C1138E7" w14:textId="77777777" w:rsidR="00CD6AB4" w:rsidRPr="00F907AD" w:rsidRDefault="00CD6AB4" w:rsidP="00995035"/>
        </w:tc>
      </w:tr>
      <w:tr w:rsidR="00CD6AB4" w:rsidRPr="00CD6AB4" w14:paraId="24AAD8BB" w14:textId="77777777" w:rsidTr="00995035">
        <w:tc>
          <w:tcPr>
            <w:tcW w:w="381" w:type="dxa"/>
            <w:shd w:val="clear" w:color="auto" w:fill="F2CEED" w:themeFill="accent5" w:themeFillTint="33"/>
          </w:tcPr>
          <w:p w14:paraId="3D11EC9E" w14:textId="77777777" w:rsidR="00CD6AB4" w:rsidRPr="00F907AD" w:rsidRDefault="00CD6AB4" w:rsidP="00995035">
            <w:pPr>
              <w:rPr>
                <w:b/>
                <w:bCs/>
              </w:rPr>
            </w:pPr>
            <w:r w:rsidRPr="00F907AD">
              <w:rPr>
                <w:b/>
                <w:bCs/>
              </w:rPr>
              <w:t>6</w:t>
            </w:r>
          </w:p>
        </w:tc>
        <w:tc>
          <w:tcPr>
            <w:tcW w:w="8964" w:type="dxa"/>
            <w:shd w:val="clear" w:color="auto" w:fill="F2CEED" w:themeFill="accent5" w:themeFillTint="33"/>
          </w:tcPr>
          <w:p w14:paraId="73AF3C57" w14:textId="77777777" w:rsidR="00CD6AB4" w:rsidRPr="00F907AD" w:rsidRDefault="00CD6AB4" w:rsidP="00995035">
            <w:pPr>
              <w:rPr>
                <w:b/>
                <w:bCs/>
              </w:rPr>
            </w:pPr>
            <w:r w:rsidRPr="00F907AD">
              <w:rPr>
                <w:b/>
                <w:bCs/>
              </w:rPr>
              <w:t xml:space="preserve">Опишите, как предлагаемые мероприятия будут соответствовать приоритетам финансирования, указанным в </w:t>
            </w:r>
            <w:proofErr w:type="spellStart"/>
            <w:r w:rsidRPr="00F907AD">
              <w:rPr>
                <w:b/>
                <w:bCs/>
              </w:rPr>
              <w:t>аллокационном</w:t>
            </w:r>
            <w:proofErr w:type="spellEnd"/>
            <w:r w:rsidRPr="00F907AD">
              <w:rPr>
                <w:b/>
                <w:bCs/>
              </w:rPr>
              <w:t xml:space="preserve"> письме. Как будет обеспечено достижения максимального эффект от ассигнований Глобального Фонда?</w:t>
            </w:r>
          </w:p>
        </w:tc>
      </w:tr>
      <w:tr w:rsidR="00CD6AB4" w:rsidRPr="00CD6AB4" w14:paraId="1D0120E1" w14:textId="77777777" w:rsidTr="00995035">
        <w:trPr>
          <w:trHeight w:val="3057"/>
        </w:trPr>
        <w:tc>
          <w:tcPr>
            <w:tcW w:w="9345" w:type="dxa"/>
            <w:gridSpan w:val="2"/>
          </w:tcPr>
          <w:p w14:paraId="494952FA" w14:textId="77777777" w:rsidR="00CD6AB4" w:rsidRDefault="00CD6AB4" w:rsidP="00995035"/>
        </w:tc>
      </w:tr>
    </w:tbl>
    <w:p w14:paraId="4F572C55" w14:textId="77777777" w:rsidR="00CD6AB4" w:rsidRDefault="00CD6AB4" w:rsidP="00CD6AB4">
      <w:pPr>
        <w:rPr>
          <w:lang w:val="ru-RU"/>
        </w:rPr>
      </w:pPr>
    </w:p>
    <w:p w14:paraId="5E4C957D" w14:textId="77777777" w:rsidR="00CD6AB4" w:rsidRDefault="00CD6AB4" w:rsidP="00CD6AB4">
      <w:pPr>
        <w:rPr>
          <w:lang w:val="ru-RU"/>
        </w:rPr>
      </w:pPr>
    </w:p>
    <w:p w14:paraId="3B0FC9BB" w14:textId="77777777" w:rsidR="00CD6AB4" w:rsidRPr="00F907AD" w:rsidRDefault="00CD6AB4" w:rsidP="00CD6AB4">
      <w:pPr>
        <w:rPr>
          <w:b/>
          <w:bCs/>
          <w:lang w:val="ru-RU"/>
        </w:rPr>
      </w:pPr>
      <w:r w:rsidRPr="00F907AD">
        <w:rPr>
          <w:b/>
          <w:bCs/>
          <w:lang w:val="ru-RU"/>
        </w:rPr>
        <w:t>Предоставьте любые дополнительные сведенья:</w:t>
      </w:r>
    </w:p>
    <w:p w14:paraId="67BAE54C" w14:textId="77777777" w:rsidR="00CD6AB4" w:rsidRDefault="00CD6AB4" w:rsidP="00CD6AB4">
      <w:pPr>
        <w:rPr>
          <w:lang w:val="ru-RU"/>
        </w:rPr>
      </w:pPr>
    </w:p>
    <w:p w14:paraId="07FB70B3" w14:textId="77777777" w:rsidR="00CD6AB4" w:rsidRPr="00F71955" w:rsidRDefault="00CD6AB4" w:rsidP="00CD6AB4">
      <w:pPr>
        <w:rPr>
          <w:lang w:val="ru-RU"/>
        </w:rPr>
      </w:pPr>
    </w:p>
    <w:p w14:paraId="541F3F92" w14:textId="77777777" w:rsidR="00CD6AB4" w:rsidRPr="00B36280" w:rsidRDefault="00CD6AB4" w:rsidP="00CD6AB4">
      <w:pPr>
        <w:rPr>
          <w:lang w:val="ru-RU"/>
        </w:rPr>
      </w:pPr>
    </w:p>
    <w:p w14:paraId="63ECBFEA" w14:textId="77777777" w:rsidR="00CD6AB4" w:rsidRDefault="00CD6AB4"/>
    <w:sectPr w:rsidR="00CD6AB4" w:rsidSect="00CD6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6E7ABE"/>
    <w:multiLevelType w:val="hybridMultilevel"/>
    <w:tmpl w:val="36407D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94969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sDel="0" w:formatting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AB4"/>
    <w:rsid w:val="003A5CA5"/>
    <w:rsid w:val="00CD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3B744"/>
  <w15:chartTrackingRefBased/>
  <w15:docId w15:val="{D2C72D98-D79C-4D60-B412-086D06253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AB4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6A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6A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6A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6A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6A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6A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6A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6A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6A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6A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6A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6A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6A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6A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6A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6A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6A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6A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6A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6A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6A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6A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6A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6A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6A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6A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6A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6A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6AB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D6AB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Ryssaldy Demeuova</dc:creator>
  <cp:keywords/>
  <dc:description/>
  <cp:lastModifiedBy>Ryssaldy Demeuova</cp:lastModifiedBy>
  <cp:revision>1</cp:revision>
  <dcterms:created xsi:type="dcterms:W3CDTF">2026-05-05T04:22:00Z</dcterms:created>
  <dcterms:modified xsi:type="dcterms:W3CDTF">2026-05-05T04:23:00Z</dcterms:modified>
</cp:coreProperties>
</file>