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63EAC" w14:textId="64CCFDEF" w:rsidR="00363CE2" w:rsidRPr="00E923EC" w:rsidRDefault="00A22AF0" w:rsidP="003C394C">
      <w:pPr>
        <w:tabs>
          <w:tab w:val="right" w:pos="-1800"/>
          <w:tab w:val="left" w:pos="1440"/>
        </w:tabs>
        <w:spacing w:after="0" w:line="240" w:lineRule="auto"/>
        <w:ind w:right="-613"/>
        <w:jc w:val="both"/>
        <w:rPr>
          <w:rFonts w:ascii="Arial" w:eastAsia="SimSun" w:hAnsi="Arial"/>
          <w:lang w:eastAsia="zh-CN"/>
        </w:rPr>
      </w:pPr>
      <w:r w:rsidRPr="0008527A">
        <w:rPr>
          <w:rFonts w:ascii="Arial" w:eastAsia="SimSun" w:hAnsi="Arial"/>
          <w:noProof/>
        </w:rPr>
        <mc:AlternateContent>
          <mc:Choice Requires="wps">
            <w:drawing>
              <wp:anchor distT="0" distB="0" distL="114300" distR="114300" simplePos="0" relativeHeight="251658240" behindDoc="0" locked="0" layoutInCell="1" allowOverlap="1" wp14:anchorId="78326994" wp14:editId="09FD440E">
                <wp:simplePos x="0" y="0"/>
                <wp:positionH relativeFrom="page">
                  <wp:align>left</wp:align>
                </wp:positionH>
                <wp:positionV relativeFrom="paragraph">
                  <wp:posOffset>-630555</wp:posOffset>
                </wp:positionV>
                <wp:extent cx="7567930" cy="2438400"/>
                <wp:effectExtent l="0" t="0" r="13970" b="19050"/>
                <wp:wrapNone/>
                <wp:docPr id="15" name="Rectangle 15"/>
                <wp:cNvGraphicFramePr/>
                <a:graphic xmlns:a="http://schemas.openxmlformats.org/drawingml/2006/main">
                  <a:graphicData uri="http://schemas.microsoft.com/office/word/2010/wordprocessingShape">
                    <wps:wsp>
                      <wps:cNvSpPr/>
                      <wps:spPr>
                        <a:xfrm>
                          <a:off x="0" y="0"/>
                          <a:ext cx="7567930" cy="2438400"/>
                        </a:xfrm>
                        <a:prstGeom prst="rect">
                          <a:avLst/>
                        </a:pr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35B5BC" id="Rectangle 15" o:spid="_x0000_s1026" style="position:absolute;margin-left:0;margin-top:-49.65pt;width:595.9pt;height:192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" fillcolor="#1f497d" strokecolor="#385d8a" strokeweight="2pt">
                <w10:wrap anchorx="page"/>
              </v:rect>
            </w:pict>
          </mc:Fallback>
        </mc:AlternateContent>
      </w:r>
      <w:r w:rsidRPr="0008527A">
        <w:rPr>
          <w:rFonts w:ascii="Arial" w:hAnsi="Arial"/>
          <w:b w:val="0"/>
          <w:noProof/>
          <w:color w:val="000000"/>
          <w:sz w:val="20"/>
          <w:szCs w:val="20"/>
        </w:rPr>
        <w:drawing>
          <wp:anchor distT="0" distB="0" distL="114300" distR="114300" simplePos="0" relativeHeight="251658242" behindDoc="0" locked="0" layoutInCell="1" allowOverlap="1" wp14:anchorId="69562DAD" wp14:editId="025D0975">
            <wp:simplePos x="0" y="0"/>
            <wp:positionH relativeFrom="column">
              <wp:posOffset>-238125</wp:posOffset>
            </wp:positionH>
            <wp:positionV relativeFrom="paragraph">
              <wp:posOffset>-220980</wp:posOffset>
            </wp:positionV>
            <wp:extent cx="2947035" cy="4417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CMYK_on_black.tif"/>
                    <pic:cNvPicPr/>
                  </pic:nvPicPr>
                  <pic:blipFill>
                    <a:blip r:embed="rId13">
                      <a:extLst>
                        <a:ext uri="{28A0092B-C50C-407E-A947-70E740481C1C}">
                          <a14:useLocalDpi xmlns:a14="http://schemas.microsoft.com/office/drawing/2010/main" val="0"/>
                        </a:ext>
                      </a:extLst>
                    </a:blip>
                    <a:stretch>
                      <a:fillRect/>
                    </a:stretch>
                  </pic:blipFill>
                  <pic:spPr>
                    <a:xfrm>
                      <a:off x="0" y="0"/>
                      <a:ext cx="2947035" cy="441739"/>
                    </a:xfrm>
                    <a:prstGeom prst="rect">
                      <a:avLst/>
                    </a:prstGeom>
                  </pic:spPr>
                </pic:pic>
              </a:graphicData>
            </a:graphic>
            <wp14:sizeRelH relativeFrom="page">
              <wp14:pctWidth>0</wp14:pctWidth>
            </wp14:sizeRelH>
            <wp14:sizeRelV relativeFrom="page">
              <wp14:pctHeight>0</wp14:pctHeight>
            </wp14:sizeRelV>
          </wp:anchor>
        </w:drawing>
      </w:r>
    </w:p>
    <w:p w14:paraId="47CF99D0" w14:textId="125C252F" w:rsidR="00CB2100" w:rsidRDefault="00A22AF0" w:rsidP="00A22AF0">
      <w:pPr>
        <w:rPr>
          <w:noProof/>
          <w:lang w:val="es-EC" w:eastAsia="es-EC"/>
        </w:rPr>
      </w:pPr>
      <w:r w:rsidRPr="00E923EC">
        <w:rPr>
          <w:noProof/>
        </w:rPr>
        <mc:AlternateContent>
          <mc:Choice Requires="wps">
            <w:drawing>
              <wp:anchor distT="0" distB="0" distL="114300" distR="114300" simplePos="0" relativeHeight="251658241" behindDoc="0" locked="0" layoutInCell="1" allowOverlap="1" wp14:anchorId="70945EA9" wp14:editId="767BA278">
                <wp:simplePos x="0" y="0"/>
                <wp:positionH relativeFrom="page">
                  <wp:posOffset>31750</wp:posOffset>
                </wp:positionH>
                <wp:positionV relativeFrom="paragraph">
                  <wp:posOffset>284953</wp:posOffset>
                </wp:positionV>
                <wp:extent cx="7539355" cy="1377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39355" cy="137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33EF40" w14:textId="6A04DB3E" w:rsidR="00153F7F" w:rsidRPr="000D4A2D" w:rsidRDefault="00153F7F" w:rsidP="000F44B7">
                            <w:pPr>
                              <w:spacing w:after="0"/>
                              <w:jc w:val="center"/>
                              <w:rPr>
                                <w:rFonts w:ascii="Arial" w:hAnsi="Arial"/>
                                <w:color w:val="FFFFFF" w:themeColor="background1"/>
                                <w:sz w:val="52"/>
                                <w:szCs w:val="52"/>
                              </w:rPr>
                            </w:pPr>
                            <w:r w:rsidRPr="000D4A2D">
                              <w:rPr>
                                <w:rFonts w:ascii="Arial" w:hAnsi="Arial"/>
                                <w:color w:val="FFFFFF" w:themeColor="background1"/>
                                <w:sz w:val="52"/>
                                <w:szCs w:val="52"/>
                              </w:rPr>
                              <w:t xml:space="preserve">FUNDING REQUEST </w:t>
                            </w:r>
                          </w:p>
                          <w:p w14:paraId="546E357A" w14:textId="6141DA71" w:rsidR="00153F7F" w:rsidRPr="008E0BF8" w:rsidRDefault="00153F7F" w:rsidP="002460D8">
                            <w:pPr>
                              <w:jc w:val="center"/>
                              <w:rPr>
                                <w:rFonts w:ascii="Arial" w:hAnsi="Arial"/>
                                <w:color w:val="FFFFFF" w:themeColor="background1"/>
                                <w:sz w:val="44"/>
                                <w:szCs w:val="44"/>
                              </w:rPr>
                            </w:pPr>
                            <w:r w:rsidRPr="008E0BF8">
                              <w:rPr>
                                <w:rFonts w:ascii="Arial" w:hAnsi="Arial"/>
                                <w:color w:val="FFFFFF" w:themeColor="background1"/>
                                <w:sz w:val="44"/>
                                <w:szCs w:val="44"/>
                              </w:rPr>
                              <w:t>T</w:t>
                            </w:r>
                            <w:r>
                              <w:rPr>
                                <w:rFonts w:ascii="Arial" w:hAnsi="Arial"/>
                                <w:color w:val="FFFFFF" w:themeColor="background1"/>
                                <w:sz w:val="44"/>
                                <w:szCs w:val="44"/>
                              </w:rPr>
                              <w:t>ailored to Material Change</w:t>
                            </w:r>
                          </w:p>
                          <w:p w14:paraId="71033306" w14:textId="77777777" w:rsidR="00153F7F" w:rsidRDefault="00153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45EA9" id="_x0000_t202" coordsize="21600,21600" o:spt="202" path="m,l,21600r21600,l21600,xe">
                <v:stroke joinstyle="miter"/>
                <v:path gradientshapeok="t" o:connecttype="rect"/>
              </v:shapetype>
              <v:shape id="Text Box 1" o:spid="_x0000_s1026" type="#_x0000_t202" style="position:absolute;margin-left:2.5pt;margin-top:22.45pt;width:593.65pt;height:10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" filled="f" stroked="f" strokeweight=".5pt">
                <v:textbox>
                  <w:txbxContent>
                    <w:p w14:paraId="2533EF40" w14:textId="6A04DB3E" w:rsidR="00153F7F" w:rsidRPr="000D4A2D" w:rsidRDefault="00153F7F" w:rsidP="000F44B7">
                      <w:pPr>
                        <w:spacing w:after="0"/>
                        <w:jc w:val="center"/>
                        <w:rPr>
                          <w:rFonts w:ascii="Arial" w:hAnsi="Arial"/>
                          <w:color w:val="FFFFFF" w:themeColor="background1"/>
                          <w:sz w:val="52"/>
                          <w:szCs w:val="52"/>
                        </w:rPr>
                      </w:pPr>
                      <w:r w:rsidRPr="000D4A2D">
                        <w:rPr>
                          <w:rFonts w:ascii="Arial" w:hAnsi="Arial"/>
                          <w:color w:val="FFFFFF" w:themeColor="background1"/>
                          <w:sz w:val="52"/>
                          <w:szCs w:val="52"/>
                        </w:rPr>
                        <w:t xml:space="preserve">FUNDING REQUEST </w:t>
                      </w:r>
                    </w:p>
                    <w:p w14:paraId="546E357A" w14:textId="6141DA71" w:rsidR="00153F7F" w:rsidRPr="008E0BF8" w:rsidRDefault="00153F7F" w:rsidP="002460D8">
                      <w:pPr>
                        <w:jc w:val="center"/>
                        <w:rPr>
                          <w:rFonts w:ascii="Arial" w:hAnsi="Arial"/>
                          <w:color w:val="FFFFFF" w:themeColor="background1"/>
                          <w:sz w:val="44"/>
                          <w:szCs w:val="44"/>
                        </w:rPr>
                      </w:pPr>
                      <w:r w:rsidRPr="008E0BF8">
                        <w:rPr>
                          <w:rFonts w:ascii="Arial" w:hAnsi="Arial"/>
                          <w:color w:val="FFFFFF" w:themeColor="background1"/>
                          <w:sz w:val="44"/>
                          <w:szCs w:val="44"/>
                        </w:rPr>
                        <w:t>T</w:t>
                      </w:r>
                      <w:r>
                        <w:rPr>
                          <w:rFonts w:ascii="Arial" w:hAnsi="Arial"/>
                          <w:color w:val="FFFFFF" w:themeColor="background1"/>
                          <w:sz w:val="44"/>
                          <w:szCs w:val="44"/>
                        </w:rPr>
                        <w:t>ailored to Material Change</w:t>
                      </w:r>
                    </w:p>
                    <w:p w14:paraId="71033306" w14:textId="77777777" w:rsidR="00153F7F" w:rsidRDefault="00153F7F"/>
                  </w:txbxContent>
                </v:textbox>
                <w10:wrap anchorx="page"/>
              </v:shape>
            </w:pict>
          </mc:Fallback>
        </mc:AlternateContent>
      </w:r>
      <w:r w:rsidR="001E3217" w:rsidRPr="001E3217">
        <w:rPr>
          <w:noProof/>
          <w:lang w:val="es-EC" w:eastAsia="es-EC"/>
        </w:rPr>
        <w:t xml:space="preserve"> </w:t>
      </w:r>
    </w:p>
    <w:p w14:paraId="4E73429C" w14:textId="4E7C51D5" w:rsidR="00CB2100" w:rsidRDefault="00CB2100" w:rsidP="00A22AF0">
      <w:pPr>
        <w:rPr>
          <w:noProof/>
          <w:lang w:val="es-EC" w:eastAsia="es-EC"/>
        </w:rPr>
      </w:pPr>
    </w:p>
    <w:p w14:paraId="36CF2FDE" w14:textId="77777777" w:rsidR="00CB2100" w:rsidRDefault="00CB2100" w:rsidP="00A22AF0">
      <w:pPr>
        <w:rPr>
          <w:noProof/>
          <w:lang w:val="es-EC" w:eastAsia="es-EC"/>
        </w:rPr>
      </w:pPr>
    </w:p>
    <w:p w14:paraId="456C3648" w14:textId="77777777" w:rsidR="00CB2100" w:rsidRDefault="00CB2100" w:rsidP="00A22AF0">
      <w:pPr>
        <w:rPr>
          <w:noProof/>
          <w:lang w:val="es-EC" w:eastAsia="es-EC"/>
        </w:rPr>
      </w:pPr>
    </w:p>
    <w:p w14:paraId="636B51CE" w14:textId="77777777" w:rsidR="00CB2100" w:rsidRDefault="00CB2100" w:rsidP="00A22AF0">
      <w:pPr>
        <w:rPr>
          <w:noProof/>
          <w:lang w:val="es-EC" w:eastAsia="es-EC"/>
        </w:rPr>
      </w:pPr>
    </w:p>
    <w:p w14:paraId="272E2A06" w14:textId="77777777" w:rsidR="00CB2100" w:rsidRDefault="00CB2100" w:rsidP="00A22AF0">
      <w:pPr>
        <w:rPr>
          <w:noProof/>
          <w:lang w:val="es-EC" w:eastAsia="es-EC"/>
        </w:rPr>
      </w:pPr>
    </w:p>
    <w:tbl>
      <w:tblPr>
        <w:tblStyle w:val="TableGrid"/>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3"/>
        <w:gridCol w:w="2268"/>
        <w:gridCol w:w="2268"/>
        <w:gridCol w:w="2410"/>
      </w:tblGrid>
      <w:tr w:rsidR="00A22AF0" w:rsidRPr="0048135A" w14:paraId="1C2DDF4C" w14:textId="77777777" w:rsidTr="004B088A">
        <w:trPr>
          <w:trHeight w:val="558"/>
        </w:trPr>
        <w:tc>
          <w:tcPr>
            <w:tcW w:w="9209" w:type="dxa"/>
            <w:gridSpan w:val="4"/>
            <w:shd w:val="clear" w:color="auto" w:fill="1F497D"/>
            <w:vAlign w:val="center"/>
          </w:tcPr>
          <w:p w14:paraId="7E40EF6B" w14:textId="61FD9106" w:rsidR="00A22AF0" w:rsidRPr="0048135A" w:rsidRDefault="00A22AF0" w:rsidP="001D6A63">
            <w:pPr>
              <w:tabs>
                <w:tab w:val="right" w:pos="-1800"/>
                <w:tab w:val="left" w:pos="1440"/>
              </w:tabs>
              <w:spacing w:after="0"/>
              <w:rPr>
                <w:rFonts w:ascii="Arial" w:eastAsia="SimSun" w:hAnsi="Arial"/>
                <w:b w:val="0"/>
                <w:lang w:eastAsia="zh-CN"/>
              </w:rPr>
            </w:pPr>
            <w:r w:rsidRPr="0048135A">
              <w:rPr>
                <w:rFonts w:ascii="Arial" w:eastAsia="SimSun" w:hAnsi="Arial"/>
                <w:lang w:eastAsia="zh-CN"/>
              </w:rPr>
              <w:br w:type="page"/>
            </w:r>
            <w:r w:rsidRPr="0068659C">
              <w:rPr>
                <w:rFonts w:ascii="Arial" w:eastAsia="SimSun" w:hAnsi="Arial"/>
                <w:color w:val="FFFFFF" w:themeColor="background1"/>
                <w:shd w:val="clear" w:color="auto" w:fill="1F497D"/>
                <w:lang w:eastAsia="zh-CN"/>
              </w:rPr>
              <w:t>SUMMARY INFORMATION</w:t>
            </w:r>
          </w:p>
        </w:tc>
      </w:tr>
      <w:tr w:rsidR="00AB694E" w:rsidRPr="0048135A" w14:paraId="6908AC78" w14:textId="77777777" w:rsidTr="006F4BCB">
        <w:trPr>
          <w:trHeight w:val="556"/>
        </w:trPr>
        <w:tc>
          <w:tcPr>
            <w:tcW w:w="2263" w:type="dxa"/>
            <w:shd w:val="clear" w:color="auto" w:fill="F2F2F2"/>
            <w:vAlign w:val="center"/>
          </w:tcPr>
          <w:p w14:paraId="26DC312A" w14:textId="77777777" w:rsidR="00AB694E" w:rsidRPr="0048135A" w:rsidRDefault="00AB694E" w:rsidP="00AB694E">
            <w:pPr>
              <w:tabs>
                <w:tab w:val="right" w:pos="-1800"/>
                <w:tab w:val="left" w:pos="1440"/>
              </w:tabs>
              <w:spacing w:after="0" w:line="240" w:lineRule="auto"/>
              <w:ind w:right="-613"/>
              <w:jc w:val="both"/>
              <w:rPr>
                <w:rFonts w:ascii="Arial" w:eastAsia="SimSun" w:hAnsi="Arial"/>
                <w:b w:val="0"/>
                <w:lang w:eastAsia="zh-CN"/>
              </w:rPr>
            </w:pPr>
            <w:r w:rsidRPr="0048135A">
              <w:rPr>
                <w:rFonts w:ascii="Arial" w:eastAsia="SimSun" w:hAnsi="Arial"/>
                <w:lang w:eastAsia="zh-CN"/>
              </w:rPr>
              <w:t>Applicant</w:t>
            </w:r>
          </w:p>
        </w:tc>
        <w:tc>
          <w:tcPr>
            <w:tcW w:w="6946" w:type="dxa"/>
            <w:gridSpan w:val="3"/>
            <w:shd w:val="clear" w:color="auto" w:fill="FFFFFF"/>
            <w:vAlign w:val="center"/>
          </w:tcPr>
          <w:p w14:paraId="6856E7D4" w14:textId="39515F0B" w:rsidR="00AB694E" w:rsidRPr="00B51C22" w:rsidRDefault="00AB694E" w:rsidP="006F4BCB">
            <w:pPr>
              <w:tabs>
                <w:tab w:val="right" w:pos="-1800"/>
                <w:tab w:val="left" w:pos="1440"/>
              </w:tabs>
              <w:spacing w:after="0" w:line="240" w:lineRule="auto"/>
              <w:rPr>
                <w:rFonts w:ascii="Arial" w:eastAsia="SimSun" w:hAnsi="Arial"/>
                <w:sz w:val="22"/>
                <w:szCs w:val="22"/>
                <w:lang w:eastAsia="zh-CN"/>
              </w:rPr>
            </w:pPr>
            <w:r w:rsidRPr="00B51C22">
              <w:rPr>
                <w:rFonts w:ascii="Arial" w:eastAsia="SimSun" w:hAnsi="Arial"/>
                <w:b w:val="0"/>
                <w:sz w:val="22"/>
                <w:szCs w:val="22"/>
                <w:lang w:eastAsia="zh-CN"/>
              </w:rPr>
              <w:t>Kazakhstan Country Coordinating Mechanism</w:t>
            </w:r>
          </w:p>
        </w:tc>
      </w:tr>
      <w:tr w:rsidR="00AB694E" w:rsidRPr="0048135A" w14:paraId="6644C28E" w14:textId="77777777" w:rsidTr="006F4BCB">
        <w:trPr>
          <w:trHeight w:val="693"/>
        </w:trPr>
        <w:tc>
          <w:tcPr>
            <w:tcW w:w="2263" w:type="dxa"/>
            <w:shd w:val="clear" w:color="auto" w:fill="F2F2F2" w:themeFill="background1" w:themeFillShade="F2"/>
            <w:vAlign w:val="center"/>
          </w:tcPr>
          <w:p w14:paraId="0CCD6C7C" w14:textId="77777777" w:rsidR="00AB694E" w:rsidRPr="0048135A" w:rsidRDefault="00AB694E" w:rsidP="00AB694E">
            <w:pPr>
              <w:tabs>
                <w:tab w:val="right" w:pos="-1800"/>
                <w:tab w:val="left" w:pos="1440"/>
              </w:tabs>
              <w:spacing w:after="0" w:line="240" w:lineRule="auto"/>
              <w:ind w:right="34"/>
              <w:rPr>
                <w:rFonts w:ascii="Arial" w:eastAsia="SimSun" w:hAnsi="Arial"/>
                <w:b w:val="0"/>
                <w:lang w:eastAsia="zh-CN"/>
              </w:rPr>
            </w:pPr>
            <w:r w:rsidRPr="0048135A">
              <w:rPr>
                <w:rFonts w:ascii="Arial" w:eastAsia="SimSun" w:hAnsi="Arial"/>
                <w:bCs/>
                <w:lang w:eastAsia="zh-CN"/>
              </w:rPr>
              <w:t>Component(s)</w:t>
            </w:r>
          </w:p>
        </w:tc>
        <w:tc>
          <w:tcPr>
            <w:tcW w:w="6946" w:type="dxa"/>
            <w:gridSpan w:val="3"/>
            <w:shd w:val="clear" w:color="auto" w:fill="FFFFFF"/>
            <w:vAlign w:val="center"/>
          </w:tcPr>
          <w:p w14:paraId="3FC7924F" w14:textId="3DB1888D" w:rsidR="00AB694E" w:rsidRPr="00B51C22" w:rsidRDefault="00AB694E" w:rsidP="006F4BCB">
            <w:pPr>
              <w:tabs>
                <w:tab w:val="right" w:pos="-1800"/>
                <w:tab w:val="left" w:pos="1440"/>
              </w:tabs>
              <w:spacing w:after="0" w:line="240" w:lineRule="auto"/>
              <w:jc w:val="both"/>
              <w:rPr>
                <w:rFonts w:ascii="Arial" w:eastAsia="SimSun" w:hAnsi="Arial"/>
                <w:sz w:val="22"/>
                <w:szCs w:val="22"/>
                <w:lang w:eastAsia="zh-CN"/>
              </w:rPr>
            </w:pPr>
            <w:r w:rsidRPr="00B51C22">
              <w:rPr>
                <w:rFonts w:ascii="Arial" w:eastAsia="SimSun" w:hAnsi="Arial"/>
                <w:b w:val="0"/>
                <w:sz w:val="22"/>
                <w:szCs w:val="22"/>
                <w:lang w:eastAsia="zh-CN"/>
              </w:rPr>
              <w:t>Tuberculosis</w:t>
            </w:r>
            <w:r w:rsidR="00D96284">
              <w:rPr>
                <w:rFonts w:ascii="Arial" w:eastAsia="SimSun" w:hAnsi="Arial"/>
                <w:b w:val="0"/>
                <w:sz w:val="22"/>
                <w:szCs w:val="22"/>
                <w:lang w:eastAsia="zh-CN"/>
              </w:rPr>
              <w:t xml:space="preserve"> </w:t>
            </w:r>
          </w:p>
        </w:tc>
      </w:tr>
      <w:tr w:rsidR="00AB694E" w:rsidRPr="0048135A" w14:paraId="1FE435FE" w14:textId="77777777" w:rsidTr="006F4BCB">
        <w:trPr>
          <w:trHeight w:val="693"/>
        </w:trPr>
        <w:tc>
          <w:tcPr>
            <w:tcW w:w="2263" w:type="dxa"/>
            <w:shd w:val="clear" w:color="auto" w:fill="F2F2F2" w:themeFill="background1" w:themeFillShade="F2"/>
            <w:vAlign w:val="center"/>
          </w:tcPr>
          <w:p w14:paraId="76E8A3F7" w14:textId="6C897D57" w:rsidR="00AB694E" w:rsidRPr="0048135A" w:rsidRDefault="00AB694E" w:rsidP="00AB694E">
            <w:pPr>
              <w:tabs>
                <w:tab w:val="right" w:pos="-1800"/>
                <w:tab w:val="left" w:pos="1440"/>
              </w:tabs>
              <w:spacing w:after="0" w:line="240" w:lineRule="auto"/>
              <w:ind w:right="34"/>
              <w:rPr>
                <w:rFonts w:ascii="Arial" w:eastAsia="SimSun" w:hAnsi="Arial"/>
                <w:b w:val="0"/>
                <w:lang w:eastAsia="zh-CN"/>
              </w:rPr>
            </w:pPr>
            <w:r w:rsidRPr="0048135A">
              <w:rPr>
                <w:rFonts w:ascii="Arial" w:eastAsia="SimSun" w:hAnsi="Arial"/>
                <w:lang w:eastAsia="zh-CN"/>
              </w:rPr>
              <w:t>Principal Recipient(s)</w:t>
            </w:r>
          </w:p>
        </w:tc>
        <w:tc>
          <w:tcPr>
            <w:tcW w:w="6946" w:type="dxa"/>
            <w:gridSpan w:val="3"/>
            <w:shd w:val="clear" w:color="auto" w:fill="FFFFFF"/>
            <w:vAlign w:val="center"/>
          </w:tcPr>
          <w:p w14:paraId="55E72786" w14:textId="7CAF3A7D" w:rsidR="00AB694E" w:rsidRPr="00B51C22" w:rsidRDefault="00AB694E" w:rsidP="006F4BCB">
            <w:pPr>
              <w:tabs>
                <w:tab w:val="right" w:pos="-1800"/>
                <w:tab w:val="left" w:pos="1440"/>
              </w:tabs>
              <w:spacing w:after="0" w:line="240" w:lineRule="auto"/>
              <w:ind w:right="34"/>
              <w:jc w:val="both"/>
              <w:rPr>
                <w:rFonts w:ascii="Arial" w:eastAsia="SimSun" w:hAnsi="Arial"/>
                <w:sz w:val="22"/>
                <w:szCs w:val="22"/>
                <w:lang w:eastAsia="zh-CN"/>
              </w:rPr>
            </w:pPr>
            <w:r w:rsidRPr="00B51C22">
              <w:rPr>
                <w:rFonts w:ascii="Arial" w:eastAsia="SimSun" w:hAnsi="Arial"/>
                <w:b w:val="0"/>
                <w:sz w:val="22"/>
                <w:szCs w:val="22"/>
                <w:lang w:eastAsia="zh-CN"/>
              </w:rPr>
              <w:t xml:space="preserve">National Scientific Center of </w:t>
            </w:r>
            <w:proofErr w:type="spellStart"/>
            <w:r w:rsidR="006F4BCB" w:rsidRPr="006F4BCB">
              <w:rPr>
                <w:rFonts w:ascii="Arial" w:eastAsia="SimSun" w:hAnsi="Arial"/>
                <w:b w:val="0"/>
                <w:sz w:val="22"/>
                <w:szCs w:val="22"/>
                <w:lang w:eastAsia="zh-CN"/>
              </w:rPr>
              <w:t>Phthisiop</w:t>
            </w:r>
            <w:r w:rsidR="006F4BCB">
              <w:rPr>
                <w:rFonts w:ascii="Arial" w:eastAsia="SimSun" w:hAnsi="Arial"/>
                <w:b w:val="0"/>
                <w:sz w:val="22"/>
                <w:szCs w:val="22"/>
                <w:lang w:eastAsia="zh-CN"/>
              </w:rPr>
              <w:t>ulmonology</w:t>
            </w:r>
            <w:proofErr w:type="spellEnd"/>
            <w:r w:rsidR="006F4BCB">
              <w:rPr>
                <w:rFonts w:ascii="Arial" w:eastAsia="SimSun" w:hAnsi="Arial"/>
                <w:b w:val="0"/>
                <w:sz w:val="22"/>
                <w:szCs w:val="22"/>
                <w:lang w:eastAsia="zh-CN"/>
              </w:rPr>
              <w:t xml:space="preserve"> </w:t>
            </w:r>
            <w:r w:rsidRPr="00B51C22">
              <w:rPr>
                <w:rFonts w:ascii="Arial" w:eastAsia="SimSun" w:hAnsi="Arial"/>
                <w:b w:val="0"/>
                <w:sz w:val="22"/>
                <w:szCs w:val="22"/>
                <w:lang w:eastAsia="zh-CN"/>
              </w:rPr>
              <w:t xml:space="preserve">of the Ministry of Health of the Republic of Kazakhstan </w:t>
            </w:r>
          </w:p>
        </w:tc>
      </w:tr>
      <w:tr w:rsidR="00AB694E" w:rsidRPr="0048135A" w14:paraId="7B769194" w14:textId="77777777" w:rsidTr="00AB694E">
        <w:trPr>
          <w:trHeight w:val="693"/>
        </w:trPr>
        <w:tc>
          <w:tcPr>
            <w:tcW w:w="2263" w:type="dxa"/>
            <w:shd w:val="clear" w:color="auto" w:fill="F2F2F2" w:themeFill="background1" w:themeFillShade="F2"/>
            <w:vAlign w:val="center"/>
          </w:tcPr>
          <w:p w14:paraId="10F823D9" w14:textId="22EFF4B8" w:rsidR="00AB694E" w:rsidRPr="0048135A" w:rsidRDefault="00AB694E" w:rsidP="00AB694E">
            <w:pPr>
              <w:tabs>
                <w:tab w:val="right" w:pos="-1800"/>
                <w:tab w:val="left" w:pos="1440"/>
              </w:tabs>
              <w:spacing w:after="0" w:line="240" w:lineRule="auto"/>
              <w:ind w:right="34"/>
              <w:rPr>
                <w:rFonts w:ascii="Arial" w:eastAsia="SimSun" w:hAnsi="Arial"/>
                <w:b w:val="0"/>
                <w:lang w:eastAsia="zh-CN"/>
              </w:rPr>
            </w:pPr>
            <w:r w:rsidRPr="0048135A">
              <w:rPr>
                <w:rFonts w:ascii="Arial" w:eastAsia="SimSun" w:hAnsi="Arial"/>
                <w:lang w:eastAsia="zh-CN"/>
              </w:rPr>
              <w:t>Envisioned grant(s) start date</w:t>
            </w:r>
          </w:p>
        </w:tc>
        <w:tc>
          <w:tcPr>
            <w:tcW w:w="2268" w:type="dxa"/>
            <w:vAlign w:val="center"/>
          </w:tcPr>
          <w:p w14:paraId="1A83F5C1" w14:textId="2DC795A3" w:rsidR="00AB694E" w:rsidRPr="006F4BCB" w:rsidRDefault="006F4BCB" w:rsidP="00AB694E">
            <w:pPr>
              <w:tabs>
                <w:tab w:val="right" w:pos="-1800"/>
                <w:tab w:val="left" w:pos="1440"/>
              </w:tabs>
              <w:spacing w:after="0" w:line="240" w:lineRule="auto"/>
              <w:ind w:right="-613"/>
              <w:jc w:val="both"/>
              <w:rPr>
                <w:rFonts w:ascii="Arial" w:eastAsia="SimSun" w:hAnsi="Arial"/>
                <w:b w:val="0"/>
                <w:sz w:val="22"/>
                <w:szCs w:val="22"/>
                <w:lang w:eastAsia="zh-CN"/>
              </w:rPr>
            </w:pPr>
            <w:r w:rsidRPr="006F4BCB">
              <w:rPr>
                <w:rFonts w:ascii="Arial" w:eastAsia="SimSun" w:hAnsi="Arial"/>
                <w:b w:val="0"/>
                <w:sz w:val="22"/>
                <w:szCs w:val="22"/>
                <w:lang w:eastAsia="zh-CN"/>
              </w:rPr>
              <w:t xml:space="preserve">01 </w:t>
            </w:r>
            <w:r w:rsidR="00AB694E" w:rsidRPr="006F4BCB">
              <w:rPr>
                <w:rFonts w:ascii="Arial" w:eastAsia="SimSun" w:hAnsi="Arial"/>
                <w:b w:val="0"/>
                <w:sz w:val="22"/>
                <w:szCs w:val="22"/>
                <w:lang w:eastAsia="zh-CN"/>
              </w:rPr>
              <w:t>January</w:t>
            </w:r>
            <w:r w:rsidRPr="006F4BCB">
              <w:rPr>
                <w:rFonts w:ascii="Arial" w:eastAsia="SimSun" w:hAnsi="Arial"/>
                <w:b w:val="0"/>
                <w:sz w:val="22"/>
                <w:szCs w:val="22"/>
                <w:lang w:eastAsia="zh-CN"/>
              </w:rPr>
              <w:t xml:space="preserve"> </w:t>
            </w:r>
            <w:r w:rsidR="00AB694E" w:rsidRPr="006F4BCB">
              <w:rPr>
                <w:rFonts w:ascii="Arial" w:eastAsia="SimSun" w:hAnsi="Arial"/>
                <w:b w:val="0"/>
                <w:sz w:val="22"/>
                <w:szCs w:val="22"/>
                <w:lang w:eastAsia="zh-CN"/>
              </w:rPr>
              <w:t>2020</w:t>
            </w:r>
          </w:p>
        </w:tc>
        <w:tc>
          <w:tcPr>
            <w:tcW w:w="2268" w:type="dxa"/>
            <w:shd w:val="clear" w:color="auto" w:fill="F2F2F2" w:themeFill="background1" w:themeFillShade="F2"/>
            <w:vAlign w:val="center"/>
          </w:tcPr>
          <w:p w14:paraId="5377B040" w14:textId="7B7E2E4E" w:rsidR="00AB694E" w:rsidRPr="0048135A" w:rsidRDefault="00AB694E" w:rsidP="00AB694E">
            <w:pPr>
              <w:tabs>
                <w:tab w:val="right" w:pos="-1800"/>
                <w:tab w:val="left" w:pos="1440"/>
              </w:tabs>
              <w:spacing w:after="0" w:line="240" w:lineRule="auto"/>
              <w:ind w:right="169"/>
              <w:rPr>
                <w:rFonts w:ascii="Arial" w:eastAsia="SimSun" w:hAnsi="Arial"/>
                <w:b w:val="0"/>
                <w:lang w:eastAsia="zh-CN"/>
              </w:rPr>
            </w:pPr>
            <w:r w:rsidRPr="0048135A">
              <w:rPr>
                <w:rFonts w:ascii="Arial" w:eastAsia="SimSun" w:hAnsi="Arial"/>
                <w:lang w:eastAsia="zh-CN"/>
              </w:rPr>
              <w:t>Envisioned grant(s) end date</w:t>
            </w:r>
          </w:p>
        </w:tc>
        <w:tc>
          <w:tcPr>
            <w:tcW w:w="2410" w:type="dxa"/>
            <w:vAlign w:val="center"/>
          </w:tcPr>
          <w:p w14:paraId="31B15780" w14:textId="3DC0D86E" w:rsidR="00AB694E" w:rsidRPr="006F4BCB" w:rsidRDefault="006F4BCB" w:rsidP="00AB694E">
            <w:pPr>
              <w:tabs>
                <w:tab w:val="right" w:pos="-1800"/>
                <w:tab w:val="left" w:pos="1440"/>
              </w:tabs>
              <w:spacing w:after="0" w:line="240" w:lineRule="auto"/>
              <w:ind w:right="-613"/>
              <w:rPr>
                <w:rFonts w:ascii="Arial" w:eastAsia="SimSun" w:hAnsi="Arial"/>
                <w:b w:val="0"/>
                <w:lang w:eastAsia="zh-CN"/>
              </w:rPr>
            </w:pPr>
            <w:r w:rsidRPr="006F4BCB">
              <w:rPr>
                <w:rFonts w:ascii="Arial" w:eastAsia="SimSun" w:hAnsi="Arial"/>
                <w:b w:val="0"/>
                <w:sz w:val="22"/>
                <w:szCs w:val="22"/>
                <w:lang w:eastAsia="zh-CN"/>
              </w:rPr>
              <w:t xml:space="preserve">31 </w:t>
            </w:r>
            <w:r w:rsidR="00AB694E" w:rsidRPr="006F4BCB">
              <w:rPr>
                <w:rFonts w:ascii="Arial" w:eastAsia="SimSun" w:hAnsi="Arial"/>
                <w:b w:val="0"/>
                <w:sz w:val="22"/>
                <w:szCs w:val="22"/>
                <w:lang w:eastAsia="zh-CN"/>
              </w:rPr>
              <w:t>December 2022</w:t>
            </w:r>
          </w:p>
        </w:tc>
      </w:tr>
      <w:tr w:rsidR="00AB694E" w:rsidRPr="0048135A" w14:paraId="509F74C8" w14:textId="77777777" w:rsidTr="00AB694E">
        <w:trPr>
          <w:trHeight w:val="413"/>
        </w:trPr>
        <w:tc>
          <w:tcPr>
            <w:tcW w:w="2263" w:type="dxa"/>
            <w:shd w:val="clear" w:color="auto" w:fill="F2F2F2" w:themeFill="background1" w:themeFillShade="F2"/>
            <w:vAlign w:val="center"/>
          </w:tcPr>
          <w:p w14:paraId="6B87A26C" w14:textId="77777777" w:rsidR="00AB694E" w:rsidRPr="0048135A" w:rsidRDefault="00AB694E" w:rsidP="00AB694E">
            <w:pPr>
              <w:tabs>
                <w:tab w:val="right" w:pos="-1800"/>
                <w:tab w:val="left" w:pos="1440"/>
              </w:tabs>
              <w:spacing w:after="0"/>
              <w:ind w:right="34"/>
              <w:rPr>
                <w:rFonts w:ascii="Arial" w:eastAsia="SimSun" w:hAnsi="Arial"/>
                <w:b w:val="0"/>
                <w:lang w:eastAsia="zh-CN"/>
              </w:rPr>
            </w:pPr>
            <w:r w:rsidRPr="0048135A">
              <w:rPr>
                <w:rFonts w:ascii="Arial" w:eastAsia="SimSun" w:hAnsi="Arial"/>
                <w:lang w:eastAsia="zh-CN"/>
              </w:rPr>
              <w:t>Allocation funding request</w:t>
            </w:r>
          </w:p>
        </w:tc>
        <w:tc>
          <w:tcPr>
            <w:tcW w:w="2268" w:type="dxa"/>
            <w:vAlign w:val="center"/>
          </w:tcPr>
          <w:p w14:paraId="58ABBFC0" w14:textId="77777777" w:rsidR="00AB694E" w:rsidRPr="0081038E" w:rsidRDefault="00AB694E" w:rsidP="00AB694E">
            <w:pPr>
              <w:tabs>
                <w:tab w:val="right" w:pos="-1800"/>
                <w:tab w:val="left" w:pos="1440"/>
              </w:tabs>
              <w:spacing w:after="0"/>
              <w:ind w:right="-613"/>
              <w:rPr>
                <w:rFonts w:ascii="Arial" w:eastAsia="SimSun" w:hAnsi="Arial"/>
                <w:b w:val="0"/>
                <w:bCs/>
                <w:sz w:val="22"/>
                <w:szCs w:val="22"/>
                <w:highlight w:val="yellow"/>
                <w:lang w:eastAsia="zh-CN"/>
              </w:rPr>
            </w:pPr>
          </w:p>
          <w:p w14:paraId="78B051AA" w14:textId="6E31CB69" w:rsidR="00AB694E" w:rsidRPr="005E168D" w:rsidRDefault="00AB694E" w:rsidP="00AB694E">
            <w:pPr>
              <w:tabs>
                <w:tab w:val="right" w:pos="-1800"/>
                <w:tab w:val="left" w:pos="1440"/>
              </w:tabs>
              <w:spacing w:after="0"/>
              <w:ind w:right="-613"/>
              <w:rPr>
                <w:rFonts w:ascii="Arial" w:eastAsia="SimSun" w:hAnsi="Arial"/>
                <w:b w:val="0"/>
                <w:sz w:val="22"/>
                <w:szCs w:val="22"/>
                <w:lang w:eastAsia="zh-CN"/>
              </w:rPr>
            </w:pPr>
            <w:r w:rsidRPr="005E168D">
              <w:rPr>
                <w:rFonts w:ascii="Arial" w:eastAsia="SimSun" w:hAnsi="Arial"/>
                <w:b w:val="0"/>
                <w:bCs/>
                <w:sz w:val="22"/>
                <w:szCs w:val="22"/>
                <w:lang w:eastAsia="zh-CN"/>
              </w:rPr>
              <w:t>US$ 8,054,663</w:t>
            </w:r>
          </w:p>
          <w:p w14:paraId="4D6EF415" w14:textId="531E3759" w:rsidR="00AB694E" w:rsidRPr="0081038E" w:rsidRDefault="00AB694E" w:rsidP="00AB694E">
            <w:pPr>
              <w:tabs>
                <w:tab w:val="right" w:pos="-1800"/>
                <w:tab w:val="left" w:pos="1440"/>
              </w:tabs>
              <w:spacing w:after="0"/>
              <w:ind w:right="-613"/>
              <w:rPr>
                <w:rFonts w:ascii="Arial" w:eastAsia="SimSun" w:hAnsi="Arial"/>
                <w:b w:val="0"/>
                <w:sz w:val="22"/>
                <w:szCs w:val="22"/>
                <w:highlight w:val="yellow"/>
                <w:lang w:eastAsia="zh-CN"/>
              </w:rPr>
            </w:pPr>
          </w:p>
        </w:tc>
        <w:tc>
          <w:tcPr>
            <w:tcW w:w="2268" w:type="dxa"/>
            <w:shd w:val="clear" w:color="auto" w:fill="F2F2F2" w:themeFill="background1" w:themeFillShade="F2"/>
            <w:vAlign w:val="center"/>
          </w:tcPr>
          <w:p w14:paraId="3496A45E" w14:textId="77777777" w:rsidR="00AB694E" w:rsidRPr="0048135A" w:rsidRDefault="00AB694E" w:rsidP="00AB694E">
            <w:pPr>
              <w:tabs>
                <w:tab w:val="right" w:pos="-1800"/>
                <w:tab w:val="left" w:pos="1440"/>
              </w:tabs>
              <w:spacing w:after="0"/>
              <w:ind w:right="169"/>
              <w:rPr>
                <w:rFonts w:ascii="Arial" w:eastAsia="SimSun" w:hAnsi="Arial"/>
                <w:b w:val="0"/>
                <w:lang w:eastAsia="zh-CN"/>
              </w:rPr>
            </w:pPr>
            <w:r w:rsidRPr="0048135A">
              <w:rPr>
                <w:rFonts w:ascii="Arial" w:eastAsia="SimSun" w:hAnsi="Arial"/>
                <w:lang w:eastAsia="zh-CN"/>
              </w:rPr>
              <w:t>Prioritized above allocation request</w:t>
            </w:r>
          </w:p>
        </w:tc>
        <w:tc>
          <w:tcPr>
            <w:tcW w:w="2410" w:type="dxa"/>
            <w:vAlign w:val="center"/>
          </w:tcPr>
          <w:p w14:paraId="122C82B8" w14:textId="487CCCD9" w:rsidR="00AB694E" w:rsidRPr="0081038E" w:rsidRDefault="003A6148" w:rsidP="00AB694E">
            <w:pPr>
              <w:tabs>
                <w:tab w:val="right" w:pos="-1800"/>
                <w:tab w:val="left" w:pos="1440"/>
              </w:tabs>
              <w:spacing w:after="0"/>
              <w:ind w:right="-613"/>
              <w:rPr>
                <w:rFonts w:ascii="Arial" w:eastAsia="SimSun" w:hAnsi="Arial"/>
                <w:b w:val="0"/>
                <w:sz w:val="22"/>
                <w:szCs w:val="22"/>
                <w:lang w:eastAsia="zh-CN"/>
              </w:rPr>
            </w:pPr>
            <w:r>
              <w:rPr>
                <w:rFonts w:ascii="Arial" w:eastAsia="SimSun" w:hAnsi="Arial"/>
                <w:b w:val="0"/>
                <w:sz w:val="22"/>
                <w:szCs w:val="22"/>
                <w:lang w:eastAsia="zh-CN"/>
              </w:rPr>
              <w:t>N/A</w:t>
            </w:r>
          </w:p>
        </w:tc>
      </w:tr>
    </w:tbl>
    <w:p w14:paraId="2E287629" w14:textId="77777777" w:rsidR="00477B43" w:rsidRPr="0048135A" w:rsidRDefault="00477B43" w:rsidP="00477B43">
      <w:pPr>
        <w:spacing w:after="0"/>
        <w:rPr>
          <w:rFonts w:ascii="Arial" w:hAnsi="Arial"/>
          <w:sz w:val="20"/>
          <w:szCs w:val="20"/>
        </w:rPr>
      </w:pPr>
    </w:p>
    <w:tbl>
      <w:tblPr>
        <w:tblStyle w:val="TableGrid"/>
        <w:tblW w:w="9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9191"/>
      </w:tblGrid>
      <w:tr w:rsidR="00CB2100" w:rsidRPr="0048135A" w14:paraId="5426ADE2" w14:textId="77777777" w:rsidTr="004B088A">
        <w:tc>
          <w:tcPr>
            <w:tcW w:w="9191" w:type="dxa"/>
            <w:shd w:val="clear" w:color="auto" w:fill="EEECE1"/>
          </w:tcPr>
          <w:p w14:paraId="4A17E117" w14:textId="1E26DC92" w:rsidR="00A056B1" w:rsidRPr="0048135A" w:rsidRDefault="00CB2100" w:rsidP="00A056B1">
            <w:pPr>
              <w:autoSpaceDE w:val="0"/>
              <w:autoSpaceDN w:val="0"/>
              <w:adjustRightInd w:val="0"/>
              <w:spacing w:before="120" w:after="120"/>
              <w:rPr>
                <w:rFonts w:ascii="Arial" w:hAnsi="Arial"/>
                <w:bCs/>
                <w:i/>
                <w:iCs/>
              </w:rPr>
            </w:pPr>
            <w:r w:rsidRPr="0048135A">
              <w:rPr>
                <w:rFonts w:ascii="Arial" w:hAnsi="Arial"/>
                <w:bCs/>
                <w:i/>
                <w:iCs/>
                <w:u w:val="single"/>
              </w:rPr>
              <w:t>IMPORTANT:</w:t>
            </w:r>
            <w:r w:rsidRPr="0048135A">
              <w:rPr>
                <w:rFonts w:ascii="Arial" w:hAnsi="Arial"/>
                <w:bCs/>
                <w:i/>
                <w:iCs/>
              </w:rPr>
              <w:t xml:space="preserve"> </w:t>
            </w:r>
          </w:p>
          <w:p w14:paraId="11230287" w14:textId="77777777" w:rsidR="00A056B1" w:rsidRPr="00D54577" w:rsidRDefault="00A056B1" w:rsidP="00D54577">
            <w:pPr>
              <w:rPr>
                <w:rFonts w:ascii="Arial" w:hAnsi="Arial"/>
              </w:rPr>
            </w:pPr>
            <w:r w:rsidRPr="00D54577">
              <w:rPr>
                <w:rFonts w:ascii="Arial" w:hAnsi="Arial"/>
              </w:rPr>
              <w:t xml:space="preserve">To complete this funding request, </w:t>
            </w:r>
            <w:r w:rsidRPr="00D54577">
              <w:rPr>
                <w:rFonts w:ascii="Arial" w:hAnsi="Arial"/>
                <w:b w:val="0"/>
              </w:rPr>
              <w:t>please</w:t>
            </w:r>
            <w:r w:rsidRPr="00D54577">
              <w:rPr>
                <w:rFonts w:ascii="Arial" w:hAnsi="Arial"/>
              </w:rPr>
              <w:t>:</w:t>
            </w:r>
          </w:p>
          <w:p w14:paraId="27F3DEDD" w14:textId="23460B32" w:rsidR="00A056B1" w:rsidRPr="00D54577" w:rsidRDefault="00A056B1" w:rsidP="0061696C">
            <w:pPr>
              <w:pStyle w:val="ListParagraph"/>
              <w:numPr>
                <w:ilvl w:val="0"/>
                <w:numId w:val="3"/>
              </w:numPr>
              <w:autoSpaceDE w:val="0"/>
              <w:autoSpaceDN w:val="0"/>
              <w:adjustRightInd w:val="0"/>
              <w:spacing w:before="120" w:after="120"/>
              <w:jc w:val="both"/>
              <w:rPr>
                <w:rFonts w:ascii="Arial" w:hAnsi="Arial"/>
                <w:b w:val="0"/>
              </w:rPr>
            </w:pPr>
            <w:r w:rsidRPr="00D54577">
              <w:rPr>
                <w:rFonts w:ascii="Arial" w:hAnsi="Arial"/>
                <w:b w:val="0"/>
              </w:rPr>
              <w:t xml:space="preserve">Refer to the accompanying </w:t>
            </w:r>
            <w:r w:rsidR="00A22AF0" w:rsidRPr="00D54577">
              <w:rPr>
                <w:rFonts w:ascii="Arial" w:hAnsi="Arial"/>
                <w:i/>
              </w:rPr>
              <w:t xml:space="preserve">Funding Request </w:t>
            </w:r>
            <w:r w:rsidRPr="00D54577">
              <w:rPr>
                <w:rFonts w:ascii="Arial" w:hAnsi="Arial"/>
                <w:i/>
              </w:rPr>
              <w:t>Instructions</w:t>
            </w:r>
            <w:r w:rsidR="00A22AF0" w:rsidRPr="00D54577">
              <w:rPr>
                <w:rFonts w:ascii="Arial" w:hAnsi="Arial"/>
                <w:i/>
              </w:rPr>
              <w:t>:</w:t>
            </w:r>
            <w:r w:rsidRPr="00D54577">
              <w:rPr>
                <w:rFonts w:ascii="Arial" w:hAnsi="Arial"/>
                <w:i/>
              </w:rPr>
              <w:t xml:space="preserve"> Tailored </w:t>
            </w:r>
            <w:r w:rsidR="00A22AF0" w:rsidRPr="00D54577">
              <w:rPr>
                <w:rFonts w:ascii="Arial" w:hAnsi="Arial"/>
                <w:i/>
              </w:rPr>
              <w:t xml:space="preserve">to </w:t>
            </w:r>
            <w:r w:rsidRPr="00D54577">
              <w:rPr>
                <w:rFonts w:ascii="Arial" w:hAnsi="Arial"/>
                <w:i/>
              </w:rPr>
              <w:t xml:space="preserve">Material </w:t>
            </w:r>
            <w:r w:rsidR="007E2D4E" w:rsidRPr="00D54577">
              <w:rPr>
                <w:rFonts w:ascii="Arial" w:hAnsi="Arial"/>
                <w:i/>
              </w:rPr>
              <w:t>Change</w:t>
            </w:r>
            <w:r w:rsidRPr="00D54577">
              <w:rPr>
                <w:rFonts w:ascii="Arial" w:hAnsi="Arial"/>
                <w:b w:val="0"/>
              </w:rPr>
              <w:t>;</w:t>
            </w:r>
          </w:p>
          <w:p w14:paraId="51B99788" w14:textId="75728DEB" w:rsidR="00A056B1" w:rsidRPr="00D54577" w:rsidRDefault="00A22AF0" w:rsidP="0061696C">
            <w:pPr>
              <w:pStyle w:val="ListParagraph"/>
              <w:numPr>
                <w:ilvl w:val="0"/>
                <w:numId w:val="3"/>
              </w:numPr>
              <w:autoSpaceDE w:val="0"/>
              <w:autoSpaceDN w:val="0"/>
              <w:adjustRightInd w:val="0"/>
              <w:spacing w:before="120" w:after="120"/>
              <w:jc w:val="both"/>
              <w:rPr>
                <w:rFonts w:ascii="Arial" w:hAnsi="Arial"/>
                <w:b w:val="0"/>
              </w:rPr>
            </w:pPr>
            <w:r w:rsidRPr="0048135A">
              <w:rPr>
                <w:rFonts w:ascii="Arial" w:hAnsi="Arial"/>
                <w:b w:val="0"/>
                <w:bCs/>
                <w:iCs/>
              </w:rPr>
              <w:t>Refer to the</w:t>
            </w:r>
            <w:r w:rsidR="00A056B1" w:rsidRPr="0048135A">
              <w:rPr>
                <w:rFonts w:ascii="Arial" w:hAnsi="Arial"/>
                <w:b w:val="0"/>
                <w:bCs/>
                <w:iCs/>
              </w:rPr>
              <w:t xml:space="preserve"> </w:t>
            </w:r>
            <w:r w:rsidR="00A056B1" w:rsidRPr="0048135A">
              <w:rPr>
                <w:rFonts w:ascii="Arial" w:hAnsi="Arial"/>
                <w:b w:val="0"/>
                <w:bCs/>
                <w:i/>
                <w:iCs/>
              </w:rPr>
              <w:t>Information Note</w:t>
            </w:r>
            <w:r w:rsidR="00A056B1" w:rsidRPr="0048135A">
              <w:rPr>
                <w:rFonts w:ascii="Arial" w:hAnsi="Arial"/>
                <w:b w:val="0"/>
                <w:bCs/>
                <w:iCs/>
              </w:rPr>
              <w:t xml:space="preserve"> </w:t>
            </w:r>
            <w:r w:rsidRPr="0048135A">
              <w:rPr>
                <w:rFonts w:ascii="Arial" w:hAnsi="Arial"/>
                <w:b w:val="0"/>
                <w:bCs/>
                <w:iCs/>
              </w:rPr>
              <w:t>for each component</w:t>
            </w:r>
            <w:r w:rsidR="00A056B1" w:rsidRPr="0048135A">
              <w:rPr>
                <w:rFonts w:ascii="Arial" w:hAnsi="Arial"/>
                <w:b w:val="0"/>
                <w:bCs/>
                <w:iCs/>
              </w:rPr>
              <w:t xml:space="preserve"> as relev</w:t>
            </w:r>
            <w:r w:rsidRPr="0048135A">
              <w:rPr>
                <w:rFonts w:ascii="Arial" w:hAnsi="Arial"/>
                <w:b w:val="0"/>
                <w:bCs/>
                <w:iCs/>
              </w:rPr>
              <w:t>ant to the funding request, and</w:t>
            </w:r>
            <w:r w:rsidR="00A056B1" w:rsidRPr="0048135A">
              <w:rPr>
                <w:rFonts w:ascii="Arial" w:hAnsi="Arial"/>
                <w:b w:val="0"/>
                <w:bCs/>
                <w:iCs/>
              </w:rPr>
              <w:t xml:space="preserve"> other guidance available</w:t>
            </w:r>
            <w:r w:rsidR="000D4A2D">
              <w:rPr>
                <w:rFonts w:ascii="Arial" w:hAnsi="Arial"/>
                <w:b w:val="0"/>
                <w:bCs/>
                <w:iCs/>
              </w:rPr>
              <w:t xml:space="preserve">, </w:t>
            </w:r>
            <w:r w:rsidR="000D4A2D" w:rsidRPr="000D4A2D">
              <w:rPr>
                <w:rFonts w:ascii="Arial" w:hAnsi="Arial"/>
                <w:b w:val="0"/>
                <w:bCs/>
                <w:iCs/>
                <w:lang w:val="en-GB"/>
              </w:rPr>
              <w:t xml:space="preserve">found on the </w:t>
            </w:r>
            <w:hyperlink r:id="rId14" w:history="1">
              <w:r w:rsidR="000D4A2D" w:rsidRPr="000D4A2D">
                <w:rPr>
                  <w:rStyle w:val="Hyperlink"/>
                  <w:rFonts w:ascii="Arial" w:hAnsi="Arial" w:cs="Arial"/>
                  <w:b w:val="0"/>
                  <w:bCs/>
                  <w:iCs/>
                  <w:lang w:val="en-GB"/>
                </w:rPr>
                <w:t>Global Fund website</w:t>
              </w:r>
            </w:hyperlink>
            <w:r w:rsidR="00A056B1" w:rsidRPr="00D54577">
              <w:rPr>
                <w:rFonts w:ascii="Arial" w:hAnsi="Arial"/>
                <w:b w:val="0"/>
              </w:rPr>
              <w:t>;</w:t>
            </w:r>
          </w:p>
          <w:p w14:paraId="57F70EAD" w14:textId="06230EEC" w:rsidR="00A056B1" w:rsidRPr="00D54577" w:rsidRDefault="00A056B1" w:rsidP="0061696C">
            <w:pPr>
              <w:pStyle w:val="ListParagraph"/>
              <w:numPr>
                <w:ilvl w:val="0"/>
                <w:numId w:val="3"/>
              </w:numPr>
              <w:autoSpaceDE w:val="0"/>
              <w:autoSpaceDN w:val="0"/>
              <w:adjustRightInd w:val="0"/>
              <w:spacing w:before="120" w:after="120"/>
              <w:jc w:val="both"/>
              <w:rPr>
                <w:rFonts w:ascii="Arial" w:hAnsi="Arial"/>
                <w:b w:val="0"/>
              </w:rPr>
            </w:pPr>
            <w:r w:rsidRPr="0048135A">
              <w:rPr>
                <w:rFonts w:ascii="Arial" w:hAnsi="Arial"/>
                <w:b w:val="0"/>
              </w:rPr>
              <w:t>Ensure that all mandatory attachments have been completed and attached</w:t>
            </w:r>
            <w:r w:rsidR="00A22AF0" w:rsidRPr="0048135A">
              <w:rPr>
                <w:rFonts w:ascii="Arial" w:hAnsi="Arial"/>
                <w:b w:val="0"/>
              </w:rPr>
              <w:t>. To assist with this, an application checklist is provided in</w:t>
            </w:r>
            <w:r w:rsidR="000D4A2D">
              <w:rPr>
                <w:rFonts w:ascii="Arial" w:hAnsi="Arial"/>
                <w:b w:val="0"/>
              </w:rPr>
              <w:t xml:space="preserve"> Annex of</w:t>
            </w:r>
            <w:r w:rsidR="00A22AF0" w:rsidRPr="0048135A">
              <w:rPr>
                <w:rFonts w:ascii="Arial" w:hAnsi="Arial"/>
                <w:b w:val="0"/>
              </w:rPr>
              <w:t xml:space="preserve"> the </w:t>
            </w:r>
            <w:r w:rsidR="00A22AF0" w:rsidRPr="00D54577">
              <w:rPr>
                <w:rFonts w:ascii="Arial" w:hAnsi="Arial"/>
                <w:b w:val="0"/>
              </w:rPr>
              <w:t>Instructions</w:t>
            </w:r>
            <w:r w:rsidR="000D4A2D">
              <w:rPr>
                <w:rFonts w:ascii="Arial" w:hAnsi="Arial"/>
                <w:b w:val="0"/>
              </w:rPr>
              <w:t>;</w:t>
            </w:r>
          </w:p>
          <w:p w14:paraId="3BFAED9F" w14:textId="0F599FB3" w:rsidR="00A056B1" w:rsidRPr="00D54577" w:rsidRDefault="00A056B1" w:rsidP="0061696C">
            <w:pPr>
              <w:pStyle w:val="ListParagraph"/>
              <w:numPr>
                <w:ilvl w:val="0"/>
                <w:numId w:val="3"/>
              </w:numPr>
              <w:autoSpaceDE w:val="0"/>
              <w:autoSpaceDN w:val="0"/>
              <w:adjustRightInd w:val="0"/>
              <w:spacing w:before="120" w:after="120"/>
              <w:jc w:val="both"/>
              <w:rPr>
                <w:rFonts w:ascii="Arial" w:hAnsi="Arial"/>
                <w:b w:val="0"/>
              </w:rPr>
            </w:pPr>
            <w:r w:rsidRPr="00D54577">
              <w:rPr>
                <w:rFonts w:ascii="Arial" w:hAnsi="Arial"/>
                <w:b w:val="0"/>
              </w:rPr>
              <w:t>Ensure consistency across documentation</w:t>
            </w:r>
            <w:r w:rsidR="00A22AF0" w:rsidRPr="00D54577">
              <w:rPr>
                <w:rFonts w:ascii="Arial" w:hAnsi="Arial"/>
                <w:b w:val="0"/>
              </w:rPr>
              <w:t xml:space="preserve"> before submitting</w:t>
            </w:r>
            <w:r w:rsidRPr="00D54577">
              <w:rPr>
                <w:rFonts w:ascii="Arial" w:hAnsi="Arial"/>
                <w:b w:val="0"/>
              </w:rPr>
              <w:t>.</w:t>
            </w:r>
          </w:p>
          <w:p w14:paraId="22150534" w14:textId="1536EAC9" w:rsidR="00D54577" w:rsidRPr="00D54577" w:rsidRDefault="00A056B1" w:rsidP="00D54577">
            <w:pPr>
              <w:autoSpaceDE w:val="0"/>
              <w:autoSpaceDN w:val="0"/>
              <w:adjustRightInd w:val="0"/>
              <w:spacing w:before="120" w:after="120"/>
              <w:jc w:val="both"/>
              <w:rPr>
                <w:rFonts w:ascii="Arial" w:hAnsi="Arial"/>
                <w:b w:val="0"/>
              </w:rPr>
            </w:pPr>
            <w:r w:rsidRPr="0048135A">
              <w:rPr>
                <w:rFonts w:ascii="Arial" w:hAnsi="Arial"/>
                <w:bCs/>
                <w:iCs/>
              </w:rPr>
              <w:t>Applicants</w:t>
            </w:r>
            <w:r w:rsidRPr="0048135A">
              <w:rPr>
                <w:rFonts w:ascii="Arial" w:hAnsi="Arial"/>
              </w:rPr>
              <w:t xml:space="preserve"> are encouraged to submit a </w:t>
            </w:r>
            <w:r w:rsidR="003268C1" w:rsidRPr="0048135A">
              <w:rPr>
                <w:rFonts w:ascii="Arial" w:hAnsi="Arial"/>
              </w:rPr>
              <w:t>joint</w:t>
            </w:r>
            <w:r w:rsidRPr="0048135A">
              <w:rPr>
                <w:rFonts w:ascii="Arial" w:hAnsi="Arial"/>
              </w:rPr>
              <w:t xml:space="preserve"> funding request</w:t>
            </w:r>
            <w:r w:rsidRPr="0048135A">
              <w:rPr>
                <w:rFonts w:ascii="Arial" w:hAnsi="Arial"/>
                <w:b w:val="0"/>
              </w:rPr>
              <w:t xml:space="preserve"> for eligible disease components and resilient and sustainable systems for health (RSSH). </w:t>
            </w:r>
          </w:p>
          <w:p w14:paraId="34C712BD" w14:textId="2AB10197" w:rsidR="00CB2100" w:rsidRPr="0048135A" w:rsidRDefault="00A056B1" w:rsidP="00D54577">
            <w:pPr>
              <w:autoSpaceDE w:val="0"/>
              <w:autoSpaceDN w:val="0"/>
              <w:adjustRightInd w:val="0"/>
              <w:spacing w:before="120" w:after="120"/>
              <w:jc w:val="both"/>
              <w:rPr>
                <w:rFonts w:ascii="Arial" w:hAnsi="Arial"/>
              </w:rPr>
            </w:pPr>
            <w:r w:rsidRPr="00D54577">
              <w:rPr>
                <w:rFonts w:ascii="Arial" w:hAnsi="Arial"/>
                <w:bCs/>
                <w:iCs/>
              </w:rPr>
              <w:t xml:space="preserve">Joint TB/HIV submissions are compulsory for a selected number of countries with highest rates of co-infection. </w:t>
            </w:r>
            <w:r w:rsidRPr="00D54577">
              <w:rPr>
                <w:rFonts w:ascii="Arial" w:hAnsi="Arial"/>
                <w:b w:val="0"/>
                <w:bCs/>
                <w:iCs/>
              </w:rPr>
              <w:t>See the relat</w:t>
            </w:r>
            <w:r w:rsidRPr="000D4A2D">
              <w:rPr>
                <w:rFonts w:ascii="Arial" w:hAnsi="Arial"/>
                <w:b w:val="0"/>
                <w:bCs/>
                <w:iCs/>
              </w:rPr>
              <w:t xml:space="preserve">ed </w:t>
            </w:r>
            <w:hyperlink r:id="rId15" w:anchor="coreinformationnotes" w:history="1">
              <w:r w:rsidR="000D4A2D" w:rsidRPr="000D4A2D">
                <w:rPr>
                  <w:rStyle w:val="Hyperlink"/>
                  <w:rFonts w:ascii="Arial" w:hAnsi="Arial" w:cs="Arial"/>
                  <w:b w:val="0"/>
                </w:rPr>
                <w:t>guidance</w:t>
              </w:r>
            </w:hyperlink>
            <w:r w:rsidR="000D4A2D">
              <w:rPr>
                <w:rFonts w:ascii="Arial" w:hAnsi="Arial"/>
              </w:rPr>
              <w:t xml:space="preserve"> </w:t>
            </w:r>
            <w:r w:rsidRPr="00D54577">
              <w:rPr>
                <w:rFonts w:ascii="Arial" w:hAnsi="Arial"/>
                <w:b w:val="0"/>
                <w:bCs/>
                <w:iCs/>
              </w:rPr>
              <w:t>for more information.</w:t>
            </w:r>
          </w:p>
        </w:tc>
      </w:tr>
    </w:tbl>
    <w:p w14:paraId="3B1CC7E7" w14:textId="4ADB18B5" w:rsidR="00477B43" w:rsidRPr="0048135A" w:rsidRDefault="007F4BF2" w:rsidP="00477B43">
      <w:pPr>
        <w:rPr>
          <w:rFonts w:ascii="Arial" w:hAnsi="Arial"/>
          <w:sz w:val="20"/>
          <w:szCs w:val="20"/>
        </w:rPr>
      </w:pPr>
      <w:r w:rsidRPr="0048135A">
        <w:rPr>
          <w:rFonts w:ascii="Arial" w:hAnsi="Arial"/>
          <w:sz w:val="20"/>
          <w:szCs w:val="20"/>
        </w:rPr>
        <w:br/>
      </w:r>
      <w:r w:rsidR="00477B43" w:rsidRPr="0048135A">
        <w:rPr>
          <w:rFonts w:ascii="Arial" w:hAnsi="Arial"/>
          <w:sz w:val="20"/>
          <w:szCs w:val="20"/>
        </w:rPr>
        <w:t xml:space="preserve">This funding request includes the following sections: </w:t>
      </w:r>
    </w:p>
    <w:p w14:paraId="5A2DA9F4" w14:textId="77777777" w:rsidR="00477B43" w:rsidRPr="0048135A" w:rsidRDefault="00477B43" w:rsidP="00477B43">
      <w:pPr>
        <w:spacing w:before="240" w:after="0" w:line="240" w:lineRule="auto"/>
        <w:rPr>
          <w:rFonts w:ascii="Arial" w:hAnsi="Arial"/>
          <w:b w:val="0"/>
          <w:sz w:val="20"/>
          <w:szCs w:val="20"/>
        </w:rPr>
      </w:pPr>
      <w:r w:rsidRPr="0048135A">
        <w:rPr>
          <w:rFonts w:ascii="Arial" w:hAnsi="Arial"/>
          <w:sz w:val="20"/>
          <w:szCs w:val="20"/>
        </w:rPr>
        <w:t xml:space="preserve">Section 1: </w:t>
      </w:r>
      <w:r w:rsidRPr="0048135A">
        <w:rPr>
          <w:rFonts w:ascii="Arial" w:hAnsi="Arial"/>
          <w:b w:val="0"/>
          <w:sz w:val="20"/>
          <w:szCs w:val="20"/>
        </w:rPr>
        <w:t>Context related to the funding request</w:t>
      </w:r>
    </w:p>
    <w:p w14:paraId="24DDE8F5" w14:textId="77777777" w:rsidR="00477B43" w:rsidRPr="0048135A" w:rsidRDefault="00477B43" w:rsidP="00477B43">
      <w:pPr>
        <w:spacing w:after="0" w:line="240" w:lineRule="auto"/>
        <w:rPr>
          <w:rFonts w:ascii="Arial" w:hAnsi="Arial"/>
          <w:b w:val="0"/>
          <w:sz w:val="20"/>
          <w:szCs w:val="20"/>
        </w:rPr>
      </w:pPr>
      <w:r w:rsidRPr="0048135A">
        <w:rPr>
          <w:rFonts w:ascii="Arial" w:hAnsi="Arial"/>
          <w:sz w:val="20"/>
          <w:szCs w:val="20"/>
        </w:rPr>
        <w:t xml:space="preserve">Section 2: </w:t>
      </w:r>
      <w:r w:rsidRPr="0048135A">
        <w:rPr>
          <w:rFonts w:ascii="Arial" w:hAnsi="Arial"/>
          <w:b w:val="0"/>
          <w:sz w:val="20"/>
          <w:szCs w:val="20"/>
        </w:rPr>
        <w:t>Program elements proposed for Global Fund support, including rationale</w:t>
      </w:r>
    </w:p>
    <w:p w14:paraId="703EC762" w14:textId="77777777" w:rsidR="00477B43" w:rsidRPr="0048135A" w:rsidRDefault="00477B43" w:rsidP="00477B43">
      <w:pPr>
        <w:spacing w:after="0" w:line="240" w:lineRule="auto"/>
        <w:rPr>
          <w:rFonts w:ascii="Arial" w:hAnsi="Arial"/>
          <w:b w:val="0"/>
          <w:sz w:val="20"/>
          <w:szCs w:val="20"/>
        </w:rPr>
      </w:pPr>
      <w:r w:rsidRPr="0048135A">
        <w:rPr>
          <w:rFonts w:ascii="Arial" w:hAnsi="Arial"/>
          <w:sz w:val="20"/>
          <w:szCs w:val="20"/>
        </w:rPr>
        <w:t xml:space="preserve">Section 3: </w:t>
      </w:r>
      <w:r w:rsidRPr="0048135A">
        <w:rPr>
          <w:rFonts w:ascii="Arial" w:hAnsi="Arial"/>
          <w:b w:val="0"/>
          <w:sz w:val="20"/>
          <w:szCs w:val="20"/>
        </w:rPr>
        <w:t xml:space="preserve">Planned implementation arrangements and risk mitigation measures </w:t>
      </w:r>
    </w:p>
    <w:p w14:paraId="3373E646" w14:textId="77777777" w:rsidR="00477B43" w:rsidRPr="0048135A" w:rsidRDefault="00477B43" w:rsidP="00477B43">
      <w:pPr>
        <w:spacing w:after="0" w:line="240" w:lineRule="auto"/>
        <w:rPr>
          <w:rFonts w:ascii="Arial" w:hAnsi="Arial"/>
          <w:b w:val="0"/>
          <w:sz w:val="20"/>
          <w:szCs w:val="20"/>
        </w:rPr>
      </w:pPr>
      <w:r w:rsidRPr="0048135A">
        <w:rPr>
          <w:rFonts w:ascii="Arial" w:hAnsi="Arial"/>
          <w:sz w:val="20"/>
          <w:szCs w:val="20"/>
        </w:rPr>
        <w:t xml:space="preserve">Section 4: </w:t>
      </w:r>
      <w:r w:rsidRPr="0048135A">
        <w:rPr>
          <w:rFonts w:ascii="Arial" w:hAnsi="Arial"/>
          <w:b w:val="0"/>
          <w:sz w:val="20"/>
          <w:szCs w:val="20"/>
        </w:rPr>
        <w:t>Funding landscape, co-financing and sustainability</w:t>
      </w:r>
    </w:p>
    <w:p w14:paraId="0055E606" w14:textId="2965CA19" w:rsidR="00477B43" w:rsidRPr="0048135A" w:rsidRDefault="00477B43" w:rsidP="00477B43">
      <w:pPr>
        <w:spacing w:after="0" w:line="240" w:lineRule="auto"/>
        <w:ind w:left="1134" w:hanging="1134"/>
        <w:rPr>
          <w:rFonts w:ascii="Arial" w:hAnsi="Arial"/>
          <w:b w:val="0"/>
          <w:sz w:val="20"/>
          <w:szCs w:val="20"/>
          <w:highlight w:val="magenta"/>
        </w:rPr>
      </w:pPr>
      <w:r w:rsidRPr="0048135A">
        <w:rPr>
          <w:rFonts w:ascii="Arial" w:hAnsi="Arial"/>
          <w:sz w:val="20"/>
          <w:szCs w:val="20"/>
        </w:rPr>
        <w:t xml:space="preserve">Section 5: </w:t>
      </w:r>
      <w:r w:rsidRPr="0048135A">
        <w:rPr>
          <w:rFonts w:ascii="Arial" w:hAnsi="Arial"/>
          <w:b w:val="0"/>
          <w:sz w:val="20"/>
          <w:szCs w:val="20"/>
        </w:rPr>
        <w:t xml:space="preserve">Prioritized above allocation request  </w:t>
      </w:r>
    </w:p>
    <w:p w14:paraId="400575BF" w14:textId="2D00FC04" w:rsidR="0048135A" w:rsidRDefault="0048135A">
      <w:pPr>
        <w:spacing w:after="0" w:line="240" w:lineRule="auto"/>
        <w:rPr>
          <w:rFonts w:ascii="Arial" w:eastAsia="SimSun" w:hAnsi="Arial"/>
          <w:sz w:val="20"/>
          <w:szCs w:val="20"/>
          <w:lang w:eastAsia="zh-CN"/>
        </w:rPr>
      </w:pPr>
    </w:p>
    <w:tbl>
      <w:tblP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9067"/>
      </w:tblGrid>
      <w:tr w:rsidR="009877B2" w:rsidRPr="0048135A" w14:paraId="5C47E788" w14:textId="77777777" w:rsidTr="00833796">
        <w:trPr>
          <w:trHeight w:val="332"/>
        </w:trPr>
        <w:tc>
          <w:tcPr>
            <w:tcW w:w="9067" w:type="dxa"/>
            <w:shd w:val="clear" w:color="auto" w:fill="1F497D"/>
          </w:tcPr>
          <w:p w14:paraId="0FEB988C" w14:textId="77777777" w:rsidR="009877B2" w:rsidRPr="0048135A" w:rsidRDefault="009877B2" w:rsidP="009877B2">
            <w:pPr>
              <w:spacing w:before="120" w:after="120" w:line="240" w:lineRule="auto"/>
              <w:jc w:val="both"/>
              <w:rPr>
                <w:rFonts w:ascii="Arial" w:hAnsi="Arial"/>
                <w:b w:val="0"/>
                <w:bCs/>
                <w:sz w:val="20"/>
                <w:szCs w:val="20"/>
              </w:rPr>
            </w:pPr>
            <w:r w:rsidRPr="0048135A">
              <w:rPr>
                <w:rFonts w:ascii="Arial" w:hAnsi="Arial"/>
                <w:bCs/>
                <w:color w:val="FFFFFF" w:themeColor="background1"/>
                <w:sz w:val="20"/>
                <w:szCs w:val="20"/>
              </w:rPr>
              <w:lastRenderedPageBreak/>
              <w:t xml:space="preserve">SECTION 1: CONTEXT </w:t>
            </w:r>
          </w:p>
        </w:tc>
      </w:tr>
      <w:tr w:rsidR="00B604D8" w:rsidRPr="0048135A" w14:paraId="020F6712" w14:textId="77777777" w:rsidTr="00833796">
        <w:tblPrEx>
          <w:jc w:val="center"/>
        </w:tblPrEx>
        <w:trPr>
          <w:trHeight w:val="332"/>
          <w:jc w:val="center"/>
        </w:trPr>
        <w:tc>
          <w:tcPr>
            <w:tcW w:w="9067" w:type="dxa"/>
            <w:shd w:val="clear" w:color="auto" w:fill="C6D9F1"/>
          </w:tcPr>
          <w:p w14:paraId="2372F885" w14:textId="77777777" w:rsidR="00B604D8" w:rsidRPr="0048135A" w:rsidRDefault="00B604D8" w:rsidP="001D2922">
            <w:pPr>
              <w:keepNext/>
              <w:keepLines/>
              <w:spacing w:before="120" w:after="120" w:line="240" w:lineRule="auto"/>
              <w:jc w:val="both"/>
              <w:rPr>
                <w:rFonts w:ascii="Arial" w:hAnsi="Arial"/>
                <w:b w:val="0"/>
                <w:bCs/>
                <w:iCs/>
                <w:sz w:val="20"/>
                <w:szCs w:val="20"/>
              </w:rPr>
            </w:pPr>
            <w:r w:rsidRPr="0048135A">
              <w:rPr>
                <w:rFonts w:ascii="Arial" w:hAnsi="Arial"/>
                <w:b w:val="0"/>
                <w:bCs/>
                <w:iCs/>
                <w:sz w:val="20"/>
                <w:szCs w:val="20"/>
              </w:rPr>
              <w:t xml:space="preserve">This section </w:t>
            </w:r>
            <w:r w:rsidR="001D2922" w:rsidRPr="0048135A">
              <w:rPr>
                <w:rFonts w:ascii="Arial" w:hAnsi="Arial"/>
                <w:b w:val="0"/>
                <w:bCs/>
                <w:iCs/>
                <w:sz w:val="20"/>
                <w:szCs w:val="20"/>
              </w:rPr>
              <w:t xml:space="preserve">should </w:t>
            </w:r>
            <w:r w:rsidRPr="0048135A">
              <w:rPr>
                <w:rFonts w:ascii="Arial" w:hAnsi="Arial"/>
                <w:b w:val="0"/>
                <w:bCs/>
                <w:iCs/>
                <w:sz w:val="20"/>
                <w:szCs w:val="20"/>
              </w:rPr>
              <w:t>capture in a concise way relevant information on the country context</w:t>
            </w:r>
            <w:r w:rsidR="00F85E39" w:rsidRPr="0048135A">
              <w:rPr>
                <w:rFonts w:ascii="Arial" w:hAnsi="Arial"/>
                <w:b w:val="0"/>
                <w:bCs/>
                <w:iCs/>
                <w:sz w:val="20"/>
                <w:szCs w:val="20"/>
              </w:rPr>
              <w:t xml:space="preserve"> and highlight the need for material change to programming</w:t>
            </w:r>
            <w:r w:rsidRPr="0048135A">
              <w:rPr>
                <w:rFonts w:ascii="Arial" w:hAnsi="Arial"/>
                <w:b w:val="0"/>
                <w:bCs/>
                <w:iCs/>
                <w:sz w:val="20"/>
                <w:szCs w:val="20"/>
              </w:rPr>
              <w:t>. It should refer</w:t>
            </w:r>
            <w:r w:rsidRPr="0048135A">
              <w:rPr>
                <w:rFonts w:ascii="Arial" w:hAnsi="Arial"/>
                <w:b w:val="0"/>
                <w:sz w:val="20"/>
                <w:szCs w:val="20"/>
              </w:rPr>
              <w:t xml:space="preserve"> to the existing and latest sources of information</w:t>
            </w:r>
            <w:r w:rsidRPr="0048135A">
              <w:rPr>
                <w:rFonts w:ascii="Arial" w:hAnsi="Arial"/>
                <w:b w:val="0"/>
                <w:bCs/>
                <w:iCs/>
                <w:sz w:val="20"/>
                <w:szCs w:val="20"/>
              </w:rPr>
              <w:t xml:space="preserve"> available, particularly (but not limited to) </w:t>
            </w:r>
            <w:r w:rsidR="001D2922" w:rsidRPr="0048135A">
              <w:rPr>
                <w:rFonts w:ascii="Arial" w:hAnsi="Arial"/>
                <w:b w:val="0"/>
                <w:bCs/>
                <w:iCs/>
                <w:sz w:val="20"/>
                <w:szCs w:val="20"/>
              </w:rPr>
              <w:t>n</w:t>
            </w:r>
            <w:r w:rsidRPr="0048135A">
              <w:rPr>
                <w:rFonts w:ascii="Arial" w:hAnsi="Arial"/>
                <w:b w:val="0"/>
                <w:bCs/>
                <w:iCs/>
                <w:sz w:val="20"/>
                <w:szCs w:val="20"/>
              </w:rPr>
              <w:t xml:space="preserve">ational </w:t>
            </w:r>
            <w:r w:rsidR="001D2922" w:rsidRPr="0048135A">
              <w:rPr>
                <w:rFonts w:ascii="Arial" w:hAnsi="Arial"/>
                <w:b w:val="0"/>
                <w:bCs/>
                <w:iCs/>
                <w:sz w:val="20"/>
                <w:szCs w:val="20"/>
              </w:rPr>
              <w:t>h</w:t>
            </w:r>
            <w:r w:rsidRPr="0048135A">
              <w:rPr>
                <w:rFonts w:ascii="Arial" w:hAnsi="Arial"/>
                <w:b w:val="0"/>
                <w:bCs/>
                <w:iCs/>
                <w:sz w:val="20"/>
                <w:szCs w:val="20"/>
              </w:rPr>
              <w:t xml:space="preserve">ealth </w:t>
            </w:r>
            <w:r w:rsidR="001D2922" w:rsidRPr="0048135A">
              <w:rPr>
                <w:rFonts w:ascii="Arial" w:hAnsi="Arial"/>
                <w:b w:val="0"/>
                <w:bCs/>
                <w:iCs/>
                <w:sz w:val="20"/>
                <w:szCs w:val="20"/>
              </w:rPr>
              <w:t>p</w:t>
            </w:r>
            <w:r w:rsidRPr="0048135A">
              <w:rPr>
                <w:rFonts w:ascii="Arial" w:hAnsi="Arial"/>
                <w:b w:val="0"/>
                <w:bCs/>
                <w:iCs/>
                <w:sz w:val="20"/>
                <w:szCs w:val="20"/>
              </w:rPr>
              <w:t>lans and</w:t>
            </w:r>
            <w:r w:rsidR="001D2922" w:rsidRPr="0048135A">
              <w:rPr>
                <w:rFonts w:ascii="Arial" w:hAnsi="Arial"/>
                <w:b w:val="0"/>
                <w:bCs/>
                <w:iCs/>
                <w:sz w:val="20"/>
                <w:szCs w:val="20"/>
              </w:rPr>
              <w:t xml:space="preserve"> other</w:t>
            </w:r>
            <w:r w:rsidRPr="0048135A">
              <w:rPr>
                <w:rFonts w:ascii="Arial" w:hAnsi="Arial"/>
                <w:b w:val="0"/>
                <w:bCs/>
                <w:iCs/>
                <w:sz w:val="20"/>
                <w:szCs w:val="20"/>
              </w:rPr>
              <w:t xml:space="preserve"> </w:t>
            </w:r>
            <w:r w:rsidR="001D2922" w:rsidRPr="0048135A">
              <w:rPr>
                <w:rFonts w:ascii="Arial" w:hAnsi="Arial"/>
                <w:b w:val="0"/>
                <w:bCs/>
                <w:iCs/>
                <w:sz w:val="20"/>
                <w:szCs w:val="20"/>
              </w:rPr>
              <w:t>n</w:t>
            </w:r>
            <w:r w:rsidRPr="0048135A">
              <w:rPr>
                <w:rFonts w:ascii="Arial" w:hAnsi="Arial"/>
                <w:b w:val="0"/>
                <w:bCs/>
                <w:iCs/>
                <w:sz w:val="20"/>
                <w:szCs w:val="20"/>
              </w:rPr>
              <w:t xml:space="preserve">ational </w:t>
            </w:r>
            <w:r w:rsidR="001D2922" w:rsidRPr="0048135A">
              <w:rPr>
                <w:rFonts w:ascii="Arial" w:hAnsi="Arial"/>
                <w:b w:val="0"/>
                <w:bCs/>
                <w:iCs/>
                <w:sz w:val="20"/>
                <w:szCs w:val="20"/>
              </w:rPr>
              <w:t>s</w:t>
            </w:r>
            <w:r w:rsidRPr="0048135A">
              <w:rPr>
                <w:rFonts w:ascii="Arial" w:hAnsi="Arial"/>
                <w:b w:val="0"/>
                <w:bCs/>
                <w:iCs/>
                <w:sz w:val="20"/>
                <w:szCs w:val="20"/>
              </w:rPr>
              <w:t>trategy documents. This information is critical for justifying the choice of interventions under the funding request.</w:t>
            </w:r>
          </w:p>
          <w:p w14:paraId="46B3FD76" w14:textId="73305203" w:rsidR="001A43EA" w:rsidRPr="0048135A" w:rsidRDefault="001A43EA" w:rsidP="003420E4">
            <w:pPr>
              <w:keepNext/>
              <w:keepLines/>
              <w:spacing w:before="120" w:after="120" w:line="240" w:lineRule="auto"/>
              <w:jc w:val="both"/>
              <w:rPr>
                <w:rFonts w:ascii="Arial" w:hAnsi="Arial"/>
                <w:b w:val="0"/>
                <w:bCs/>
                <w:iCs/>
                <w:sz w:val="20"/>
                <w:szCs w:val="20"/>
                <w:highlight w:val="yellow"/>
              </w:rPr>
            </w:pPr>
            <w:r w:rsidRPr="0048135A">
              <w:rPr>
                <w:rFonts w:ascii="Arial" w:hAnsi="Arial"/>
                <w:b w:val="0"/>
                <w:bCs/>
                <w:iCs/>
                <w:sz w:val="20"/>
                <w:szCs w:val="20"/>
              </w:rPr>
              <w:t xml:space="preserve">To respond, refer to additional guidance provided in the </w:t>
            </w:r>
            <w:r w:rsidRPr="0048135A">
              <w:rPr>
                <w:rFonts w:ascii="Arial" w:hAnsi="Arial"/>
                <w:b w:val="0"/>
                <w:bCs/>
                <w:i/>
                <w:iCs/>
                <w:sz w:val="20"/>
                <w:szCs w:val="20"/>
              </w:rPr>
              <w:t>Instructions</w:t>
            </w:r>
            <w:r w:rsidR="003420E4">
              <w:rPr>
                <w:rFonts w:ascii="Arial" w:hAnsi="Arial"/>
                <w:b w:val="0"/>
                <w:bCs/>
                <w:i/>
                <w:iCs/>
                <w:sz w:val="20"/>
                <w:szCs w:val="20"/>
              </w:rPr>
              <w:t>.</w:t>
            </w:r>
          </w:p>
        </w:tc>
      </w:tr>
    </w:tbl>
    <w:p w14:paraId="0F396240" w14:textId="6CD60CCD" w:rsidR="00B604D8" w:rsidRDefault="00B604D8" w:rsidP="007A6448">
      <w:pPr>
        <w:spacing w:line="240" w:lineRule="auto"/>
        <w:ind w:left="-142"/>
        <w:jc w:val="both"/>
        <w:rPr>
          <w:rFonts w:ascii="Arial" w:eastAsia="SimSun" w:hAnsi="Arial"/>
          <w:sz w:val="8"/>
          <w:szCs w:val="8"/>
          <w:lang w:eastAsia="zh-CN"/>
        </w:rPr>
      </w:pPr>
    </w:p>
    <w:p w14:paraId="6AB5F4E7" w14:textId="77777777" w:rsidR="007D0F2F" w:rsidRPr="00585E4F" w:rsidRDefault="007D0F2F" w:rsidP="007A6448">
      <w:pPr>
        <w:spacing w:line="240" w:lineRule="auto"/>
        <w:ind w:left="-142"/>
        <w:jc w:val="both"/>
        <w:rPr>
          <w:rFonts w:ascii="Arial" w:eastAsia="SimSun" w:hAnsi="Arial"/>
          <w:sz w:val="8"/>
          <w:szCs w:val="8"/>
          <w:lang w:eastAsia="zh-CN"/>
        </w:rPr>
      </w:pPr>
    </w:p>
    <w:tbl>
      <w:tblP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8217"/>
        <w:gridCol w:w="850"/>
      </w:tblGrid>
      <w:tr w:rsidR="00A056B1" w:rsidRPr="0048135A" w14:paraId="21B660AB" w14:textId="77777777" w:rsidTr="00833796">
        <w:trPr>
          <w:trHeight w:val="274"/>
        </w:trPr>
        <w:tc>
          <w:tcPr>
            <w:tcW w:w="9067" w:type="dxa"/>
            <w:gridSpan w:val="2"/>
            <w:shd w:val="clear" w:color="auto" w:fill="C6D9F1" w:themeFill="text2" w:themeFillTint="33"/>
          </w:tcPr>
          <w:p w14:paraId="3E035A92" w14:textId="0A98487B" w:rsidR="00A056B1" w:rsidRPr="0048135A" w:rsidRDefault="00A056B1" w:rsidP="007A2AB8">
            <w:pPr>
              <w:spacing w:before="120" w:after="120" w:line="240" w:lineRule="auto"/>
              <w:jc w:val="both"/>
              <w:rPr>
                <w:rFonts w:ascii="Arial" w:hAnsi="Arial"/>
                <w:sz w:val="20"/>
                <w:szCs w:val="20"/>
              </w:rPr>
            </w:pPr>
            <w:r w:rsidRPr="0048135A">
              <w:rPr>
                <w:rFonts w:ascii="Arial" w:hAnsi="Arial"/>
                <w:bCs/>
                <w:sz w:val="20"/>
                <w:szCs w:val="20"/>
              </w:rPr>
              <w:t>1.1 Background</w:t>
            </w:r>
            <w:r w:rsidR="000D3914" w:rsidRPr="0048135A">
              <w:rPr>
                <w:rFonts w:ascii="Arial" w:hAnsi="Arial"/>
                <w:bCs/>
                <w:sz w:val="20"/>
                <w:szCs w:val="20"/>
              </w:rPr>
              <w:t>:</w:t>
            </w:r>
            <w:r w:rsidRPr="0048135A">
              <w:rPr>
                <w:rFonts w:ascii="Arial" w:hAnsi="Arial"/>
                <w:bCs/>
                <w:sz w:val="20"/>
                <w:szCs w:val="20"/>
              </w:rPr>
              <w:t xml:space="preserve"> </w:t>
            </w:r>
            <w:r w:rsidR="007A2AB8" w:rsidRPr="0048135A">
              <w:rPr>
                <w:rFonts w:ascii="Arial" w:hAnsi="Arial"/>
                <w:bCs/>
                <w:sz w:val="20"/>
                <w:szCs w:val="20"/>
              </w:rPr>
              <w:t>Material Change triggers</w:t>
            </w:r>
          </w:p>
        </w:tc>
      </w:tr>
      <w:tr w:rsidR="00A056B1" w:rsidRPr="0048135A" w14:paraId="33A91318" w14:textId="77777777" w:rsidTr="00833796">
        <w:trPr>
          <w:trHeight w:val="274"/>
        </w:trPr>
        <w:tc>
          <w:tcPr>
            <w:tcW w:w="9067" w:type="dxa"/>
            <w:gridSpan w:val="2"/>
            <w:shd w:val="clear" w:color="auto" w:fill="F2F2F2"/>
          </w:tcPr>
          <w:p w14:paraId="5BEE56CC" w14:textId="0F214FEF" w:rsidR="001D6A63" w:rsidRPr="0048135A" w:rsidRDefault="001D6A63" w:rsidP="00AD1A5E">
            <w:pPr>
              <w:spacing w:before="120" w:after="120" w:line="240" w:lineRule="auto"/>
              <w:jc w:val="both"/>
              <w:rPr>
                <w:rFonts w:ascii="Arial" w:hAnsi="Arial"/>
                <w:b w:val="0"/>
                <w:bCs/>
                <w:sz w:val="20"/>
                <w:szCs w:val="20"/>
              </w:rPr>
            </w:pPr>
            <w:r w:rsidRPr="0048135A">
              <w:rPr>
                <w:rFonts w:ascii="Arial" w:hAnsi="Arial"/>
                <w:b w:val="0"/>
                <w:bCs/>
                <w:sz w:val="20"/>
                <w:szCs w:val="20"/>
              </w:rPr>
              <w:t xml:space="preserve">Indicate below the area(s) of change that most accurately describes the need for revising the programming of certain areas. </w:t>
            </w:r>
          </w:p>
          <w:p w14:paraId="667BBA5B" w14:textId="161DDDE7" w:rsidR="00A056B1" w:rsidRPr="0048135A" w:rsidRDefault="00A056B1" w:rsidP="003420E4">
            <w:pPr>
              <w:spacing w:before="120" w:after="120" w:line="240" w:lineRule="auto"/>
              <w:jc w:val="both"/>
              <w:rPr>
                <w:rFonts w:ascii="Arial" w:hAnsi="Arial"/>
                <w:b w:val="0"/>
                <w:bCs/>
                <w:sz w:val="20"/>
                <w:szCs w:val="20"/>
              </w:rPr>
            </w:pPr>
            <w:r w:rsidRPr="0048135A">
              <w:rPr>
                <w:rFonts w:ascii="Arial" w:hAnsi="Arial"/>
                <w:b w:val="0"/>
                <w:bCs/>
                <w:sz w:val="20"/>
                <w:szCs w:val="20"/>
              </w:rPr>
              <w:t xml:space="preserve">Refer to the </w:t>
            </w:r>
            <w:r w:rsidRPr="0048135A">
              <w:rPr>
                <w:rFonts w:ascii="Arial" w:hAnsi="Arial"/>
                <w:b w:val="0"/>
                <w:bCs/>
                <w:i/>
                <w:sz w:val="20"/>
                <w:szCs w:val="20"/>
              </w:rPr>
              <w:t>Instructions</w:t>
            </w:r>
            <w:r w:rsidR="003420E4">
              <w:rPr>
                <w:rFonts w:ascii="Arial" w:hAnsi="Arial"/>
                <w:b w:val="0"/>
                <w:bCs/>
                <w:i/>
                <w:sz w:val="20"/>
                <w:szCs w:val="20"/>
              </w:rPr>
              <w:t xml:space="preserve"> </w:t>
            </w:r>
            <w:r w:rsidRPr="0048135A">
              <w:rPr>
                <w:rFonts w:ascii="Arial" w:hAnsi="Arial"/>
                <w:b w:val="0"/>
                <w:bCs/>
                <w:sz w:val="20"/>
                <w:szCs w:val="20"/>
              </w:rPr>
              <w:t xml:space="preserve">and the </w:t>
            </w:r>
            <w:hyperlink r:id="rId16" w:history="1">
              <w:r w:rsidRPr="003420E4">
                <w:rPr>
                  <w:rStyle w:val="Hyperlink"/>
                  <w:rFonts w:ascii="Arial" w:hAnsi="Arial" w:cs="Arial"/>
                  <w:b w:val="0"/>
                  <w:bCs/>
                  <w:i/>
                  <w:sz w:val="20"/>
                  <w:szCs w:val="20"/>
                </w:rPr>
                <w:t>Operational Policy Note on Access to Funding and Grant-making</w:t>
              </w:r>
            </w:hyperlink>
            <w:r w:rsidR="003420E4">
              <w:rPr>
                <w:rFonts w:ascii="Arial" w:hAnsi="Arial"/>
                <w:b w:val="0"/>
                <w:bCs/>
                <w:i/>
                <w:sz w:val="20"/>
                <w:szCs w:val="20"/>
              </w:rPr>
              <w:t xml:space="preserve"> </w:t>
            </w:r>
            <w:r w:rsidR="003420E4">
              <w:rPr>
                <w:rFonts w:ascii="Arial" w:hAnsi="Arial"/>
                <w:b w:val="0"/>
                <w:bCs/>
                <w:sz w:val="20"/>
                <w:szCs w:val="20"/>
              </w:rPr>
              <w:t>(</w:t>
            </w:r>
            <w:r w:rsidR="003420E4">
              <w:rPr>
                <w:rFonts w:ascii="Arial" w:hAnsi="Arial"/>
                <w:b w:val="0"/>
                <w:bCs/>
                <w:i/>
                <w:sz w:val="20"/>
                <w:szCs w:val="20"/>
              </w:rPr>
              <w:t>forthcoming</w:t>
            </w:r>
            <w:r w:rsidR="003420E4">
              <w:rPr>
                <w:rFonts w:ascii="Arial" w:hAnsi="Arial"/>
                <w:b w:val="0"/>
                <w:bCs/>
                <w:sz w:val="20"/>
                <w:szCs w:val="20"/>
              </w:rPr>
              <w:t>)</w:t>
            </w:r>
            <w:r w:rsidR="00AD1A5E" w:rsidRPr="0048135A">
              <w:rPr>
                <w:rFonts w:ascii="Arial" w:hAnsi="Arial"/>
                <w:b w:val="0"/>
                <w:bCs/>
                <w:i/>
                <w:sz w:val="20"/>
                <w:szCs w:val="20"/>
              </w:rPr>
              <w:t xml:space="preserve"> </w:t>
            </w:r>
            <w:r w:rsidRPr="0048135A">
              <w:rPr>
                <w:rFonts w:ascii="Arial" w:hAnsi="Arial"/>
                <w:b w:val="0"/>
                <w:bCs/>
                <w:sz w:val="20"/>
                <w:szCs w:val="20"/>
              </w:rPr>
              <w:t>for material c</w:t>
            </w:r>
            <w:r w:rsidR="009877B2" w:rsidRPr="0048135A">
              <w:rPr>
                <w:rFonts w:ascii="Arial" w:hAnsi="Arial"/>
                <w:b w:val="0"/>
                <w:bCs/>
                <w:sz w:val="20"/>
                <w:szCs w:val="20"/>
              </w:rPr>
              <w:t xml:space="preserve">hange definition and triggers. </w:t>
            </w:r>
          </w:p>
        </w:tc>
      </w:tr>
      <w:tr w:rsidR="00CE5204" w:rsidRPr="0048135A" w14:paraId="4FD6F3F7" w14:textId="77777777" w:rsidTr="00833796">
        <w:tblPrEx>
          <w:tblCellMar>
            <w:left w:w="10" w:type="dxa"/>
            <w:right w:w="10" w:type="dxa"/>
          </w:tblCellMar>
          <w:tblLook w:val="04A0" w:firstRow="1" w:lastRow="0" w:firstColumn="1" w:lastColumn="0" w:noHBand="0" w:noVBand="1"/>
        </w:tblPrEx>
        <w:trPr>
          <w:trHeight w:val="349"/>
        </w:trPr>
        <w:tc>
          <w:tcPr>
            <w:tcW w:w="9067" w:type="dxa"/>
            <w:gridSpan w:val="2"/>
            <w:shd w:val="clear" w:color="auto" w:fill="BFBFBF"/>
            <w:tcMar>
              <w:top w:w="0" w:type="dxa"/>
              <w:left w:w="108" w:type="dxa"/>
              <w:bottom w:w="0" w:type="dxa"/>
              <w:right w:w="108" w:type="dxa"/>
            </w:tcMar>
            <w:vAlign w:val="center"/>
            <w:hideMark/>
          </w:tcPr>
          <w:p w14:paraId="53D28F79" w14:textId="31D76BDE" w:rsidR="00CE5204" w:rsidRPr="00833796" w:rsidRDefault="00CE5204" w:rsidP="0061696C">
            <w:pPr>
              <w:pStyle w:val="ListParagraph"/>
              <w:numPr>
                <w:ilvl w:val="0"/>
                <w:numId w:val="9"/>
              </w:numPr>
              <w:spacing w:after="0" w:line="380" w:lineRule="exact"/>
              <w:ind w:left="313" w:hanging="313"/>
              <w:rPr>
                <w:rFonts w:ascii="Arial" w:eastAsia="MS Mincho" w:hAnsi="Arial"/>
                <w:color w:val="000000"/>
                <w:kern w:val="24"/>
                <w:sz w:val="20"/>
                <w:szCs w:val="20"/>
              </w:rPr>
            </w:pPr>
            <w:r w:rsidRPr="00833796">
              <w:rPr>
                <w:rFonts w:ascii="Arial" w:eastAsia="MS Mincho" w:hAnsi="Arial"/>
                <w:color w:val="000000"/>
                <w:kern w:val="24"/>
                <w:sz w:val="20"/>
                <w:szCs w:val="20"/>
              </w:rPr>
              <w:t>Epidemiological contextual updates</w:t>
            </w:r>
          </w:p>
        </w:tc>
      </w:tr>
      <w:tr w:rsidR="00CE5204" w:rsidRPr="0048135A" w14:paraId="71BB63B4" w14:textId="77777777" w:rsidTr="009413DD">
        <w:tblPrEx>
          <w:tblCellMar>
            <w:left w:w="10" w:type="dxa"/>
            <w:right w:w="10" w:type="dxa"/>
          </w:tblCellMar>
          <w:tblLook w:val="04A0" w:firstRow="1" w:lastRow="0" w:firstColumn="1" w:lastColumn="0" w:noHBand="0" w:noVBand="1"/>
        </w:tblPrEx>
        <w:trPr>
          <w:trHeight w:val="1086"/>
        </w:trPr>
        <w:tc>
          <w:tcPr>
            <w:tcW w:w="8217" w:type="dxa"/>
            <w:tcBorders>
              <w:right w:val="single" w:sz="4" w:space="0" w:color="808080" w:themeColor="background1" w:themeShade="80"/>
            </w:tcBorders>
            <w:shd w:val="clear" w:color="auto" w:fill="F2F2F2" w:themeFill="background1" w:themeFillShade="F2"/>
            <w:tcMar>
              <w:top w:w="0" w:type="dxa"/>
              <w:left w:w="108" w:type="dxa"/>
              <w:bottom w:w="0" w:type="dxa"/>
              <w:right w:w="108" w:type="dxa"/>
            </w:tcMar>
            <w:vAlign w:val="center"/>
            <w:hideMark/>
          </w:tcPr>
          <w:p w14:paraId="045A30DD" w14:textId="0487DD99" w:rsidR="00CE5204" w:rsidRPr="00833796" w:rsidRDefault="00CE5204" w:rsidP="00035B0F">
            <w:pPr>
              <w:spacing w:after="160" w:line="259" w:lineRule="auto"/>
              <w:jc w:val="both"/>
              <w:rPr>
                <w:rFonts w:ascii="Arial" w:eastAsia="Cambria" w:hAnsi="Arial"/>
                <w:b w:val="0"/>
                <w:sz w:val="20"/>
                <w:szCs w:val="20"/>
              </w:rPr>
            </w:pPr>
            <w:proofErr w:type="gramStart"/>
            <w:r w:rsidRPr="00833796">
              <w:rPr>
                <w:rFonts w:ascii="Arial" w:eastAsia="Cambria" w:hAnsi="Arial"/>
                <w:b w:val="0"/>
                <w:sz w:val="20"/>
                <w:szCs w:val="20"/>
              </w:rPr>
              <w:t xml:space="preserve">Are there any relevant changes in the country’s epidemiological context as compared to the previous funding request (e.g. important changes in trends in incidence/notification rates or prevalence, key drivers </w:t>
            </w:r>
            <w:r w:rsidR="006F4BCB">
              <w:rPr>
                <w:rFonts w:ascii="Arial" w:eastAsia="Cambria" w:hAnsi="Arial"/>
                <w:b w:val="0"/>
                <w:sz w:val="20"/>
                <w:szCs w:val="20"/>
              </w:rPr>
              <w:t xml:space="preserve">of the epidemics, emerging high </w:t>
            </w:r>
            <w:r w:rsidRPr="00833796">
              <w:rPr>
                <w:rFonts w:ascii="Arial" w:eastAsia="Cambria" w:hAnsi="Arial"/>
                <w:b w:val="0"/>
                <w:sz w:val="20"/>
                <w:szCs w:val="20"/>
              </w:rPr>
              <w:t xml:space="preserve">risk behaviors, drug/insecticide resistance, or coverage of interventions in the general population or specific key populations based on the latest </w:t>
            </w:r>
            <w:r w:rsidR="006F4BCB">
              <w:rPr>
                <w:rFonts w:ascii="Arial" w:eastAsia="Cambria" w:hAnsi="Arial"/>
                <w:b w:val="0"/>
                <w:sz w:val="20"/>
                <w:szCs w:val="20"/>
              </w:rPr>
              <w:t>surveys or other data sources)?</w:t>
            </w:r>
            <w:proofErr w:type="gramEnd"/>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113181" w14:textId="2BD7A719" w:rsidR="00CE5204" w:rsidRPr="00833796" w:rsidRDefault="00D26022" w:rsidP="00CE5204">
            <w:pPr>
              <w:spacing w:after="160" w:line="259" w:lineRule="auto"/>
              <w:ind w:left="131"/>
              <w:rPr>
                <w:rFonts w:ascii="Arial" w:eastAsia="Cambria" w:hAnsi="Arial"/>
                <w:b w:val="0"/>
                <w:bCs/>
                <w:iCs/>
                <w:sz w:val="20"/>
                <w:szCs w:val="20"/>
              </w:rPr>
            </w:pPr>
            <w:sdt>
              <w:sdtPr>
                <w:rPr>
                  <w:rFonts w:ascii="Arial" w:eastAsia="Cambria" w:hAnsi="Arial"/>
                  <w:sz w:val="20"/>
                  <w:szCs w:val="20"/>
                </w:rPr>
                <w:id w:val="-84534639"/>
                <w14:checkbox>
                  <w14:checked w14:val="0"/>
                  <w14:checkedState w14:val="2612" w14:font="MS Gothic"/>
                  <w14:uncheckedState w14:val="2610" w14:font="MS Gothic"/>
                </w14:checkbox>
              </w:sdtPr>
              <w:sdtEndPr/>
              <w:sdtContent>
                <w:r w:rsidR="000D4A2D">
                  <w:rPr>
                    <w:rFonts w:ascii="MS Gothic" w:eastAsia="MS Gothic" w:hAnsi="MS Gothic" w:hint="eastAsia"/>
                    <w:sz w:val="20"/>
                    <w:szCs w:val="20"/>
                  </w:rPr>
                  <w:t>☐</w:t>
                </w:r>
              </w:sdtContent>
            </w:sdt>
            <w:r w:rsidR="00CE5204" w:rsidRPr="00833796">
              <w:rPr>
                <w:rFonts w:ascii="Arial" w:eastAsia="Cambria" w:hAnsi="Arial"/>
                <w:bCs/>
                <w:iCs/>
                <w:sz w:val="20"/>
                <w:szCs w:val="20"/>
              </w:rPr>
              <w:t xml:space="preserve"> </w:t>
            </w:r>
            <w:r w:rsidR="00CE5204" w:rsidRPr="00833796">
              <w:rPr>
                <w:rFonts w:ascii="Arial" w:eastAsia="Cambria" w:hAnsi="Arial"/>
                <w:b w:val="0"/>
                <w:bCs/>
                <w:iCs/>
                <w:sz w:val="20"/>
                <w:szCs w:val="20"/>
              </w:rPr>
              <w:t>Yes</w:t>
            </w:r>
          </w:p>
          <w:p w14:paraId="15A4E394" w14:textId="6433126C" w:rsidR="00CE5204" w:rsidRPr="0081038E" w:rsidRDefault="00D26022" w:rsidP="00CE5204">
            <w:pPr>
              <w:spacing w:after="160" w:line="259" w:lineRule="auto"/>
              <w:ind w:left="131"/>
              <w:rPr>
                <w:rFonts w:ascii="Arial" w:eastAsia="Cambria" w:hAnsi="Arial"/>
                <w:sz w:val="20"/>
                <w:szCs w:val="20"/>
              </w:rPr>
            </w:pPr>
            <w:sdt>
              <w:sdtPr>
                <w:rPr>
                  <w:rFonts w:ascii="Arial" w:eastAsia="Cambria" w:hAnsi="Arial"/>
                  <w:bCs/>
                  <w:iCs/>
                  <w:sz w:val="20"/>
                  <w:szCs w:val="20"/>
                </w:rPr>
                <w:id w:val="-2110570722"/>
                <w14:checkbox>
                  <w14:checked w14:val="1"/>
                  <w14:checkedState w14:val="2612" w14:font="MS Gothic"/>
                  <w14:uncheckedState w14:val="2610" w14:font="MS Gothic"/>
                </w14:checkbox>
              </w:sdtPr>
              <w:sdtEndPr/>
              <w:sdtContent>
                <w:r w:rsidR="0081038E" w:rsidRPr="0081038E">
                  <w:rPr>
                    <w:rFonts w:ascii="MS Gothic" w:eastAsia="MS Gothic" w:hAnsi="MS Gothic" w:hint="eastAsia"/>
                    <w:bCs/>
                    <w:iCs/>
                    <w:sz w:val="20"/>
                    <w:szCs w:val="20"/>
                  </w:rPr>
                  <w:t>☒</w:t>
                </w:r>
              </w:sdtContent>
            </w:sdt>
            <w:r w:rsidR="00CE5204" w:rsidRPr="0081038E">
              <w:rPr>
                <w:rFonts w:ascii="Arial" w:eastAsia="Cambria" w:hAnsi="Arial"/>
                <w:bCs/>
                <w:iCs/>
                <w:sz w:val="20"/>
                <w:szCs w:val="20"/>
              </w:rPr>
              <w:t xml:space="preserve"> No</w:t>
            </w:r>
          </w:p>
        </w:tc>
      </w:tr>
      <w:tr w:rsidR="00CE5204" w:rsidRPr="0048135A" w14:paraId="6669E4E6" w14:textId="77777777" w:rsidTr="00833796">
        <w:tblPrEx>
          <w:tblCellMar>
            <w:left w:w="10" w:type="dxa"/>
            <w:right w:w="10" w:type="dxa"/>
          </w:tblCellMar>
          <w:tblLook w:val="04A0" w:firstRow="1" w:lastRow="0" w:firstColumn="1" w:lastColumn="0" w:noHBand="0" w:noVBand="1"/>
        </w:tblPrEx>
        <w:trPr>
          <w:trHeight w:val="455"/>
        </w:trPr>
        <w:tc>
          <w:tcPr>
            <w:tcW w:w="9067" w:type="dxa"/>
            <w:gridSpan w:val="2"/>
            <w:shd w:val="clear" w:color="auto" w:fill="BFBFBF" w:themeFill="background1" w:themeFillShade="BF"/>
            <w:tcMar>
              <w:top w:w="0" w:type="dxa"/>
              <w:left w:w="108" w:type="dxa"/>
              <w:bottom w:w="0" w:type="dxa"/>
              <w:right w:w="108" w:type="dxa"/>
            </w:tcMar>
            <w:vAlign w:val="center"/>
            <w:hideMark/>
          </w:tcPr>
          <w:p w14:paraId="3CECE069" w14:textId="77777777" w:rsidR="00CE5204" w:rsidRPr="00833796" w:rsidRDefault="00CE5204" w:rsidP="0061696C">
            <w:pPr>
              <w:numPr>
                <w:ilvl w:val="0"/>
                <w:numId w:val="9"/>
              </w:numPr>
              <w:spacing w:after="0" w:line="380" w:lineRule="exact"/>
              <w:ind w:left="313" w:hanging="313"/>
              <w:contextualSpacing/>
              <w:rPr>
                <w:rFonts w:ascii="Arial" w:eastAsia="MS Mincho" w:hAnsi="Arial"/>
                <w:color w:val="000000"/>
                <w:kern w:val="24"/>
                <w:sz w:val="20"/>
                <w:szCs w:val="20"/>
              </w:rPr>
            </w:pPr>
            <w:r w:rsidRPr="00833796">
              <w:rPr>
                <w:rFonts w:ascii="Arial" w:eastAsia="MS Mincho" w:hAnsi="Arial"/>
                <w:color w:val="000000"/>
                <w:kern w:val="24"/>
                <w:sz w:val="20"/>
                <w:szCs w:val="20"/>
              </w:rPr>
              <w:t>National policies and strategies revisions and updates</w:t>
            </w:r>
          </w:p>
        </w:tc>
      </w:tr>
      <w:tr w:rsidR="009413DD" w:rsidRPr="009413DD" w14:paraId="550EB54D" w14:textId="77777777" w:rsidTr="009413DD">
        <w:tblPrEx>
          <w:tblCellMar>
            <w:left w:w="10" w:type="dxa"/>
            <w:right w:w="10" w:type="dxa"/>
          </w:tblCellMar>
          <w:tblLook w:val="04A0" w:firstRow="1" w:lastRow="0" w:firstColumn="1" w:lastColumn="0" w:noHBand="0" w:noVBand="1"/>
        </w:tblPrEx>
        <w:trPr>
          <w:trHeight w:val="806"/>
        </w:trPr>
        <w:tc>
          <w:tcPr>
            <w:tcW w:w="8217" w:type="dxa"/>
            <w:shd w:val="clear" w:color="auto" w:fill="F2F2F2" w:themeFill="background1" w:themeFillShade="F2"/>
            <w:tcMar>
              <w:top w:w="0" w:type="dxa"/>
              <w:left w:w="108" w:type="dxa"/>
              <w:bottom w:w="0" w:type="dxa"/>
              <w:right w:w="108" w:type="dxa"/>
            </w:tcMar>
            <w:vAlign w:val="center"/>
            <w:hideMark/>
          </w:tcPr>
          <w:p w14:paraId="077F33B5" w14:textId="17587349" w:rsidR="00CE5204" w:rsidRPr="009413DD" w:rsidRDefault="00CE5204" w:rsidP="00833796">
            <w:pPr>
              <w:spacing w:before="120" w:after="120" w:line="240" w:lineRule="auto"/>
              <w:jc w:val="both"/>
              <w:rPr>
                <w:rFonts w:ascii="Arial" w:eastAsia="Cambria" w:hAnsi="Arial"/>
                <w:b w:val="0"/>
                <w:sz w:val="20"/>
                <w:szCs w:val="20"/>
              </w:rPr>
            </w:pPr>
            <w:r w:rsidRPr="009413DD">
              <w:rPr>
                <w:rFonts w:ascii="Arial" w:hAnsi="Arial"/>
                <w:b w:val="0"/>
                <w:bCs/>
                <w:sz w:val="20"/>
                <w:szCs w:val="20"/>
              </w:rPr>
              <w:t>Are there new approaches adopted within the national policy or strategy for the disease program (e.g. Test and Treat guidelines for HIV, short-term regimens for MDR-TB, shift in interventions from Malaria control to pre-elimination, expanded role of the private sector)?</w:t>
            </w:r>
            <w:r w:rsidRPr="009413DD">
              <w:rPr>
                <w:rFonts w:ascii="Arial" w:eastAsia="Cambria" w:hAnsi="Arial"/>
                <w:b w:val="0"/>
                <w:sz w:val="20"/>
                <w:szCs w:val="20"/>
              </w:rPr>
              <w:t xml:space="preserve"> </w:t>
            </w:r>
          </w:p>
        </w:tc>
        <w:tc>
          <w:tcPr>
            <w:tcW w:w="850" w:type="dxa"/>
            <w:shd w:val="clear" w:color="auto" w:fill="auto"/>
            <w:vAlign w:val="center"/>
          </w:tcPr>
          <w:p w14:paraId="35EF6CAA" w14:textId="618BC48D" w:rsidR="00CE5204" w:rsidRPr="009413DD" w:rsidRDefault="00D26022" w:rsidP="00CE5204">
            <w:pPr>
              <w:spacing w:after="160" w:line="259" w:lineRule="auto"/>
              <w:ind w:left="131"/>
              <w:rPr>
                <w:rFonts w:ascii="Arial" w:eastAsia="Cambria" w:hAnsi="Arial"/>
                <w:bCs/>
                <w:iCs/>
                <w:sz w:val="20"/>
                <w:szCs w:val="20"/>
              </w:rPr>
            </w:pPr>
            <w:sdt>
              <w:sdtPr>
                <w:rPr>
                  <w:rFonts w:ascii="Arial" w:eastAsia="Cambria" w:hAnsi="Arial"/>
                  <w:bCs/>
                  <w:iCs/>
                  <w:sz w:val="20"/>
                  <w:szCs w:val="20"/>
                </w:rPr>
                <w:id w:val="-1091240722"/>
                <w14:checkbox>
                  <w14:checked w14:val="1"/>
                  <w14:checkedState w14:val="2612" w14:font="MS Gothic"/>
                  <w14:uncheckedState w14:val="2610" w14:font="MS Gothic"/>
                </w14:checkbox>
              </w:sdtPr>
              <w:sdtEndPr/>
              <w:sdtContent>
                <w:r w:rsidR="009413DD" w:rsidRPr="009413DD">
                  <w:rPr>
                    <w:rFonts w:ascii="MS Gothic" w:eastAsia="MS Gothic" w:hAnsi="MS Gothic" w:hint="eastAsia"/>
                    <w:bCs/>
                    <w:iCs/>
                    <w:sz w:val="20"/>
                    <w:szCs w:val="20"/>
                  </w:rPr>
                  <w:t>☒</w:t>
                </w:r>
              </w:sdtContent>
            </w:sdt>
            <w:r w:rsidR="00CE5204" w:rsidRPr="009413DD">
              <w:rPr>
                <w:rFonts w:ascii="Arial" w:eastAsia="Cambria" w:hAnsi="Arial"/>
                <w:bCs/>
                <w:iCs/>
                <w:sz w:val="20"/>
                <w:szCs w:val="20"/>
              </w:rPr>
              <w:t xml:space="preserve"> Yes</w:t>
            </w:r>
          </w:p>
          <w:p w14:paraId="3D287B4B" w14:textId="58F2F6B4" w:rsidR="00CE5204" w:rsidRPr="009413DD" w:rsidRDefault="00D26022" w:rsidP="00CE5204">
            <w:pPr>
              <w:spacing w:after="160" w:line="259" w:lineRule="auto"/>
              <w:ind w:left="131"/>
              <w:rPr>
                <w:rFonts w:ascii="Arial" w:eastAsia="Cambria" w:hAnsi="Arial"/>
                <w:b w:val="0"/>
                <w:sz w:val="20"/>
                <w:szCs w:val="20"/>
              </w:rPr>
            </w:pPr>
            <w:sdt>
              <w:sdtPr>
                <w:rPr>
                  <w:rFonts w:ascii="Arial" w:eastAsia="Cambria" w:hAnsi="Arial"/>
                  <w:bCs/>
                  <w:iCs/>
                  <w:sz w:val="20"/>
                  <w:szCs w:val="20"/>
                </w:rPr>
                <w:id w:val="-1768452908"/>
                <w14:checkbox>
                  <w14:checked w14:val="0"/>
                  <w14:checkedState w14:val="2612" w14:font="MS Gothic"/>
                  <w14:uncheckedState w14:val="2610" w14:font="MS Gothic"/>
                </w14:checkbox>
              </w:sdtPr>
              <w:sdtEndPr/>
              <w:sdtContent>
                <w:r w:rsidR="009413DD">
                  <w:rPr>
                    <w:rFonts w:ascii="MS Gothic" w:eastAsia="MS Gothic" w:hAnsi="MS Gothic" w:hint="eastAsia"/>
                    <w:bCs/>
                    <w:iCs/>
                    <w:sz w:val="20"/>
                    <w:szCs w:val="20"/>
                  </w:rPr>
                  <w:t>☐</w:t>
                </w:r>
              </w:sdtContent>
            </w:sdt>
            <w:r w:rsidR="00CE5204" w:rsidRPr="009413DD">
              <w:rPr>
                <w:rFonts w:ascii="Arial" w:eastAsia="Cambria" w:hAnsi="Arial"/>
                <w:b w:val="0"/>
                <w:bCs/>
                <w:iCs/>
                <w:sz w:val="20"/>
                <w:szCs w:val="20"/>
              </w:rPr>
              <w:t xml:space="preserve"> No</w:t>
            </w:r>
          </w:p>
        </w:tc>
      </w:tr>
      <w:tr w:rsidR="00CE5204" w:rsidRPr="0048135A" w14:paraId="4179AAA4" w14:textId="77777777" w:rsidTr="00833796">
        <w:tblPrEx>
          <w:tblCellMar>
            <w:left w:w="10" w:type="dxa"/>
            <w:right w:w="10" w:type="dxa"/>
          </w:tblCellMar>
          <w:tblLook w:val="04A0" w:firstRow="1" w:lastRow="0" w:firstColumn="1" w:lastColumn="0" w:noHBand="0" w:noVBand="1"/>
        </w:tblPrEx>
        <w:trPr>
          <w:trHeight w:val="503"/>
        </w:trPr>
        <w:tc>
          <w:tcPr>
            <w:tcW w:w="9067" w:type="dxa"/>
            <w:gridSpan w:val="2"/>
            <w:shd w:val="clear" w:color="auto" w:fill="BFBFBF" w:themeFill="background1" w:themeFillShade="BF"/>
            <w:tcMar>
              <w:top w:w="0" w:type="dxa"/>
              <w:left w:w="108" w:type="dxa"/>
              <w:bottom w:w="0" w:type="dxa"/>
              <w:right w:w="108" w:type="dxa"/>
            </w:tcMar>
            <w:vAlign w:val="center"/>
            <w:hideMark/>
          </w:tcPr>
          <w:p w14:paraId="304E28A2" w14:textId="77777777" w:rsidR="00CE5204" w:rsidRPr="00833796" w:rsidRDefault="00CE5204" w:rsidP="0061696C">
            <w:pPr>
              <w:numPr>
                <w:ilvl w:val="0"/>
                <w:numId w:val="9"/>
              </w:numPr>
              <w:spacing w:after="0" w:line="380" w:lineRule="exact"/>
              <w:ind w:left="313" w:hanging="313"/>
              <w:contextualSpacing/>
              <w:rPr>
                <w:rFonts w:ascii="Arial" w:eastAsia="MS Mincho" w:hAnsi="Arial"/>
                <w:color w:val="000000"/>
                <w:kern w:val="24"/>
                <w:sz w:val="20"/>
                <w:szCs w:val="20"/>
              </w:rPr>
            </w:pPr>
            <w:r w:rsidRPr="00833796">
              <w:rPr>
                <w:rFonts w:ascii="Arial" w:eastAsia="MS Mincho" w:hAnsi="Arial"/>
                <w:color w:val="000000"/>
                <w:kern w:val="24"/>
                <w:sz w:val="20"/>
                <w:szCs w:val="20"/>
              </w:rPr>
              <w:t xml:space="preserve">Investing to maximize impact towards ending the epidemics </w:t>
            </w:r>
          </w:p>
        </w:tc>
      </w:tr>
      <w:tr w:rsidR="00CE5204" w:rsidRPr="0048135A" w14:paraId="34D65254" w14:textId="77777777" w:rsidTr="009413DD">
        <w:tblPrEx>
          <w:tblCellMar>
            <w:left w:w="10" w:type="dxa"/>
            <w:right w:w="10" w:type="dxa"/>
          </w:tblCellMar>
          <w:tblLook w:val="04A0" w:firstRow="1" w:lastRow="0" w:firstColumn="1" w:lastColumn="0" w:noHBand="0" w:noVBand="1"/>
        </w:tblPrEx>
        <w:trPr>
          <w:trHeight w:val="600"/>
        </w:trPr>
        <w:tc>
          <w:tcPr>
            <w:tcW w:w="8217" w:type="dxa"/>
            <w:shd w:val="clear" w:color="auto" w:fill="F2F2F2" w:themeFill="background1" w:themeFillShade="F2"/>
            <w:tcMar>
              <w:top w:w="0" w:type="dxa"/>
              <w:left w:w="108" w:type="dxa"/>
              <w:bottom w:w="0" w:type="dxa"/>
              <w:right w:w="108" w:type="dxa"/>
            </w:tcMar>
            <w:vAlign w:val="center"/>
            <w:hideMark/>
          </w:tcPr>
          <w:p w14:paraId="141A6E02" w14:textId="08E7CB42" w:rsidR="00CE5204" w:rsidRPr="00833796" w:rsidRDefault="00CE5204" w:rsidP="00833796">
            <w:pPr>
              <w:spacing w:before="120" w:after="120" w:line="240" w:lineRule="auto"/>
              <w:jc w:val="both"/>
              <w:rPr>
                <w:rFonts w:ascii="Arial" w:eastAsia="Cambria" w:hAnsi="Arial"/>
                <w:b w:val="0"/>
                <w:sz w:val="20"/>
                <w:szCs w:val="20"/>
              </w:rPr>
            </w:pPr>
            <w:r w:rsidRPr="00833796">
              <w:rPr>
                <w:rFonts w:ascii="Arial" w:hAnsi="Arial"/>
                <w:b w:val="0"/>
                <w:bCs/>
                <w:sz w:val="20"/>
                <w:szCs w:val="20"/>
              </w:rPr>
              <w:t xml:space="preserve">Referring to available evidence and inputs from technical partners and key stakeholders, </w:t>
            </w:r>
            <w:r w:rsidR="006D791A" w:rsidRPr="0048135A">
              <w:rPr>
                <w:rFonts w:ascii="Arial" w:hAnsi="Arial"/>
                <w:b w:val="0"/>
                <w:bCs/>
                <w:sz w:val="20"/>
                <w:szCs w:val="20"/>
              </w:rPr>
              <w:t>does the current program continue to be relevant, and is it progressing and generally on track to achieve results and impact?</w:t>
            </w:r>
          </w:p>
        </w:tc>
        <w:tc>
          <w:tcPr>
            <w:tcW w:w="850" w:type="dxa"/>
            <w:shd w:val="clear" w:color="auto" w:fill="auto"/>
            <w:vAlign w:val="center"/>
          </w:tcPr>
          <w:p w14:paraId="54FAF467" w14:textId="415B5684" w:rsidR="00CE5204" w:rsidRPr="0081038E" w:rsidRDefault="00D26022" w:rsidP="00CE5204">
            <w:pPr>
              <w:spacing w:after="160" w:line="259" w:lineRule="auto"/>
              <w:ind w:left="131"/>
              <w:rPr>
                <w:rFonts w:ascii="Arial" w:eastAsia="Cambria" w:hAnsi="Arial"/>
                <w:bCs/>
                <w:iCs/>
                <w:sz w:val="20"/>
                <w:szCs w:val="20"/>
              </w:rPr>
            </w:pPr>
            <w:sdt>
              <w:sdtPr>
                <w:rPr>
                  <w:rFonts w:ascii="Arial" w:eastAsia="Cambria" w:hAnsi="Arial"/>
                  <w:sz w:val="20"/>
                  <w:szCs w:val="20"/>
                </w:rPr>
                <w:id w:val="2129581459"/>
                <w14:checkbox>
                  <w14:checked w14:val="1"/>
                  <w14:checkedState w14:val="2612" w14:font="MS Gothic"/>
                  <w14:uncheckedState w14:val="2610" w14:font="MS Gothic"/>
                </w14:checkbox>
              </w:sdtPr>
              <w:sdtEndPr/>
              <w:sdtContent>
                <w:r w:rsidR="00C04554" w:rsidRPr="0081038E">
                  <w:rPr>
                    <w:rFonts w:ascii="MS Gothic" w:eastAsia="MS Gothic" w:hAnsi="MS Gothic" w:hint="eastAsia"/>
                    <w:sz w:val="20"/>
                    <w:szCs w:val="20"/>
                  </w:rPr>
                  <w:t>☒</w:t>
                </w:r>
              </w:sdtContent>
            </w:sdt>
            <w:r w:rsidR="00CE5204" w:rsidRPr="0081038E">
              <w:rPr>
                <w:rFonts w:ascii="Arial" w:eastAsia="Cambria" w:hAnsi="Arial"/>
                <w:bCs/>
                <w:iCs/>
                <w:sz w:val="20"/>
                <w:szCs w:val="20"/>
              </w:rPr>
              <w:t xml:space="preserve"> Yes</w:t>
            </w:r>
          </w:p>
          <w:p w14:paraId="3A7EFDAB" w14:textId="77777777" w:rsidR="00CE5204" w:rsidRPr="00833796" w:rsidRDefault="00D26022" w:rsidP="00CE5204">
            <w:pPr>
              <w:spacing w:after="0" w:line="240" w:lineRule="auto"/>
              <w:ind w:left="131"/>
              <w:rPr>
                <w:rFonts w:ascii="Arial" w:eastAsia="Cambria" w:hAnsi="Arial"/>
                <w:b w:val="0"/>
                <w:sz w:val="20"/>
                <w:szCs w:val="20"/>
              </w:rPr>
            </w:pPr>
            <w:sdt>
              <w:sdtPr>
                <w:rPr>
                  <w:rFonts w:ascii="Arial" w:eastAsia="Cambria" w:hAnsi="Arial"/>
                  <w:b w:val="0"/>
                  <w:bCs/>
                  <w:iCs/>
                  <w:sz w:val="20"/>
                  <w:szCs w:val="20"/>
                </w:rPr>
                <w:id w:val="-959418707"/>
                <w14:checkbox>
                  <w14:checked w14:val="0"/>
                  <w14:checkedState w14:val="2612" w14:font="MS Gothic"/>
                  <w14:uncheckedState w14:val="2610" w14:font="MS Gothic"/>
                </w14:checkbox>
              </w:sdtPr>
              <w:sdtEndPr/>
              <w:sdtContent>
                <w:r w:rsidR="00CE5204" w:rsidRPr="0048135A">
                  <w:rPr>
                    <w:rFonts w:ascii="Segoe UI Symbol" w:eastAsia="Cambria" w:hAnsi="Segoe UI Symbol" w:cs="Segoe UI Symbol"/>
                    <w:b w:val="0"/>
                    <w:bCs/>
                    <w:iCs/>
                    <w:sz w:val="20"/>
                    <w:szCs w:val="20"/>
                  </w:rPr>
                  <w:t>☐</w:t>
                </w:r>
              </w:sdtContent>
            </w:sdt>
            <w:r w:rsidR="00CE5204" w:rsidRPr="00833796">
              <w:rPr>
                <w:rFonts w:ascii="Arial" w:eastAsia="Cambria" w:hAnsi="Arial"/>
                <w:b w:val="0"/>
                <w:bCs/>
                <w:iCs/>
                <w:sz w:val="20"/>
                <w:szCs w:val="20"/>
              </w:rPr>
              <w:t xml:space="preserve"> No</w:t>
            </w:r>
          </w:p>
        </w:tc>
      </w:tr>
      <w:tr w:rsidR="00CE5204" w:rsidRPr="0048135A" w14:paraId="1BB20A4C" w14:textId="77777777" w:rsidTr="00833796">
        <w:tblPrEx>
          <w:tblCellMar>
            <w:left w:w="10" w:type="dxa"/>
            <w:right w:w="10" w:type="dxa"/>
          </w:tblCellMar>
          <w:tblLook w:val="04A0" w:firstRow="1" w:lastRow="0" w:firstColumn="1" w:lastColumn="0" w:noHBand="0" w:noVBand="1"/>
        </w:tblPrEx>
        <w:trPr>
          <w:trHeight w:val="400"/>
        </w:trPr>
        <w:tc>
          <w:tcPr>
            <w:tcW w:w="9067" w:type="dxa"/>
            <w:gridSpan w:val="2"/>
            <w:shd w:val="clear" w:color="auto" w:fill="BFBFBF" w:themeFill="background1" w:themeFillShade="BF"/>
            <w:tcMar>
              <w:top w:w="0" w:type="dxa"/>
              <w:left w:w="108" w:type="dxa"/>
              <w:bottom w:w="0" w:type="dxa"/>
              <w:right w:w="108" w:type="dxa"/>
            </w:tcMar>
            <w:vAlign w:val="center"/>
            <w:hideMark/>
          </w:tcPr>
          <w:p w14:paraId="1D2125C0" w14:textId="77777777" w:rsidR="00CE5204" w:rsidRPr="00833796" w:rsidRDefault="00CE5204" w:rsidP="0061696C">
            <w:pPr>
              <w:numPr>
                <w:ilvl w:val="0"/>
                <w:numId w:val="9"/>
              </w:numPr>
              <w:spacing w:after="0" w:line="380" w:lineRule="exact"/>
              <w:ind w:left="313" w:hanging="313"/>
              <w:contextualSpacing/>
              <w:rPr>
                <w:rFonts w:ascii="Arial" w:eastAsia="MS Mincho" w:hAnsi="Arial"/>
                <w:color w:val="000000"/>
                <w:kern w:val="24"/>
                <w:sz w:val="20"/>
                <w:szCs w:val="20"/>
              </w:rPr>
            </w:pPr>
            <w:r w:rsidRPr="00833796">
              <w:rPr>
                <w:rFonts w:ascii="Arial" w:eastAsia="MS Mincho" w:hAnsi="Arial"/>
                <w:color w:val="000000"/>
                <w:kern w:val="24"/>
                <w:sz w:val="20"/>
                <w:szCs w:val="20"/>
              </w:rPr>
              <w:t>Alignment with 2017 – 2022 Global Fund Strategy Objectives 2 and 3</w:t>
            </w:r>
          </w:p>
        </w:tc>
      </w:tr>
      <w:tr w:rsidR="00CE5204" w:rsidRPr="0048135A" w14:paraId="2F714F9E" w14:textId="77777777" w:rsidTr="00833796">
        <w:tblPrEx>
          <w:tblCellMar>
            <w:left w:w="10" w:type="dxa"/>
            <w:right w:w="10" w:type="dxa"/>
          </w:tblCellMar>
          <w:tblLook w:val="04A0" w:firstRow="1" w:lastRow="0" w:firstColumn="1" w:lastColumn="0" w:noHBand="0" w:noVBand="1"/>
        </w:tblPrEx>
        <w:trPr>
          <w:trHeight w:val="400"/>
        </w:trPr>
        <w:tc>
          <w:tcPr>
            <w:tcW w:w="9067" w:type="dxa"/>
            <w:gridSpan w:val="2"/>
            <w:shd w:val="clear" w:color="auto" w:fill="EEECE1"/>
            <w:tcMar>
              <w:top w:w="0" w:type="dxa"/>
              <w:left w:w="108" w:type="dxa"/>
              <w:bottom w:w="0" w:type="dxa"/>
              <w:right w:w="108" w:type="dxa"/>
            </w:tcMar>
            <w:vAlign w:val="center"/>
          </w:tcPr>
          <w:p w14:paraId="1841CD65" w14:textId="77777777" w:rsidR="00CE5204" w:rsidRPr="00833796" w:rsidRDefault="00CE5204" w:rsidP="00CE5204">
            <w:pPr>
              <w:spacing w:after="0" w:line="380" w:lineRule="exact"/>
              <w:rPr>
                <w:rFonts w:ascii="Arial" w:eastAsia="MS Mincho" w:hAnsi="Arial"/>
                <w:color w:val="000000"/>
                <w:kern w:val="24"/>
                <w:sz w:val="20"/>
                <w:szCs w:val="20"/>
              </w:rPr>
            </w:pPr>
            <w:r w:rsidRPr="00833796">
              <w:rPr>
                <w:rFonts w:ascii="Arial" w:eastAsia="MS Mincho" w:hAnsi="Arial"/>
                <w:color w:val="000000"/>
                <w:kern w:val="24"/>
                <w:sz w:val="20"/>
                <w:szCs w:val="20"/>
              </w:rPr>
              <w:t>Objective 2 to Build Resilient and Sustainable Systems for Health</w:t>
            </w:r>
          </w:p>
        </w:tc>
      </w:tr>
      <w:tr w:rsidR="00CE5204" w:rsidRPr="0048135A" w14:paraId="1D554A05" w14:textId="77777777" w:rsidTr="00833796">
        <w:tblPrEx>
          <w:tblCellMar>
            <w:left w:w="10" w:type="dxa"/>
            <w:right w:w="10" w:type="dxa"/>
          </w:tblCellMar>
          <w:tblLook w:val="04A0" w:firstRow="1" w:lastRow="0" w:firstColumn="1" w:lastColumn="0" w:noHBand="0" w:noVBand="1"/>
        </w:tblPrEx>
        <w:trPr>
          <w:trHeight w:val="578"/>
        </w:trPr>
        <w:tc>
          <w:tcPr>
            <w:tcW w:w="8217" w:type="dxa"/>
            <w:shd w:val="clear" w:color="auto" w:fill="F2F2F2" w:themeFill="background1" w:themeFillShade="F2"/>
            <w:tcMar>
              <w:top w:w="0" w:type="dxa"/>
              <w:left w:w="108" w:type="dxa"/>
              <w:bottom w:w="0" w:type="dxa"/>
              <w:right w:w="108" w:type="dxa"/>
            </w:tcMar>
            <w:vAlign w:val="center"/>
            <w:hideMark/>
          </w:tcPr>
          <w:p w14:paraId="29083585" w14:textId="0A23BF65" w:rsidR="00CE5204" w:rsidRPr="00833796" w:rsidRDefault="00BD774C" w:rsidP="00833796">
            <w:pPr>
              <w:spacing w:before="120" w:after="120" w:line="240" w:lineRule="auto"/>
              <w:jc w:val="both"/>
              <w:rPr>
                <w:rFonts w:ascii="Arial" w:eastAsia="Cambria" w:hAnsi="Arial"/>
                <w:b w:val="0"/>
                <w:sz w:val="20"/>
                <w:szCs w:val="20"/>
              </w:rPr>
            </w:pPr>
            <w:proofErr w:type="gramStart"/>
            <w:r w:rsidRPr="0048135A">
              <w:rPr>
                <w:rFonts w:ascii="Arial" w:hAnsi="Arial"/>
                <w:b w:val="0"/>
                <w:bCs/>
                <w:sz w:val="20"/>
                <w:szCs w:val="20"/>
              </w:rPr>
              <w:t>Are</w:t>
            </w:r>
            <w:r w:rsidR="0052482B" w:rsidRPr="00833796">
              <w:rPr>
                <w:rFonts w:ascii="Arial" w:hAnsi="Arial"/>
                <w:b w:val="0"/>
                <w:bCs/>
                <w:sz w:val="20"/>
                <w:szCs w:val="20"/>
              </w:rPr>
              <w:t xml:space="preserve"> </w:t>
            </w:r>
            <w:r w:rsidR="00CE5204" w:rsidRPr="00833796">
              <w:rPr>
                <w:rFonts w:ascii="Arial" w:hAnsi="Arial"/>
                <w:b w:val="0"/>
                <w:bCs/>
                <w:sz w:val="20"/>
                <w:szCs w:val="20"/>
              </w:rPr>
              <w:t xml:space="preserve">changes in </w:t>
            </w:r>
            <w:r w:rsidR="0052482B" w:rsidRPr="00833796">
              <w:rPr>
                <w:rFonts w:ascii="Arial" w:hAnsi="Arial"/>
                <w:b w:val="0"/>
                <w:bCs/>
                <w:sz w:val="20"/>
                <w:szCs w:val="20"/>
              </w:rPr>
              <w:t xml:space="preserve">Resilient and Sustainable Systems for Health (RSSH) </w:t>
            </w:r>
            <w:r w:rsidR="00CE5204" w:rsidRPr="00833796">
              <w:rPr>
                <w:rFonts w:ascii="Arial" w:hAnsi="Arial"/>
                <w:b w:val="0"/>
                <w:bCs/>
                <w:sz w:val="20"/>
                <w:szCs w:val="20"/>
              </w:rPr>
              <w:t>investments needed</w:t>
            </w:r>
            <w:proofErr w:type="gramEnd"/>
            <w:r w:rsidR="0052482B" w:rsidRPr="00833796">
              <w:rPr>
                <w:rFonts w:ascii="Arial" w:hAnsi="Arial"/>
                <w:b w:val="0"/>
                <w:bCs/>
                <w:sz w:val="20"/>
                <w:szCs w:val="20"/>
              </w:rPr>
              <w:t xml:space="preserve"> </w:t>
            </w:r>
            <w:r w:rsidR="00CE5204" w:rsidRPr="00833796">
              <w:rPr>
                <w:rFonts w:ascii="Arial" w:hAnsi="Arial"/>
                <w:b w:val="0"/>
                <w:bCs/>
                <w:sz w:val="20"/>
                <w:szCs w:val="20"/>
              </w:rPr>
              <w:t>in order to maximize Reproductive Maternal Neonatal and Child Health impact</w:t>
            </w:r>
            <w:r w:rsidR="0052482B" w:rsidRPr="00833796">
              <w:rPr>
                <w:rFonts w:ascii="Arial" w:hAnsi="Arial"/>
                <w:b w:val="0"/>
                <w:bCs/>
                <w:sz w:val="20"/>
                <w:szCs w:val="20"/>
              </w:rPr>
              <w:t>, (</w:t>
            </w:r>
            <w:r w:rsidRPr="0048135A">
              <w:rPr>
                <w:rFonts w:ascii="Arial" w:hAnsi="Arial"/>
                <w:b w:val="0"/>
                <w:bCs/>
                <w:sz w:val="20"/>
                <w:szCs w:val="20"/>
              </w:rPr>
              <w:t>RMNCH</w:t>
            </w:r>
            <w:r w:rsidR="0052482B" w:rsidRPr="00833796">
              <w:rPr>
                <w:rFonts w:ascii="Arial" w:hAnsi="Arial"/>
                <w:b w:val="0"/>
                <w:bCs/>
                <w:sz w:val="20"/>
                <w:szCs w:val="20"/>
              </w:rPr>
              <w:t>)</w:t>
            </w:r>
            <w:r w:rsidR="00CE5204" w:rsidRPr="00833796">
              <w:rPr>
                <w:rFonts w:ascii="Arial" w:hAnsi="Arial"/>
                <w:b w:val="0"/>
                <w:bCs/>
                <w:sz w:val="20"/>
                <w:szCs w:val="20"/>
              </w:rPr>
              <w:t xml:space="preserve"> or other</w:t>
            </w:r>
            <w:r w:rsidRPr="0048135A">
              <w:rPr>
                <w:rFonts w:ascii="Arial" w:hAnsi="Arial"/>
                <w:b w:val="0"/>
                <w:bCs/>
                <w:sz w:val="20"/>
                <w:szCs w:val="20"/>
              </w:rPr>
              <w:t xml:space="preserve"> </w:t>
            </w:r>
            <w:r w:rsidR="004A2BF6" w:rsidRPr="0048135A">
              <w:rPr>
                <w:rFonts w:ascii="Arial" w:hAnsi="Arial"/>
                <w:b w:val="0"/>
                <w:bCs/>
                <w:sz w:val="20"/>
                <w:szCs w:val="20"/>
              </w:rPr>
              <w:t>RSSH areas</w:t>
            </w:r>
            <w:r w:rsidR="0052482B" w:rsidRPr="00833796">
              <w:rPr>
                <w:rFonts w:ascii="Arial" w:hAnsi="Arial"/>
                <w:b w:val="0"/>
                <w:bCs/>
                <w:sz w:val="20"/>
                <w:szCs w:val="20"/>
              </w:rPr>
              <w:t>?</w:t>
            </w:r>
          </w:p>
        </w:tc>
        <w:tc>
          <w:tcPr>
            <w:tcW w:w="850" w:type="dxa"/>
            <w:shd w:val="clear" w:color="auto" w:fill="FFFFFF" w:themeFill="background1"/>
            <w:vAlign w:val="center"/>
          </w:tcPr>
          <w:p w14:paraId="3AF9EFFB" w14:textId="5E019794" w:rsidR="00CE5204" w:rsidRPr="00833796" w:rsidRDefault="00D26022" w:rsidP="00CE5204">
            <w:pPr>
              <w:spacing w:after="160" w:line="259" w:lineRule="auto"/>
              <w:ind w:left="131"/>
              <w:rPr>
                <w:rFonts w:ascii="Arial" w:eastAsia="Cambria" w:hAnsi="Arial"/>
                <w:b w:val="0"/>
                <w:bCs/>
                <w:iCs/>
                <w:sz w:val="20"/>
                <w:szCs w:val="20"/>
              </w:rPr>
            </w:pPr>
            <w:sdt>
              <w:sdtPr>
                <w:rPr>
                  <w:rFonts w:ascii="Arial" w:eastAsia="Cambria" w:hAnsi="Arial"/>
                  <w:b w:val="0"/>
                  <w:bCs/>
                  <w:iCs/>
                  <w:sz w:val="20"/>
                  <w:szCs w:val="20"/>
                </w:rPr>
                <w:id w:val="20830109"/>
                <w14:checkbox>
                  <w14:checked w14:val="0"/>
                  <w14:checkedState w14:val="2612" w14:font="MS Gothic"/>
                  <w14:uncheckedState w14:val="2610" w14:font="MS Gothic"/>
                </w14:checkbox>
              </w:sdtPr>
              <w:sdtEndPr/>
              <w:sdtContent>
                <w:r w:rsidR="00CE5204" w:rsidRPr="0048135A">
                  <w:rPr>
                    <w:rFonts w:ascii="Segoe UI Symbol" w:eastAsia="Cambria" w:hAnsi="Segoe UI Symbol" w:cs="Segoe UI Symbol"/>
                    <w:b w:val="0"/>
                    <w:bCs/>
                    <w:iCs/>
                    <w:sz w:val="20"/>
                    <w:szCs w:val="20"/>
                  </w:rPr>
                  <w:t>☐</w:t>
                </w:r>
              </w:sdtContent>
            </w:sdt>
            <w:r w:rsidR="00833796">
              <w:rPr>
                <w:rFonts w:ascii="Arial" w:eastAsia="Cambria" w:hAnsi="Arial"/>
                <w:b w:val="0"/>
                <w:bCs/>
                <w:iCs/>
                <w:sz w:val="20"/>
                <w:szCs w:val="20"/>
              </w:rPr>
              <w:t xml:space="preserve"> </w:t>
            </w:r>
            <w:r w:rsidR="00CE5204" w:rsidRPr="00833796">
              <w:rPr>
                <w:rFonts w:ascii="Arial" w:eastAsia="Cambria" w:hAnsi="Arial"/>
                <w:b w:val="0"/>
                <w:bCs/>
                <w:iCs/>
                <w:sz w:val="20"/>
                <w:szCs w:val="20"/>
              </w:rPr>
              <w:t xml:space="preserve">Yes   </w:t>
            </w:r>
          </w:p>
          <w:p w14:paraId="217840A9" w14:textId="3759BDD5" w:rsidR="00CE5204" w:rsidRPr="0081038E" w:rsidRDefault="00D26022" w:rsidP="00CE5204">
            <w:pPr>
              <w:spacing w:after="160" w:line="259" w:lineRule="auto"/>
              <w:ind w:left="131"/>
              <w:rPr>
                <w:rFonts w:ascii="Arial" w:eastAsia="Cambria" w:hAnsi="Arial"/>
                <w:sz w:val="20"/>
                <w:szCs w:val="20"/>
                <w:lang w:val="en-GB"/>
              </w:rPr>
            </w:pPr>
            <w:sdt>
              <w:sdtPr>
                <w:rPr>
                  <w:rFonts w:ascii="Arial" w:eastAsia="Cambria" w:hAnsi="Arial"/>
                  <w:bCs/>
                  <w:iCs/>
                  <w:sz w:val="20"/>
                  <w:szCs w:val="20"/>
                </w:rPr>
                <w:id w:val="483205629"/>
                <w14:checkbox>
                  <w14:checked w14:val="1"/>
                  <w14:checkedState w14:val="2612" w14:font="MS Gothic"/>
                  <w14:uncheckedState w14:val="2610" w14:font="MS Gothic"/>
                </w14:checkbox>
              </w:sdtPr>
              <w:sdtEndPr/>
              <w:sdtContent>
                <w:r w:rsidR="00C04554" w:rsidRPr="0081038E">
                  <w:rPr>
                    <w:rFonts w:ascii="MS Gothic" w:eastAsia="MS Gothic" w:hAnsi="MS Gothic" w:hint="eastAsia"/>
                    <w:bCs/>
                    <w:iCs/>
                    <w:sz w:val="20"/>
                    <w:szCs w:val="20"/>
                  </w:rPr>
                  <w:t>☒</w:t>
                </w:r>
              </w:sdtContent>
            </w:sdt>
            <w:r w:rsidR="00CE5204" w:rsidRPr="0081038E">
              <w:rPr>
                <w:rFonts w:ascii="Arial" w:eastAsia="Cambria" w:hAnsi="Arial"/>
                <w:bCs/>
                <w:iCs/>
                <w:sz w:val="20"/>
                <w:szCs w:val="20"/>
              </w:rPr>
              <w:t xml:space="preserve"> No</w:t>
            </w:r>
          </w:p>
        </w:tc>
      </w:tr>
      <w:tr w:rsidR="00CE5204" w:rsidRPr="0048135A" w14:paraId="260A3460" w14:textId="77777777" w:rsidTr="00833796">
        <w:tblPrEx>
          <w:tblCellMar>
            <w:left w:w="10" w:type="dxa"/>
            <w:right w:w="10" w:type="dxa"/>
          </w:tblCellMar>
          <w:tblLook w:val="04A0" w:firstRow="1" w:lastRow="0" w:firstColumn="1" w:lastColumn="0" w:noHBand="0" w:noVBand="1"/>
        </w:tblPrEx>
        <w:trPr>
          <w:trHeight w:val="1"/>
        </w:trPr>
        <w:tc>
          <w:tcPr>
            <w:tcW w:w="9067" w:type="dxa"/>
            <w:gridSpan w:val="2"/>
            <w:shd w:val="clear" w:color="auto" w:fill="EEECE1" w:themeFill="background2"/>
            <w:tcMar>
              <w:top w:w="0" w:type="dxa"/>
              <w:left w:w="108" w:type="dxa"/>
              <w:bottom w:w="0" w:type="dxa"/>
              <w:right w:w="108" w:type="dxa"/>
            </w:tcMar>
            <w:vAlign w:val="center"/>
          </w:tcPr>
          <w:p w14:paraId="6C056540" w14:textId="77777777" w:rsidR="00CE5204" w:rsidRPr="00833796" w:rsidRDefault="00CE5204" w:rsidP="00CE5204">
            <w:pPr>
              <w:spacing w:before="120" w:after="120" w:line="259" w:lineRule="auto"/>
              <w:jc w:val="both"/>
              <w:rPr>
                <w:rFonts w:ascii="Arial" w:eastAsia="Cambria" w:hAnsi="Arial"/>
                <w:sz w:val="20"/>
                <w:szCs w:val="20"/>
                <w:lang w:val="en-GB"/>
              </w:rPr>
            </w:pPr>
            <w:r w:rsidRPr="00833796">
              <w:rPr>
                <w:rFonts w:ascii="Arial" w:eastAsia="MS Mincho" w:hAnsi="Arial"/>
                <w:color w:val="000000"/>
                <w:kern w:val="24"/>
                <w:sz w:val="20"/>
                <w:szCs w:val="20"/>
              </w:rPr>
              <w:t>Objective 3 to Promote and Protect Human Rights and Gender Equality</w:t>
            </w:r>
          </w:p>
        </w:tc>
      </w:tr>
      <w:tr w:rsidR="00CE5204" w:rsidRPr="0048135A" w14:paraId="0D50BA75" w14:textId="77777777" w:rsidTr="00833796">
        <w:tblPrEx>
          <w:tblCellMar>
            <w:left w:w="10" w:type="dxa"/>
            <w:right w:w="10" w:type="dxa"/>
          </w:tblCellMar>
          <w:tblLook w:val="04A0" w:firstRow="1" w:lastRow="0" w:firstColumn="1" w:lastColumn="0" w:noHBand="0" w:noVBand="1"/>
        </w:tblPrEx>
        <w:trPr>
          <w:trHeight w:val="274"/>
        </w:trPr>
        <w:tc>
          <w:tcPr>
            <w:tcW w:w="8217" w:type="dxa"/>
            <w:shd w:val="clear" w:color="auto" w:fill="F2F2F2" w:themeFill="background1" w:themeFillShade="F2"/>
            <w:tcMar>
              <w:top w:w="0" w:type="dxa"/>
              <w:left w:w="108" w:type="dxa"/>
              <w:bottom w:w="0" w:type="dxa"/>
              <w:right w:w="108" w:type="dxa"/>
            </w:tcMar>
            <w:vAlign w:val="center"/>
            <w:hideMark/>
          </w:tcPr>
          <w:p w14:paraId="7087FE8B" w14:textId="20653063" w:rsidR="00CE5204" w:rsidRPr="00833796" w:rsidRDefault="00CE5204" w:rsidP="00833796">
            <w:pPr>
              <w:spacing w:before="120" w:after="120" w:line="240" w:lineRule="auto"/>
              <w:jc w:val="both"/>
              <w:rPr>
                <w:rFonts w:ascii="Arial" w:eastAsia="Cambria" w:hAnsi="Arial"/>
                <w:b w:val="0"/>
                <w:sz w:val="20"/>
                <w:szCs w:val="20"/>
              </w:rPr>
            </w:pPr>
            <w:r w:rsidRPr="00833796">
              <w:rPr>
                <w:rFonts w:ascii="Arial" w:hAnsi="Arial"/>
                <w:b w:val="0"/>
                <w:bCs/>
                <w:sz w:val="20"/>
                <w:szCs w:val="20"/>
              </w:rPr>
              <w:t>Is there a need for intensifying efforts to address human rights and gender-related barriers to services and to ensure appropriate focus on interventions that respond to key and vulnerable populations?</w:t>
            </w:r>
            <w:r w:rsidRPr="00833796">
              <w:rPr>
                <w:rFonts w:ascii="Arial" w:eastAsia="Cambria" w:hAnsi="Arial"/>
                <w:b w:val="0"/>
                <w:sz w:val="20"/>
                <w:szCs w:val="20"/>
              </w:rPr>
              <w:t xml:space="preserve"> </w:t>
            </w:r>
          </w:p>
        </w:tc>
        <w:tc>
          <w:tcPr>
            <w:tcW w:w="850" w:type="dxa"/>
            <w:shd w:val="clear" w:color="auto" w:fill="FFFFFF" w:themeFill="background1"/>
            <w:vAlign w:val="center"/>
          </w:tcPr>
          <w:p w14:paraId="2C3D1920" w14:textId="7E20E5C0" w:rsidR="00CE5204" w:rsidRPr="00833796" w:rsidRDefault="00D26022" w:rsidP="00CE5204">
            <w:pPr>
              <w:spacing w:after="160" w:line="259" w:lineRule="auto"/>
              <w:ind w:left="131"/>
              <w:rPr>
                <w:rFonts w:ascii="Arial" w:eastAsia="Cambria" w:hAnsi="Arial"/>
                <w:b w:val="0"/>
                <w:sz w:val="20"/>
                <w:szCs w:val="20"/>
              </w:rPr>
            </w:pPr>
            <w:sdt>
              <w:sdtPr>
                <w:rPr>
                  <w:rFonts w:ascii="Arial" w:eastAsia="Cambria" w:hAnsi="Arial"/>
                  <w:b w:val="0"/>
                  <w:sz w:val="20"/>
                  <w:szCs w:val="20"/>
                </w:rPr>
                <w:id w:val="542097686"/>
                <w14:checkbox>
                  <w14:checked w14:val="0"/>
                  <w14:checkedState w14:val="2612" w14:font="MS Gothic"/>
                  <w14:uncheckedState w14:val="2610" w14:font="MS Gothic"/>
                </w14:checkbox>
              </w:sdtPr>
              <w:sdtEndPr/>
              <w:sdtContent>
                <w:r w:rsidR="00CE5204" w:rsidRPr="0048135A">
                  <w:rPr>
                    <w:rFonts w:ascii="Segoe UI Symbol" w:eastAsia="Cambria" w:hAnsi="Segoe UI Symbol" w:cs="Segoe UI Symbol"/>
                    <w:b w:val="0"/>
                    <w:sz w:val="20"/>
                    <w:szCs w:val="20"/>
                  </w:rPr>
                  <w:t>☐</w:t>
                </w:r>
              </w:sdtContent>
            </w:sdt>
            <w:r w:rsidR="00833796">
              <w:rPr>
                <w:rFonts w:ascii="Arial" w:eastAsia="Cambria" w:hAnsi="Arial"/>
                <w:b w:val="0"/>
                <w:sz w:val="20"/>
                <w:szCs w:val="20"/>
              </w:rPr>
              <w:t xml:space="preserve"> </w:t>
            </w:r>
            <w:r w:rsidR="00CE5204" w:rsidRPr="00833796">
              <w:rPr>
                <w:rFonts w:ascii="Arial" w:eastAsia="Cambria" w:hAnsi="Arial"/>
                <w:b w:val="0"/>
                <w:sz w:val="20"/>
                <w:szCs w:val="20"/>
              </w:rPr>
              <w:t xml:space="preserve">Yes   </w:t>
            </w:r>
          </w:p>
          <w:p w14:paraId="3EF9B991" w14:textId="57A9769F" w:rsidR="00CE5204" w:rsidRPr="0081038E" w:rsidRDefault="00D26022" w:rsidP="00CE5204">
            <w:pPr>
              <w:spacing w:after="160" w:line="259" w:lineRule="auto"/>
              <w:ind w:left="131"/>
              <w:rPr>
                <w:rFonts w:ascii="Arial" w:eastAsia="Cambria" w:hAnsi="Arial"/>
                <w:sz w:val="20"/>
                <w:szCs w:val="20"/>
              </w:rPr>
            </w:pPr>
            <w:sdt>
              <w:sdtPr>
                <w:rPr>
                  <w:rFonts w:ascii="Arial" w:eastAsia="Cambria" w:hAnsi="Arial"/>
                  <w:sz w:val="20"/>
                  <w:szCs w:val="20"/>
                </w:rPr>
                <w:id w:val="-557401951"/>
                <w14:checkbox>
                  <w14:checked w14:val="1"/>
                  <w14:checkedState w14:val="2612" w14:font="MS Gothic"/>
                  <w14:uncheckedState w14:val="2610" w14:font="MS Gothic"/>
                </w14:checkbox>
              </w:sdtPr>
              <w:sdtEndPr/>
              <w:sdtContent>
                <w:r w:rsidR="00C04554" w:rsidRPr="0081038E">
                  <w:rPr>
                    <w:rFonts w:ascii="MS Gothic" w:eastAsia="MS Gothic" w:hAnsi="MS Gothic" w:hint="eastAsia"/>
                    <w:sz w:val="20"/>
                    <w:szCs w:val="20"/>
                  </w:rPr>
                  <w:t>☒</w:t>
                </w:r>
              </w:sdtContent>
            </w:sdt>
            <w:r w:rsidR="00CE5204" w:rsidRPr="0081038E">
              <w:rPr>
                <w:rFonts w:ascii="Arial" w:eastAsia="Cambria" w:hAnsi="Arial"/>
                <w:sz w:val="20"/>
                <w:szCs w:val="20"/>
              </w:rPr>
              <w:t xml:space="preserve"> No</w:t>
            </w:r>
          </w:p>
        </w:tc>
      </w:tr>
      <w:tr w:rsidR="00CE5204" w:rsidRPr="0048135A" w14:paraId="473C157E" w14:textId="77777777" w:rsidTr="00833796">
        <w:tblPrEx>
          <w:tblCellMar>
            <w:left w:w="10" w:type="dxa"/>
            <w:right w:w="10" w:type="dxa"/>
          </w:tblCellMar>
          <w:tblLook w:val="04A0" w:firstRow="1" w:lastRow="0" w:firstColumn="1" w:lastColumn="0" w:noHBand="0" w:noVBand="1"/>
        </w:tblPrEx>
        <w:trPr>
          <w:trHeight w:val="379"/>
        </w:trPr>
        <w:tc>
          <w:tcPr>
            <w:tcW w:w="9067" w:type="dxa"/>
            <w:gridSpan w:val="2"/>
            <w:shd w:val="clear" w:color="auto" w:fill="BFBFBF" w:themeFill="background1" w:themeFillShade="BF"/>
            <w:tcMar>
              <w:top w:w="0" w:type="dxa"/>
              <w:left w:w="108" w:type="dxa"/>
              <w:bottom w:w="0" w:type="dxa"/>
              <w:right w:w="108" w:type="dxa"/>
            </w:tcMar>
            <w:vAlign w:val="center"/>
            <w:hideMark/>
          </w:tcPr>
          <w:p w14:paraId="6D0DD89E" w14:textId="77777777" w:rsidR="00CE5204" w:rsidRPr="00833796" w:rsidRDefault="00CE5204" w:rsidP="0061696C">
            <w:pPr>
              <w:numPr>
                <w:ilvl w:val="0"/>
                <w:numId w:val="9"/>
              </w:numPr>
              <w:spacing w:after="0" w:line="380" w:lineRule="exact"/>
              <w:ind w:left="313" w:hanging="313"/>
              <w:contextualSpacing/>
              <w:rPr>
                <w:rFonts w:ascii="Arial" w:eastAsia="MS Mincho" w:hAnsi="Arial"/>
                <w:color w:val="000000"/>
                <w:kern w:val="24"/>
                <w:sz w:val="20"/>
                <w:szCs w:val="20"/>
              </w:rPr>
            </w:pPr>
            <w:r w:rsidRPr="00833796">
              <w:rPr>
                <w:rFonts w:ascii="Arial" w:eastAsia="MS Mincho" w:hAnsi="Arial"/>
                <w:color w:val="000000"/>
                <w:kern w:val="24"/>
                <w:sz w:val="20"/>
                <w:szCs w:val="20"/>
              </w:rPr>
              <w:t>Effectiveness of implementation approaches</w:t>
            </w:r>
          </w:p>
        </w:tc>
      </w:tr>
      <w:tr w:rsidR="00CE5204" w:rsidRPr="0048135A" w14:paraId="2890EC04" w14:textId="77777777" w:rsidTr="00833796">
        <w:tblPrEx>
          <w:tblCellMar>
            <w:left w:w="10" w:type="dxa"/>
            <w:right w:w="10" w:type="dxa"/>
          </w:tblCellMar>
          <w:tblLook w:val="04A0" w:firstRow="1" w:lastRow="0" w:firstColumn="1" w:lastColumn="0" w:noHBand="0" w:noVBand="1"/>
        </w:tblPrEx>
        <w:trPr>
          <w:trHeight w:val="754"/>
        </w:trPr>
        <w:tc>
          <w:tcPr>
            <w:tcW w:w="8217" w:type="dxa"/>
            <w:shd w:val="clear" w:color="auto" w:fill="F2F2F2" w:themeFill="background1" w:themeFillShade="F2"/>
            <w:tcMar>
              <w:top w:w="0" w:type="dxa"/>
              <w:left w:w="108" w:type="dxa"/>
              <w:bottom w:w="0" w:type="dxa"/>
              <w:right w:w="108" w:type="dxa"/>
            </w:tcMar>
            <w:vAlign w:val="center"/>
            <w:hideMark/>
          </w:tcPr>
          <w:p w14:paraId="6711526C" w14:textId="7763D2EF" w:rsidR="00CE5204" w:rsidRPr="00833796" w:rsidRDefault="00CE5204" w:rsidP="00833796">
            <w:pPr>
              <w:spacing w:before="120" w:after="120" w:line="240" w:lineRule="auto"/>
              <w:jc w:val="both"/>
              <w:rPr>
                <w:rFonts w:ascii="Arial" w:eastAsia="Cambria" w:hAnsi="Arial"/>
                <w:b w:val="0"/>
                <w:sz w:val="20"/>
                <w:szCs w:val="20"/>
              </w:rPr>
            </w:pPr>
            <w:proofErr w:type="gramStart"/>
            <w:r w:rsidRPr="00833796">
              <w:rPr>
                <w:rFonts w:ascii="Arial" w:hAnsi="Arial"/>
                <w:b w:val="0"/>
                <w:bCs/>
                <w:sz w:val="20"/>
                <w:szCs w:val="20"/>
                <w:shd w:val="clear" w:color="auto" w:fill="F2F2F2" w:themeFill="background1" w:themeFillShade="F2"/>
              </w:rPr>
              <w:t>Are the current implementation arrangements effective to deliver on the program objectives and anticipated impact (including the P</w:t>
            </w:r>
            <w:r w:rsidR="00017CC4" w:rsidRPr="0048135A">
              <w:rPr>
                <w:rFonts w:ascii="Arial" w:hAnsi="Arial"/>
                <w:b w:val="0"/>
                <w:bCs/>
                <w:sz w:val="20"/>
                <w:szCs w:val="20"/>
                <w:shd w:val="clear" w:color="auto" w:fill="F2F2F2" w:themeFill="background1" w:themeFillShade="F2"/>
              </w:rPr>
              <w:t xml:space="preserve">rincipal </w:t>
            </w:r>
            <w:r w:rsidRPr="00833796">
              <w:rPr>
                <w:rFonts w:ascii="Arial" w:hAnsi="Arial"/>
                <w:b w:val="0"/>
                <w:bCs/>
                <w:sz w:val="20"/>
                <w:szCs w:val="20"/>
                <w:shd w:val="clear" w:color="auto" w:fill="F2F2F2" w:themeFill="background1" w:themeFillShade="F2"/>
              </w:rPr>
              <w:t>R</w:t>
            </w:r>
            <w:r w:rsidR="00017CC4" w:rsidRPr="0048135A">
              <w:rPr>
                <w:rFonts w:ascii="Arial" w:hAnsi="Arial"/>
                <w:b w:val="0"/>
                <w:bCs/>
                <w:sz w:val="20"/>
                <w:szCs w:val="20"/>
                <w:shd w:val="clear" w:color="auto" w:fill="F2F2F2" w:themeFill="background1" w:themeFillShade="F2"/>
              </w:rPr>
              <w:t>ecipient</w:t>
            </w:r>
            <w:r w:rsidRPr="00833796">
              <w:rPr>
                <w:rFonts w:ascii="Arial" w:hAnsi="Arial"/>
                <w:b w:val="0"/>
                <w:bCs/>
                <w:sz w:val="20"/>
                <w:szCs w:val="20"/>
                <w:shd w:val="clear" w:color="auto" w:fill="F2F2F2" w:themeFill="background1" w:themeFillShade="F2"/>
              </w:rPr>
              <w:t xml:space="preserve"> and the main </w:t>
            </w:r>
            <w:r w:rsidR="00017CC4" w:rsidRPr="0048135A">
              <w:rPr>
                <w:rFonts w:ascii="Arial" w:hAnsi="Arial"/>
                <w:b w:val="0"/>
                <w:bCs/>
                <w:sz w:val="20"/>
                <w:szCs w:val="20"/>
                <w:shd w:val="clear" w:color="auto" w:fill="F2F2F2" w:themeFill="background1" w:themeFillShade="F2"/>
              </w:rPr>
              <w:t>sub-recipient</w:t>
            </w:r>
            <w:r w:rsidR="00017CC4" w:rsidRPr="00833796">
              <w:rPr>
                <w:rFonts w:ascii="Arial" w:hAnsi="Arial"/>
                <w:b w:val="0"/>
                <w:bCs/>
                <w:sz w:val="20"/>
                <w:szCs w:val="20"/>
                <w:shd w:val="clear" w:color="auto" w:fill="F2F2F2" w:themeFill="background1" w:themeFillShade="F2"/>
              </w:rPr>
              <w:t>s</w:t>
            </w:r>
            <w:r w:rsidRPr="00833796">
              <w:rPr>
                <w:rFonts w:ascii="Arial" w:hAnsi="Arial"/>
                <w:b w:val="0"/>
                <w:bCs/>
                <w:sz w:val="20"/>
                <w:szCs w:val="20"/>
                <w:shd w:val="clear" w:color="auto" w:fill="F2F2F2" w:themeFill="background1" w:themeFillShade="F2"/>
              </w:rPr>
              <w:t>)?</w:t>
            </w:r>
            <w:proofErr w:type="gramEnd"/>
          </w:p>
        </w:tc>
        <w:tc>
          <w:tcPr>
            <w:tcW w:w="850" w:type="dxa"/>
            <w:shd w:val="clear" w:color="auto" w:fill="FFFFFF" w:themeFill="background1"/>
            <w:vAlign w:val="center"/>
          </w:tcPr>
          <w:p w14:paraId="1E93D64C" w14:textId="62257211" w:rsidR="00CE5204" w:rsidRPr="00833796" w:rsidRDefault="00D26022" w:rsidP="00CE5204">
            <w:pPr>
              <w:spacing w:after="160" w:line="259" w:lineRule="auto"/>
              <w:ind w:left="131"/>
              <w:rPr>
                <w:rFonts w:ascii="Arial" w:eastAsia="Cambria" w:hAnsi="Arial"/>
                <w:b w:val="0"/>
                <w:sz w:val="20"/>
                <w:szCs w:val="20"/>
              </w:rPr>
            </w:pPr>
            <w:sdt>
              <w:sdtPr>
                <w:rPr>
                  <w:rFonts w:ascii="Arial" w:eastAsia="Cambria" w:hAnsi="Arial"/>
                  <w:sz w:val="20"/>
                  <w:szCs w:val="20"/>
                </w:rPr>
                <w:id w:val="-1983775109"/>
                <w14:checkbox>
                  <w14:checked w14:val="1"/>
                  <w14:checkedState w14:val="2612" w14:font="MS Gothic"/>
                  <w14:uncheckedState w14:val="2610" w14:font="MS Gothic"/>
                </w14:checkbox>
              </w:sdtPr>
              <w:sdtEndPr/>
              <w:sdtContent>
                <w:r w:rsidR="00C04554" w:rsidRPr="0081038E">
                  <w:rPr>
                    <w:rFonts w:ascii="MS Gothic" w:eastAsia="MS Gothic" w:hAnsi="MS Gothic" w:hint="eastAsia"/>
                    <w:sz w:val="20"/>
                    <w:szCs w:val="20"/>
                  </w:rPr>
                  <w:t>☒</w:t>
                </w:r>
              </w:sdtContent>
            </w:sdt>
            <w:r w:rsidR="00CE5204" w:rsidRPr="0081038E">
              <w:rPr>
                <w:rFonts w:ascii="Arial" w:eastAsia="Cambria" w:hAnsi="Arial"/>
                <w:sz w:val="20"/>
                <w:szCs w:val="20"/>
              </w:rPr>
              <w:t xml:space="preserve"> Yes</w:t>
            </w:r>
            <w:r w:rsidR="00CE5204" w:rsidRPr="00833796">
              <w:rPr>
                <w:rFonts w:ascii="Arial" w:eastAsia="Cambria" w:hAnsi="Arial"/>
                <w:b w:val="0"/>
                <w:sz w:val="20"/>
                <w:szCs w:val="20"/>
              </w:rPr>
              <w:t xml:space="preserve">   </w:t>
            </w:r>
            <w:sdt>
              <w:sdtPr>
                <w:rPr>
                  <w:rFonts w:ascii="Arial" w:eastAsia="Cambria" w:hAnsi="Arial"/>
                  <w:b w:val="0"/>
                  <w:sz w:val="20"/>
                  <w:szCs w:val="20"/>
                </w:rPr>
                <w:id w:val="574563717"/>
                <w14:checkbox>
                  <w14:checked w14:val="0"/>
                  <w14:checkedState w14:val="2612" w14:font="MS Gothic"/>
                  <w14:uncheckedState w14:val="2610" w14:font="MS Gothic"/>
                </w14:checkbox>
              </w:sdtPr>
              <w:sdtEndPr/>
              <w:sdtContent>
                <w:r w:rsidR="00CE5204" w:rsidRPr="0048135A">
                  <w:rPr>
                    <w:rFonts w:ascii="Segoe UI Symbol" w:eastAsia="Cambria" w:hAnsi="Segoe UI Symbol" w:cs="Segoe UI Symbol"/>
                    <w:b w:val="0"/>
                    <w:sz w:val="20"/>
                    <w:szCs w:val="20"/>
                  </w:rPr>
                  <w:t>☐</w:t>
                </w:r>
              </w:sdtContent>
            </w:sdt>
            <w:r w:rsidR="00CE5204" w:rsidRPr="00833796">
              <w:rPr>
                <w:rFonts w:ascii="Arial" w:eastAsia="Cambria" w:hAnsi="Arial"/>
                <w:b w:val="0"/>
                <w:sz w:val="20"/>
                <w:szCs w:val="20"/>
              </w:rPr>
              <w:t xml:space="preserve"> No</w:t>
            </w:r>
          </w:p>
        </w:tc>
      </w:tr>
      <w:tr w:rsidR="00CE5204" w:rsidRPr="0048135A" w14:paraId="5671ABB0" w14:textId="77777777" w:rsidTr="00833796">
        <w:tblPrEx>
          <w:tblCellMar>
            <w:left w:w="10" w:type="dxa"/>
            <w:right w:w="10" w:type="dxa"/>
          </w:tblCellMar>
          <w:tblLook w:val="04A0" w:firstRow="1" w:lastRow="0" w:firstColumn="1" w:lastColumn="0" w:noHBand="0" w:noVBand="1"/>
        </w:tblPrEx>
        <w:trPr>
          <w:trHeight w:val="299"/>
        </w:trPr>
        <w:tc>
          <w:tcPr>
            <w:tcW w:w="9067" w:type="dxa"/>
            <w:gridSpan w:val="2"/>
            <w:shd w:val="clear" w:color="auto" w:fill="BFBFBF" w:themeFill="background1" w:themeFillShade="BF"/>
            <w:tcMar>
              <w:top w:w="0" w:type="dxa"/>
              <w:left w:w="108" w:type="dxa"/>
              <w:bottom w:w="0" w:type="dxa"/>
              <w:right w:w="108" w:type="dxa"/>
            </w:tcMar>
            <w:vAlign w:val="center"/>
            <w:hideMark/>
          </w:tcPr>
          <w:p w14:paraId="5ABB1717" w14:textId="77777777" w:rsidR="00CE5204" w:rsidRPr="00833796" w:rsidRDefault="00CE5204" w:rsidP="0061696C">
            <w:pPr>
              <w:numPr>
                <w:ilvl w:val="0"/>
                <w:numId w:val="9"/>
              </w:numPr>
              <w:spacing w:after="0" w:line="380" w:lineRule="exact"/>
              <w:ind w:left="313" w:hanging="313"/>
              <w:contextualSpacing/>
              <w:rPr>
                <w:rFonts w:ascii="Arial" w:eastAsia="MS Mincho" w:hAnsi="Arial"/>
                <w:color w:val="000000"/>
                <w:kern w:val="24"/>
                <w:sz w:val="20"/>
                <w:szCs w:val="20"/>
              </w:rPr>
            </w:pPr>
            <w:r w:rsidRPr="00833796">
              <w:rPr>
                <w:rFonts w:ascii="Arial" w:eastAsia="MS Mincho" w:hAnsi="Arial"/>
                <w:color w:val="000000"/>
                <w:kern w:val="24"/>
                <w:sz w:val="20"/>
                <w:szCs w:val="20"/>
              </w:rPr>
              <w:lastRenderedPageBreak/>
              <w:t xml:space="preserve">Sustainability, transition and co-financing  </w:t>
            </w:r>
          </w:p>
        </w:tc>
      </w:tr>
      <w:tr w:rsidR="00CE5204" w:rsidRPr="0048135A" w14:paraId="2A5566A9" w14:textId="77777777" w:rsidTr="00833796">
        <w:tblPrEx>
          <w:tblCellMar>
            <w:left w:w="10" w:type="dxa"/>
            <w:right w:w="10" w:type="dxa"/>
          </w:tblCellMar>
          <w:tblLook w:val="04A0" w:firstRow="1" w:lastRow="0" w:firstColumn="1" w:lastColumn="0" w:noHBand="0" w:noVBand="1"/>
        </w:tblPrEx>
        <w:trPr>
          <w:trHeight w:val="886"/>
        </w:trPr>
        <w:tc>
          <w:tcPr>
            <w:tcW w:w="8217" w:type="dxa"/>
            <w:shd w:val="clear" w:color="auto" w:fill="F2F2F2" w:themeFill="background1" w:themeFillShade="F2"/>
            <w:tcMar>
              <w:top w:w="0" w:type="dxa"/>
              <w:left w:w="108" w:type="dxa"/>
              <w:bottom w:w="0" w:type="dxa"/>
              <w:right w:w="108" w:type="dxa"/>
            </w:tcMar>
            <w:vAlign w:val="center"/>
            <w:hideMark/>
          </w:tcPr>
          <w:p w14:paraId="61D47313" w14:textId="47DC715D" w:rsidR="00CE5204" w:rsidRPr="00833796" w:rsidRDefault="00CE5204" w:rsidP="00833796">
            <w:pPr>
              <w:spacing w:before="120" w:after="120" w:line="240" w:lineRule="auto"/>
              <w:jc w:val="both"/>
              <w:rPr>
                <w:rFonts w:ascii="Arial" w:eastAsia="Cambria" w:hAnsi="Arial"/>
                <w:b w:val="0"/>
                <w:sz w:val="20"/>
                <w:szCs w:val="20"/>
              </w:rPr>
            </w:pPr>
            <w:r w:rsidRPr="00833796">
              <w:rPr>
                <w:rFonts w:ascii="Arial" w:hAnsi="Arial"/>
                <w:b w:val="0"/>
                <w:bCs/>
                <w:sz w:val="20"/>
                <w:szCs w:val="20"/>
              </w:rPr>
              <w:t>Are there changes in domestic or international financing (e.g. due to withdrawal of a major donor or significant increase in domestic allocation/funding), resulting in material impact on funding availability for programmatic interventions and sustainability?</w:t>
            </w:r>
            <w:r w:rsidRPr="00833796">
              <w:rPr>
                <w:rFonts w:ascii="Arial" w:eastAsia="Cambria" w:hAnsi="Arial"/>
                <w:b w:val="0"/>
                <w:sz w:val="20"/>
                <w:szCs w:val="20"/>
              </w:rPr>
              <w:t xml:space="preserve"> </w:t>
            </w:r>
          </w:p>
        </w:tc>
        <w:tc>
          <w:tcPr>
            <w:tcW w:w="850" w:type="dxa"/>
            <w:shd w:val="clear" w:color="auto" w:fill="FFFFFF" w:themeFill="background1"/>
            <w:vAlign w:val="center"/>
          </w:tcPr>
          <w:p w14:paraId="2E4F8E93" w14:textId="028ADE4E" w:rsidR="00CE5204" w:rsidRPr="0081038E" w:rsidRDefault="00D26022" w:rsidP="00CE5204">
            <w:pPr>
              <w:spacing w:after="160" w:line="259" w:lineRule="auto"/>
              <w:ind w:left="131"/>
              <w:rPr>
                <w:rFonts w:ascii="Arial" w:eastAsia="Cambria" w:hAnsi="Arial"/>
                <w:sz w:val="20"/>
                <w:szCs w:val="20"/>
              </w:rPr>
            </w:pPr>
            <w:sdt>
              <w:sdtPr>
                <w:rPr>
                  <w:rFonts w:ascii="Arial" w:eastAsia="Cambria" w:hAnsi="Arial"/>
                  <w:sz w:val="20"/>
                  <w:szCs w:val="20"/>
                </w:rPr>
                <w:id w:val="1950730505"/>
                <w14:checkbox>
                  <w14:checked w14:val="1"/>
                  <w14:checkedState w14:val="2612" w14:font="MS Gothic"/>
                  <w14:uncheckedState w14:val="2610" w14:font="MS Gothic"/>
                </w14:checkbox>
              </w:sdtPr>
              <w:sdtEndPr/>
              <w:sdtContent>
                <w:r w:rsidR="006F4BCB" w:rsidRPr="0081038E">
                  <w:rPr>
                    <w:rFonts w:ascii="MS Gothic" w:eastAsia="MS Gothic" w:hAnsi="MS Gothic" w:hint="eastAsia"/>
                    <w:sz w:val="20"/>
                    <w:szCs w:val="20"/>
                  </w:rPr>
                  <w:t>☒</w:t>
                </w:r>
              </w:sdtContent>
            </w:sdt>
            <w:r w:rsidR="00833796" w:rsidRPr="0081038E">
              <w:rPr>
                <w:rFonts w:ascii="Arial" w:eastAsia="Cambria" w:hAnsi="Arial"/>
                <w:sz w:val="20"/>
                <w:szCs w:val="20"/>
              </w:rPr>
              <w:t xml:space="preserve"> </w:t>
            </w:r>
            <w:r w:rsidR="00CE5204" w:rsidRPr="0081038E">
              <w:rPr>
                <w:rFonts w:ascii="Arial" w:eastAsia="Cambria" w:hAnsi="Arial"/>
                <w:sz w:val="20"/>
                <w:szCs w:val="20"/>
              </w:rPr>
              <w:t xml:space="preserve">Yes   </w:t>
            </w:r>
          </w:p>
          <w:p w14:paraId="3D1D5BBE" w14:textId="36E7D66A" w:rsidR="00CE5204" w:rsidRPr="00833796" w:rsidRDefault="00D26022" w:rsidP="00CE5204">
            <w:pPr>
              <w:spacing w:after="160" w:line="259" w:lineRule="auto"/>
              <w:ind w:left="131"/>
              <w:rPr>
                <w:rFonts w:ascii="Arial" w:eastAsia="Cambria" w:hAnsi="Arial"/>
                <w:b w:val="0"/>
                <w:sz w:val="20"/>
                <w:szCs w:val="20"/>
              </w:rPr>
            </w:pPr>
            <w:sdt>
              <w:sdtPr>
                <w:rPr>
                  <w:rFonts w:ascii="Arial" w:eastAsia="Cambria" w:hAnsi="Arial"/>
                  <w:b w:val="0"/>
                  <w:sz w:val="20"/>
                  <w:szCs w:val="20"/>
                </w:rPr>
                <w:id w:val="-805236393"/>
                <w14:checkbox>
                  <w14:checked w14:val="0"/>
                  <w14:checkedState w14:val="2612" w14:font="MS Gothic"/>
                  <w14:uncheckedState w14:val="2610" w14:font="MS Gothic"/>
                </w14:checkbox>
              </w:sdtPr>
              <w:sdtEndPr/>
              <w:sdtContent>
                <w:r w:rsidR="006F4BCB">
                  <w:rPr>
                    <w:rFonts w:ascii="MS Gothic" w:eastAsia="MS Gothic" w:hAnsi="MS Gothic" w:hint="eastAsia"/>
                    <w:b w:val="0"/>
                    <w:sz w:val="20"/>
                    <w:szCs w:val="20"/>
                  </w:rPr>
                  <w:t>☐</w:t>
                </w:r>
              </w:sdtContent>
            </w:sdt>
            <w:r w:rsidR="00CE5204" w:rsidRPr="00833796">
              <w:rPr>
                <w:rFonts w:ascii="Arial" w:eastAsia="Cambria" w:hAnsi="Arial"/>
                <w:b w:val="0"/>
                <w:sz w:val="20"/>
                <w:szCs w:val="20"/>
              </w:rPr>
              <w:t xml:space="preserve"> No</w:t>
            </w:r>
          </w:p>
        </w:tc>
      </w:tr>
      <w:tr w:rsidR="00CE5204" w:rsidRPr="0048135A" w14:paraId="14BEF6BF" w14:textId="77777777" w:rsidTr="00833796">
        <w:tblPrEx>
          <w:tblCellMar>
            <w:left w:w="10" w:type="dxa"/>
            <w:right w:w="10" w:type="dxa"/>
          </w:tblCellMar>
          <w:tblLook w:val="04A0" w:firstRow="1" w:lastRow="0" w:firstColumn="1" w:lastColumn="0" w:noHBand="0" w:noVBand="1"/>
        </w:tblPrEx>
        <w:trPr>
          <w:trHeight w:val="886"/>
        </w:trPr>
        <w:tc>
          <w:tcPr>
            <w:tcW w:w="8217" w:type="dxa"/>
            <w:shd w:val="clear" w:color="auto" w:fill="F2F2F2" w:themeFill="background1" w:themeFillShade="F2"/>
            <w:tcMar>
              <w:top w:w="0" w:type="dxa"/>
              <w:left w:w="108" w:type="dxa"/>
              <w:bottom w:w="0" w:type="dxa"/>
              <w:right w:w="108" w:type="dxa"/>
            </w:tcMar>
            <w:vAlign w:val="center"/>
          </w:tcPr>
          <w:p w14:paraId="295024AF" w14:textId="399652C8" w:rsidR="00CE5204" w:rsidRPr="00833796" w:rsidRDefault="00CE5204" w:rsidP="00833796">
            <w:pPr>
              <w:spacing w:before="120" w:after="120" w:line="240" w:lineRule="auto"/>
              <w:jc w:val="both"/>
              <w:rPr>
                <w:rFonts w:ascii="Arial" w:eastAsia="Cambria" w:hAnsi="Arial"/>
                <w:b w:val="0"/>
                <w:sz w:val="20"/>
                <w:szCs w:val="20"/>
              </w:rPr>
            </w:pPr>
            <w:r w:rsidRPr="00833796">
              <w:rPr>
                <w:rFonts w:ascii="Arial" w:hAnsi="Arial"/>
                <w:b w:val="0"/>
                <w:bCs/>
                <w:sz w:val="20"/>
                <w:szCs w:val="20"/>
              </w:rPr>
              <w:t>Is your country’s 20172019 Global Fund allocation for the disease component is significantly lower as compared to the current grants’ spending levels</w:t>
            </w:r>
            <w:r w:rsidRPr="00833796">
              <w:rPr>
                <w:rFonts w:ascii="Arial" w:hAnsi="Arial"/>
                <w:b w:val="0"/>
                <w:bCs/>
                <w:sz w:val="20"/>
                <w:szCs w:val="20"/>
                <w:vertAlign w:val="superscript"/>
              </w:rPr>
              <w:footnoteReference w:id="2"/>
            </w:r>
            <w:r w:rsidRPr="00833796">
              <w:rPr>
                <w:rFonts w:ascii="Arial" w:hAnsi="Arial"/>
                <w:b w:val="0"/>
                <w:bCs/>
                <w:sz w:val="20"/>
                <w:szCs w:val="20"/>
              </w:rPr>
              <w:t xml:space="preserve">? </w:t>
            </w:r>
          </w:p>
        </w:tc>
        <w:tc>
          <w:tcPr>
            <w:tcW w:w="850" w:type="dxa"/>
            <w:shd w:val="clear" w:color="auto" w:fill="FFFFFF" w:themeFill="background1"/>
            <w:vAlign w:val="center"/>
          </w:tcPr>
          <w:p w14:paraId="029C0566" w14:textId="2A5B1C62" w:rsidR="00CE5204" w:rsidRPr="0081038E" w:rsidRDefault="00D26022" w:rsidP="00CE5204">
            <w:pPr>
              <w:spacing w:after="160" w:line="259" w:lineRule="auto"/>
              <w:ind w:left="131"/>
              <w:rPr>
                <w:rFonts w:ascii="Arial" w:eastAsia="Cambria" w:hAnsi="Arial"/>
                <w:sz w:val="20"/>
                <w:szCs w:val="20"/>
              </w:rPr>
            </w:pPr>
            <w:sdt>
              <w:sdtPr>
                <w:rPr>
                  <w:rFonts w:ascii="Arial" w:eastAsia="Cambria" w:hAnsi="Arial"/>
                  <w:sz w:val="20"/>
                  <w:szCs w:val="20"/>
                </w:rPr>
                <w:id w:val="-590393678"/>
                <w14:checkbox>
                  <w14:checked w14:val="1"/>
                  <w14:checkedState w14:val="2612" w14:font="MS Gothic"/>
                  <w14:uncheckedState w14:val="2610" w14:font="MS Gothic"/>
                </w14:checkbox>
              </w:sdtPr>
              <w:sdtEndPr/>
              <w:sdtContent>
                <w:r w:rsidR="00C04554" w:rsidRPr="0081038E">
                  <w:rPr>
                    <w:rFonts w:ascii="MS Gothic" w:eastAsia="MS Gothic" w:hAnsi="MS Gothic" w:hint="eastAsia"/>
                    <w:sz w:val="20"/>
                    <w:szCs w:val="20"/>
                  </w:rPr>
                  <w:t>☒</w:t>
                </w:r>
              </w:sdtContent>
            </w:sdt>
            <w:r w:rsidR="00833796" w:rsidRPr="0081038E">
              <w:rPr>
                <w:rFonts w:ascii="Arial" w:eastAsia="Cambria" w:hAnsi="Arial"/>
                <w:sz w:val="20"/>
                <w:szCs w:val="20"/>
              </w:rPr>
              <w:t xml:space="preserve"> </w:t>
            </w:r>
            <w:r w:rsidR="00CE5204" w:rsidRPr="0081038E">
              <w:rPr>
                <w:rFonts w:ascii="Arial" w:eastAsia="Cambria" w:hAnsi="Arial"/>
                <w:sz w:val="20"/>
                <w:szCs w:val="20"/>
              </w:rPr>
              <w:t xml:space="preserve">Yes   </w:t>
            </w:r>
          </w:p>
          <w:p w14:paraId="3687D9E5" w14:textId="77777777" w:rsidR="00CE5204" w:rsidRPr="00833796" w:rsidRDefault="00D26022" w:rsidP="00CE5204">
            <w:pPr>
              <w:spacing w:after="160" w:line="259" w:lineRule="auto"/>
              <w:ind w:left="131"/>
              <w:rPr>
                <w:rFonts w:ascii="Arial" w:eastAsia="Cambria" w:hAnsi="Arial"/>
                <w:bCs/>
                <w:iCs/>
                <w:sz w:val="20"/>
                <w:szCs w:val="20"/>
              </w:rPr>
            </w:pPr>
            <w:sdt>
              <w:sdtPr>
                <w:rPr>
                  <w:rFonts w:ascii="Arial" w:eastAsia="Cambria" w:hAnsi="Arial"/>
                  <w:b w:val="0"/>
                  <w:sz w:val="20"/>
                  <w:szCs w:val="20"/>
                </w:rPr>
                <w:id w:val="1330405837"/>
                <w14:checkbox>
                  <w14:checked w14:val="0"/>
                  <w14:checkedState w14:val="2612" w14:font="MS Gothic"/>
                  <w14:uncheckedState w14:val="2610" w14:font="MS Gothic"/>
                </w14:checkbox>
              </w:sdtPr>
              <w:sdtEndPr/>
              <w:sdtContent>
                <w:r w:rsidR="00CE5204" w:rsidRPr="0048135A">
                  <w:rPr>
                    <w:rFonts w:ascii="Segoe UI Symbol" w:eastAsia="Cambria" w:hAnsi="Segoe UI Symbol" w:cs="Segoe UI Symbol"/>
                    <w:b w:val="0"/>
                    <w:sz w:val="20"/>
                    <w:szCs w:val="20"/>
                  </w:rPr>
                  <w:t>☐</w:t>
                </w:r>
              </w:sdtContent>
            </w:sdt>
            <w:r w:rsidR="00CE5204" w:rsidRPr="00833796">
              <w:rPr>
                <w:rFonts w:ascii="Arial" w:eastAsia="Cambria" w:hAnsi="Arial"/>
                <w:b w:val="0"/>
                <w:sz w:val="20"/>
                <w:szCs w:val="20"/>
              </w:rPr>
              <w:t xml:space="preserve"> No</w:t>
            </w:r>
          </w:p>
        </w:tc>
      </w:tr>
      <w:tr w:rsidR="0052482B" w:rsidRPr="0048135A" w14:paraId="50C37A46" w14:textId="77777777" w:rsidTr="00833796">
        <w:tblPrEx>
          <w:tblCellMar>
            <w:left w:w="10" w:type="dxa"/>
            <w:right w:w="10" w:type="dxa"/>
          </w:tblCellMar>
          <w:tblLook w:val="04A0" w:firstRow="1" w:lastRow="0" w:firstColumn="1" w:lastColumn="0" w:noHBand="0" w:noVBand="1"/>
        </w:tblPrEx>
        <w:trPr>
          <w:trHeight w:val="299"/>
        </w:trPr>
        <w:tc>
          <w:tcPr>
            <w:tcW w:w="9067" w:type="dxa"/>
            <w:gridSpan w:val="2"/>
            <w:shd w:val="clear" w:color="auto" w:fill="BFBFBF" w:themeFill="background1" w:themeFillShade="BF"/>
            <w:tcMar>
              <w:top w:w="0" w:type="dxa"/>
              <w:left w:w="108" w:type="dxa"/>
              <w:bottom w:w="0" w:type="dxa"/>
              <w:right w:w="108" w:type="dxa"/>
            </w:tcMar>
            <w:vAlign w:val="center"/>
            <w:hideMark/>
          </w:tcPr>
          <w:p w14:paraId="29522E35" w14:textId="77AE8D7C" w:rsidR="0052482B" w:rsidRPr="00833796" w:rsidRDefault="0052482B" w:rsidP="0061696C">
            <w:pPr>
              <w:numPr>
                <w:ilvl w:val="0"/>
                <w:numId w:val="9"/>
              </w:numPr>
              <w:spacing w:after="0" w:line="380" w:lineRule="exact"/>
              <w:ind w:left="313" w:hanging="313"/>
              <w:contextualSpacing/>
              <w:rPr>
                <w:rFonts w:ascii="Arial" w:eastAsia="MS Mincho" w:hAnsi="Arial"/>
                <w:color w:val="000000"/>
                <w:kern w:val="24"/>
                <w:sz w:val="20"/>
                <w:szCs w:val="20"/>
              </w:rPr>
            </w:pPr>
            <w:r w:rsidRPr="00833796">
              <w:rPr>
                <w:rFonts w:ascii="Arial" w:eastAsia="MS Mincho" w:hAnsi="Arial"/>
                <w:color w:val="000000"/>
                <w:kern w:val="24"/>
                <w:sz w:val="20"/>
                <w:szCs w:val="20"/>
              </w:rPr>
              <w:t>Others:</w:t>
            </w:r>
          </w:p>
        </w:tc>
      </w:tr>
      <w:tr w:rsidR="0052482B" w:rsidRPr="0048135A" w14:paraId="715795BF" w14:textId="77777777" w:rsidTr="00833796">
        <w:tblPrEx>
          <w:tblCellMar>
            <w:left w:w="10" w:type="dxa"/>
            <w:right w:w="10" w:type="dxa"/>
          </w:tblCellMar>
          <w:tblLook w:val="04A0" w:firstRow="1" w:lastRow="0" w:firstColumn="1" w:lastColumn="0" w:noHBand="0" w:noVBand="1"/>
        </w:tblPrEx>
        <w:trPr>
          <w:trHeight w:val="656"/>
        </w:trPr>
        <w:tc>
          <w:tcPr>
            <w:tcW w:w="8217" w:type="dxa"/>
            <w:shd w:val="clear" w:color="auto" w:fill="F2F2F2" w:themeFill="background1" w:themeFillShade="F2"/>
            <w:tcMar>
              <w:top w:w="0" w:type="dxa"/>
              <w:left w:w="108" w:type="dxa"/>
              <w:bottom w:w="0" w:type="dxa"/>
              <w:right w:w="108" w:type="dxa"/>
            </w:tcMar>
            <w:vAlign w:val="center"/>
          </w:tcPr>
          <w:p w14:paraId="532D7842" w14:textId="30C0C91E" w:rsidR="0052482B" w:rsidRPr="00833796" w:rsidRDefault="0052482B" w:rsidP="00833796">
            <w:pPr>
              <w:spacing w:before="120" w:after="120" w:line="240" w:lineRule="auto"/>
              <w:jc w:val="both"/>
              <w:rPr>
                <w:rFonts w:ascii="Arial" w:eastAsia="Cambria" w:hAnsi="Arial"/>
                <w:b w:val="0"/>
                <w:sz w:val="20"/>
                <w:szCs w:val="20"/>
              </w:rPr>
            </w:pPr>
            <w:r w:rsidRPr="00833796">
              <w:rPr>
                <w:rFonts w:ascii="Arial" w:hAnsi="Arial"/>
                <w:b w:val="0"/>
                <w:bCs/>
                <w:sz w:val="20"/>
                <w:szCs w:val="20"/>
              </w:rPr>
              <w:t>Specify:</w:t>
            </w:r>
            <w:r w:rsidR="0081038E">
              <w:rPr>
                <w:rFonts w:ascii="Arial" w:hAnsi="Arial"/>
                <w:b w:val="0"/>
                <w:bCs/>
                <w:sz w:val="20"/>
                <w:szCs w:val="20"/>
              </w:rPr>
              <w:t xml:space="preserve"> - </w:t>
            </w:r>
          </w:p>
        </w:tc>
        <w:tc>
          <w:tcPr>
            <w:tcW w:w="850" w:type="dxa"/>
            <w:shd w:val="clear" w:color="auto" w:fill="FFFFFF" w:themeFill="background1"/>
            <w:vAlign w:val="center"/>
          </w:tcPr>
          <w:p w14:paraId="3A15CC9E" w14:textId="5348055B" w:rsidR="0052482B" w:rsidRPr="00833796" w:rsidRDefault="0081038E" w:rsidP="0081038E">
            <w:pPr>
              <w:spacing w:after="160" w:line="259" w:lineRule="auto"/>
              <w:ind w:left="131"/>
              <w:jc w:val="center"/>
              <w:rPr>
                <w:rFonts w:ascii="Arial" w:eastAsia="Cambria" w:hAnsi="Arial"/>
                <w:bCs/>
                <w:iCs/>
                <w:sz w:val="20"/>
                <w:szCs w:val="20"/>
              </w:rPr>
            </w:pPr>
            <w:r>
              <w:rPr>
                <w:rFonts w:ascii="Arial" w:eastAsia="Cambria" w:hAnsi="Arial"/>
                <w:bCs/>
                <w:iCs/>
                <w:sz w:val="20"/>
                <w:szCs w:val="20"/>
              </w:rPr>
              <w:t>N / A</w:t>
            </w:r>
          </w:p>
        </w:tc>
      </w:tr>
    </w:tbl>
    <w:p w14:paraId="1BF8F899" w14:textId="77CA6464" w:rsidR="0048135A" w:rsidRDefault="0048135A">
      <w:pPr>
        <w:spacing w:after="0" w:line="240" w:lineRule="auto"/>
        <w:rPr>
          <w:rFonts w:ascii="Arial" w:hAnsi="Arial"/>
          <w:sz w:val="20"/>
          <w:szCs w:val="20"/>
        </w:rPr>
      </w:pPr>
    </w:p>
    <w:p w14:paraId="2A7A3A81" w14:textId="77777777" w:rsidR="00DB0910" w:rsidRDefault="00DB0910">
      <w:pPr>
        <w:spacing w:after="0" w:line="240" w:lineRule="auto"/>
        <w:rPr>
          <w:rFonts w:ascii="Arial" w:hAnsi="Arial"/>
          <w:sz w:val="20"/>
          <w:szCs w:val="20"/>
        </w:rPr>
      </w:pPr>
    </w:p>
    <w:tbl>
      <w:tblPr>
        <w:tblW w:w="9101"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9101"/>
      </w:tblGrid>
      <w:tr w:rsidR="00C7583B" w:rsidRPr="0048135A" w14:paraId="20E05111" w14:textId="77777777" w:rsidTr="008D124F">
        <w:trPr>
          <w:trHeight w:val="274"/>
        </w:trPr>
        <w:tc>
          <w:tcPr>
            <w:tcW w:w="9101" w:type="dxa"/>
            <w:shd w:val="clear" w:color="auto" w:fill="C6D9F1" w:themeFill="text2" w:themeFillTint="33"/>
          </w:tcPr>
          <w:p w14:paraId="5E132E33" w14:textId="63B518A2" w:rsidR="00C7583B" w:rsidRPr="0048135A" w:rsidRDefault="009877B2">
            <w:pPr>
              <w:spacing w:before="120" w:after="120" w:line="240" w:lineRule="auto"/>
              <w:jc w:val="both"/>
              <w:rPr>
                <w:rFonts w:ascii="Arial" w:hAnsi="Arial"/>
                <w:sz w:val="20"/>
                <w:szCs w:val="20"/>
              </w:rPr>
            </w:pPr>
            <w:r w:rsidRPr="0048135A">
              <w:rPr>
                <w:rFonts w:ascii="Arial" w:hAnsi="Arial"/>
                <w:bCs/>
                <w:sz w:val="20"/>
                <w:szCs w:val="20"/>
              </w:rPr>
              <w:t>1.2.</w:t>
            </w:r>
            <w:r w:rsidR="00C7583B" w:rsidRPr="0048135A">
              <w:rPr>
                <w:rFonts w:ascii="Arial" w:hAnsi="Arial"/>
                <w:bCs/>
                <w:sz w:val="20"/>
                <w:szCs w:val="20"/>
              </w:rPr>
              <w:t xml:space="preserve"> </w:t>
            </w:r>
            <w:r w:rsidR="00C37E4F" w:rsidRPr="0048135A">
              <w:rPr>
                <w:rFonts w:ascii="Arial" w:hAnsi="Arial"/>
                <w:bCs/>
                <w:sz w:val="20"/>
                <w:szCs w:val="20"/>
              </w:rPr>
              <w:t>Summary of</w:t>
            </w:r>
            <w:r w:rsidR="00AD1A5E" w:rsidRPr="0048135A">
              <w:rPr>
                <w:rFonts w:ascii="Arial" w:hAnsi="Arial"/>
                <w:bCs/>
                <w:sz w:val="20"/>
                <w:szCs w:val="20"/>
              </w:rPr>
              <w:t xml:space="preserve"> </w:t>
            </w:r>
            <w:r w:rsidR="005C07F4" w:rsidRPr="0048135A">
              <w:rPr>
                <w:rFonts w:ascii="Arial" w:hAnsi="Arial"/>
                <w:bCs/>
                <w:sz w:val="20"/>
                <w:szCs w:val="20"/>
              </w:rPr>
              <w:t>country context</w:t>
            </w:r>
          </w:p>
        </w:tc>
      </w:tr>
      <w:tr w:rsidR="00120983" w:rsidRPr="0048135A" w14:paraId="53B19E69" w14:textId="77777777" w:rsidTr="008D124F">
        <w:trPr>
          <w:trHeight w:val="274"/>
        </w:trPr>
        <w:tc>
          <w:tcPr>
            <w:tcW w:w="9101" w:type="dxa"/>
            <w:shd w:val="clear" w:color="auto" w:fill="F2F2F2" w:themeFill="background1" w:themeFillShade="F2"/>
          </w:tcPr>
          <w:p w14:paraId="793CCE8C" w14:textId="77777777" w:rsidR="008A073A" w:rsidRPr="0048135A" w:rsidRDefault="00AD1A5E" w:rsidP="005C07F4">
            <w:pPr>
              <w:spacing w:before="120" w:after="120" w:line="240" w:lineRule="auto"/>
              <w:jc w:val="both"/>
              <w:rPr>
                <w:rFonts w:ascii="Arial" w:hAnsi="Arial"/>
                <w:b w:val="0"/>
                <w:sz w:val="20"/>
                <w:szCs w:val="20"/>
              </w:rPr>
            </w:pPr>
            <w:r w:rsidRPr="0048135A">
              <w:rPr>
                <w:rFonts w:ascii="Arial" w:hAnsi="Arial"/>
                <w:b w:val="0"/>
                <w:sz w:val="20"/>
                <w:szCs w:val="20"/>
              </w:rPr>
              <w:t xml:space="preserve">Given </w:t>
            </w:r>
            <w:r w:rsidR="00601EEF" w:rsidRPr="0048135A">
              <w:rPr>
                <w:rFonts w:ascii="Arial" w:hAnsi="Arial"/>
                <w:b w:val="0"/>
                <w:sz w:val="20"/>
                <w:szCs w:val="20"/>
              </w:rPr>
              <w:t xml:space="preserve">the above, </w:t>
            </w:r>
          </w:p>
          <w:p w14:paraId="5BDD538A" w14:textId="22CE097D" w:rsidR="005C07F4" w:rsidRPr="00833796" w:rsidRDefault="007A2AB8" w:rsidP="0061696C">
            <w:pPr>
              <w:pStyle w:val="ListParagraph"/>
              <w:numPr>
                <w:ilvl w:val="0"/>
                <w:numId w:val="2"/>
              </w:numPr>
              <w:spacing w:before="120" w:after="120" w:line="240" w:lineRule="auto"/>
              <w:jc w:val="both"/>
              <w:rPr>
                <w:rFonts w:ascii="Arial" w:hAnsi="Arial"/>
                <w:b w:val="0"/>
                <w:sz w:val="20"/>
                <w:szCs w:val="20"/>
              </w:rPr>
            </w:pPr>
            <w:r w:rsidRPr="0048135A">
              <w:rPr>
                <w:rFonts w:ascii="Arial" w:hAnsi="Arial"/>
                <w:b w:val="0"/>
                <w:sz w:val="20"/>
                <w:szCs w:val="20"/>
              </w:rPr>
              <w:t>D</w:t>
            </w:r>
            <w:r w:rsidR="005C07F4" w:rsidRPr="0048135A">
              <w:rPr>
                <w:rFonts w:ascii="Arial" w:hAnsi="Arial"/>
                <w:b w:val="0"/>
                <w:sz w:val="20"/>
                <w:szCs w:val="20"/>
              </w:rPr>
              <w:t xml:space="preserve">escribe </w:t>
            </w:r>
            <w:r w:rsidR="009877B2" w:rsidRPr="0048135A">
              <w:rPr>
                <w:rFonts w:ascii="Arial" w:hAnsi="Arial"/>
                <w:b w:val="0"/>
                <w:sz w:val="20"/>
                <w:szCs w:val="20"/>
              </w:rPr>
              <w:t xml:space="preserve">the </w:t>
            </w:r>
            <w:r w:rsidR="002A7DE9" w:rsidRPr="0048135A">
              <w:rPr>
                <w:rFonts w:ascii="Arial" w:hAnsi="Arial"/>
                <w:b w:val="0"/>
                <w:sz w:val="20"/>
                <w:szCs w:val="20"/>
              </w:rPr>
              <w:t xml:space="preserve">reasons for programmatic </w:t>
            </w:r>
            <w:proofErr w:type="gramStart"/>
            <w:r w:rsidR="002A7DE9" w:rsidRPr="0048135A">
              <w:rPr>
                <w:rFonts w:ascii="Arial" w:hAnsi="Arial"/>
                <w:b w:val="0"/>
                <w:sz w:val="20"/>
                <w:szCs w:val="20"/>
              </w:rPr>
              <w:t xml:space="preserve">changes </w:t>
            </w:r>
            <w:r w:rsidR="008B57A3" w:rsidRPr="0048135A">
              <w:rPr>
                <w:rFonts w:ascii="Arial" w:hAnsi="Arial"/>
                <w:b w:val="0"/>
                <w:sz w:val="20"/>
                <w:szCs w:val="20"/>
              </w:rPr>
              <w:t>which</w:t>
            </w:r>
            <w:proofErr w:type="gramEnd"/>
            <w:r w:rsidR="008B57A3" w:rsidRPr="0048135A">
              <w:rPr>
                <w:rFonts w:ascii="Arial" w:hAnsi="Arial"/>
                <w:b w:val="0"/>
                <w:sz w:val="20"/>
                <w:szCs w:val="20"/>
              </w:rPr>
              <w:t xml:space="preserve"> form the basis of </w:t>
            </w:r>
            <w:r w:rsidR="005C07F4" w:rsidRPr="0048135A">
              <w:rPr>
                <w:rFonts w:ascii="Arial" w:hAnsi="Arial"/>
                <w:b w:val="0"/>
                <w:sz w:val="20"/>
                <w:szCs w:val="20"/>
              </w:rPr>
              <w:t>your funding request</w:t>
            </w:r>
            <w:r w:rsidR="002A7DE9" w:rsidRPr="0048135A">
              <w:rPr>
                <w:rFonts w:ascii="Arial" w:hAnsi="Arial"/>
                <w:b w:val="0"/>
                <w:sz w:val="20"/>
                <w:szCs w:val="20"/>
              </w:rPr>
              <w:t xml:space="preserve">, as applicable (e.g. refocusing to high impact interventions, epidemiological changes, </w:t>
            </w:r>
            <w:r w:rsidR="002A7DE9" w:rsidRPr="00833796">
              <w:rPr>
                <w:rFonts w:ascii="Arial" w:hAnsi="Arial"/>
                <w:b w:val="0"/>
                <w:sz w:val="20"/>
                <w:szCs w:val="20"/>
              </w:rPr>
              <w:t>alignment with the latest normative guidelines, changes to funding landscape, etc.)</w:t>
            </w:r>
          </w:p>
          <w:p w14:paraId="0DAE9E8E" w14:textId="44F862F6" w:rsidR="00A4189F" w:rsidRPr="0048135A" w:rsidRDefault="007A2AB8" w:rsidP="0061696C">
            <w:pPr>
              <w:pStyle w:val="ListParagraph"/>
              <w:numPr>
                <w:ilvl w:val="0"/>
                <w:numId w:val="2"/>
              </w:numPr>
              <w:spacing w:before="120" w:after="120" w:line="240" w:lineRule="auto"/>
              <w:jc w:val="both"/>
              <w:rPr>
                <w:rFonts w:ascii="Arial" w:hAnsi="Arial"/>
                <w:b w:val="0"/>
                <w:sz w:val="20"/>
                <w:szCs w:val="20"/>
              </w:rPr>
            </w:pPr>
            <w:r w:rsidRPr="00833796">
              <w:rPr>
                <w:rFonts w:ascii="Arial" w:hAnsi="Arial"/>
                <w:b w:val="0"/>
                <w:sz w:val="20"/>
                <w:szCs w:val="20"/>
              </w:rPr>
              <w:t>A</w:t>
            </w:r>
            <w:r w:rsidR="008A073A" w:rsidRPr="00833796">
              <w:rPr>
                <w:rFonts w:ascii="Arial" w:hAnsi="Arial"/>
                <w:b w:val="0"/>
                <w:sz w:val="20"/>
                <w:szCs w:val="20"/>
              </w:rPr>
              <w:t xml:space="preserve">s applicable, specify how these changes relate to </w:t>
            </w:r>
            <w:r w:rsidR="005C07F4" w:rsidRPr="00833796">
              <w:rPr>
                <w:rFonts w:ascii="Arial" w:hAnsi="Arial"/>
                <w:b w:val="0"/>
                <w:sz w:val="20"/>
                <w:szCs w:val="20"/>
              </w:rPr>
              <w:t>key</w:t>
            </w:r>
            <w:r w:rsidR="005C07F4" w:rsidRPr="0048135A">
              <w:rPr>
                <w:rFonts w:ascii="Arial" w:hAnsi="Arial"/>
                <w:b w:val="0"/>
                <w:sz w:val="20"/>
                <w:szCs w:val="20"/>
              </w:rPr>
              <w:t xml:space="preserve"> and vulnerable populations and human-rights and gender considerations;</w:t>
            </w:r>
          </w:p>
          <w:p w14:paraId="1CB4807B" w14:textId="12088B56" w:rsidR="00120983" w:rsidRPr="007D0F2F" w:rsidRDefault="00243BCC" w:rsidP="00196A51">
            <w:pPr>
              <w:pStyle w:val="ListParagraph"/>
              <w:numPr>
                <w:ilvl w:val="0"/>
                <w:numId w:val="2"/>
              </w:numPr>
              <w:spacing w:before="120" w:after="120" w:line="240" w:lineRule="auto"/>
              <w:jc w:val="both"/>
              <w:rPr>
                <w:rFonts w:ascii="Arial" w:hAnsi="Arial"/>
                <w:b w:val="0"/>
                <w:sz w:val="20"/>
                <w:szCs w:val="20"/>
              </w:rPr>
            </w:pPr>
            <w:r w:rsidRPr="00833796">
              <w:rPr>
                <w:rFonts w:ascii="Arial" w:hAnsi="Arial"/>
                <w:b w:val="0"/>
                <w:sz w:val="20"/>
                <w:szCs w:val="20"/>
              </w:rPr>
              <w:t>D</w:t>
            </w:r>
            <w:r w:rsidR="007A2AB8" w:rsidRPr="00833796">
              <w:rPr>
                <w:rFonts w:ascii="Arial" w:hAnsi="Arial"/>
                <w:b w:val="0"/>
                <w:sz w:val="20"/>
                <w:szCs w:val="20"/>
              </w:rPr>
              <w:t>escribe how</w:t>
            </w:r>
            <w:r w:rsidR="008B57A3" w:rsidRPr="00833796">
              <w:rPr>
                <w:rFonts w:ascii="Arial" w:hAnsi="Arial"/>
                <w:b w:val="0"/>
                <w:sz w:val="20"/>
                <w:szCs w:val="20"/>
              </w:rPr>
              <w:t xml:space="preserve"> the request</w:t>
            </w:r>
            <w:r w:rsidR="005C07F4" w:rsidRPr="00833796">
              <w:rPr>
                <w:rFonts w:ascii="Arial" w:hAnsi="Arial"/>
                <w:b w:val="0"/>
                <w:sz w:val="20"/>
                <w:szCs w:val="20"/>
              </w:rPr>
              <w:t xml:space="preserve"> builds on lessons-learned from existing and other donors’ programs.</w:t>
            </w:r>
          </w:p>
        </w:tc>
      </w:tr>
    </w:tbl>
    <w:p w14:paraId="14A40DBE" w14:textId="4B6D2B20" w:rsidR="00975191" w:rsidRPr="009527D4" w:rsidRDefault="00095987" w:rsidP="00585E4F">
      <w:pPr>
        <w:spacing w:before="120" w:after="120" w:line="240" w:lineRule="auto"/>
        <w:jc w:val="both"/>
        <w:rPr>
          <w:rFonts w:ascii="Arial" w:eastAsia="MS Mincho" w:hAnsi="Arial"/>
          <w:b w:val="0"/>
        </w:rPr>
      </w:pPr>
      <w:r w:rsidRPr="009527D4">
        <w:rPr>
          <w:rFonts w:ascii="Arial" w:eastAsia="MS Mincho" w:hAnsi="Arial"/>
          <w:b w:val="0"/>
        </w:rPr>
        <w:t>The Republic of Kazakhstan is a country in Central Asia</w:t>
      </w:r>
      <w:r w:rsidR="002A79C7">
        <w:rPr>
          <w:rFonts w:ascii="Arial" w:eastAsia="MS Mincho" w:hAnsi="Arial"/>
          <w:b w:val="0"/>
        </w:rPr>
        <w:t xml:space="preserve">; it </w:t>
      </w:r>
      <w:r w:rsidRPr="009527D4">
        <w:rPr>
          <w:rFonts w:ascii="Arial" w:eastAsia="MS Mincho" w:hAnsi="Arial"/>
          <w:b w:val="0"/>
        </w:rPr>
        <w:t>is the ninth largest country in the world</w:t>
      </w:r>
      <w:r w:rsidR="002A79C7">
        <w:rPr>
          <w:rFonts w:ascii="Arial" w:eastAsia="MS Mincho" w:hAnsi="Arial"/>
          <w:b w:val="0"/>
        </w:rPr>
        <w:t xml:space="preserve"> </w:t>
      </w:r>
      <w:r w:rsidR="002A79C7" w:rsidRPr="009527D4">
        <w:rPr>
          <w:rFonts w:ascii="Arial" w:eastAsia="MS Mincho" w:hAnsi="Arial"/>
          <w:b w:val="0"/>
        </w:rPr>
        <w:t>by land area (2,724,900 sq.km)</w:t>
      </w:r>
      <w:r w:rsidRPr="009527D4">
        <w:rPr>
          <w:rFonts w:ascii="Arial" w:eastAsia="MS Mincho" w:hAnsi="Arial"/>
          <w:b w:val="0"/>
        </w:rPr>
        <w:t>. At the beginning of 201</w:t>
      </w:r>
      <w:r w:rsidR="00975191" w:rsidRPr="009527D4">
        <w:rPr>
          <w:rFonts w:ascii="Arial" w:eastAsia="MS Mincho" w:hAnsi="Arial"/>
          <w:b w:val="0"/>
        </w:rPr>
        <w:t>8</w:t>
      </w:r>
      <w:r w:rsidRPr="009527D4">
        <w:rPr>
          <w:rFonts w:ascii="Arial" w:eastAsia="MS Mincho" w:hAnsi="Arial"/>
          <w:b w:val="0"/>
        </w:rPr>
        <w:t xml:space="preserve">, the country population was </w:t>
      </w:r>
      <w:r w:rsidR="00975191" w:rsidRPr="009527D4">
        <w:rPr>
          <w:rFonts w:ascii="Arial" w:eastAsia="MS Mincho" w:hAnsi="Arial"/>
          <w:b w:val="0"/>
        </w:rPr>
        <w:t xml:space="preserve">18,157,377 </w:t>
      </w:r>
      <w:r w:rsidRPr="009527D4">
        <w:rPr>
          <w:rFonts w:ascii="Arial" w:eastAsia="MS Mincho" w:hAnsi="Arial"/>
          <w:b w:val="0"/>
        </w:rPr>
        <w:t>inhabitants</w:t>
      </w:r>
      <w:r w:rsidRPr="009527D4">
        <w:rPr>
          <w:rFonts w:ascii="Arial" w:eastAsia="MS Mincho" w:hAnsi="Arial"/>
          <w:b w:val="0"/>
          <w:vertAlign w:val="superscript"/>
        </w:rPr>
        <w:footnoteReference w:id="3"/>
      </w:r>
      <w:r w:rsidR="00975191" w:rsidRPr="009527D4">
        <w:rPr>
          <w:rFonts w:ascii="Arial" w:eastAsia="MS Mincho" w:hAnsi="Arial"/>
          <w:b w:val="0"/>
        </w:rPr>
        <w:t xml:space="preserve"> (urban – 57.4%, rural – 42.6%)</w:t>
      </w:r>
      <w:r w:rsidRPr="009527D4">
        <w:rPr>
          <w:rFonts w:ascii="Arial" w:eastAsia="MS Mincho" w:hAnsi="Arial"/>
          <w:b w:val="0"/>
        </w:rPr>
        <w:t>.</w:t>
      </w:r>
      <w:r w:rsidR="00975191" w:rsidRPr="009527D4">
        <w:rPr>
          <w:rFonts w:ascii="Arial" w:eastAsia="MS Mincho" w:hAnsi="Arial"/>
          <w:b w:val="0"/>
        </w:rPr>
        <w:t xml:space="preserve"> The population density is 6.7 people per </w:t>
      </w:r>
      <w:proofErr w:type="gramStart"/>
      <w:r w:rsidR="00975191" w:rsidRPr="009527D4">
        <w:rPr>
          <w:rFonts w:ascii="Arial" w:eastAsia="MS Mincho" w:hAnsi="Arial"/>
          <w:b w:val="0"/>
        </w:rPr>
        <w:t>1</w:t>
      </w:r>
      <w:proofErr w:type="gramEnd"/>
      <w:r w:rsidR="00975191" w:rsidRPr="009527D4">
        <w:rPr>
          <w:rFonts w:ascii="Arial" w:eastAsia="MS Mincho" w:hAnsi="Arial"/>
          <w:b w:val="0"/>
        </w:rPr>
        <w:t xml:space="preserve"> sq.</w:t>
      </w:r>
      <w:r w:rsidR="00B14371" w:rsidRPr="009527D4">
        <w:rPr>
          <w:rFonts w:ascii="Arial" w:eastAsia="MS Mincho" w:hAnsi="Arial"/>
          <w:b w:val="0"/>
        </w:rPr>
        <w:t>km.</w:t>
      </w:r>
    </w:p>
    <w:p w14:paraId="7B84BB0A" w14:textId="0E221846" w:rsidR="00975191" w:rsidRPr="009527D4" w:rsidRDefault="00975191" w:rsidP="00585E4F">
      <w:pPr>
        <w:spacing w:before="120" w:after="120" w:line="240" w:lineRule="auto"/>
        <w:jc w:val="both"/>
        <w:rPr>
          <w:rFonts w:ascii="Arial" w:eastAsia="MS Mincho" w:hAnsi="Arial"/>
          <w:b w:val="0"/>
        </w:rPr>
      </w:pPr>
      <w:r w:rsidRPr="009527D4">
        <w:rPr>
          <w:rFonts w:ascii="Arial" w:eastAsia="MS Mincho" w:hAnsi="Arial"/>
          <w:b w:val="0"/>
        </w:rPr>
        <w:t xml:space="preserve">The administrative division at the first level includes 17 regions: 14 oblasts and 3 cities – Astana, Almaty and </w:t>
      </w:r>
      <w:proofErr w:type="spellStart"/>
      <w:r w:rsidRPr="009527D4">
        <w:rPr>
          <w:rFonts w:ascii="Arial" w:eastAsia="MS Mincho" w:hAnsi="Arial"/>
          <w:b w:val="0"/>
        </w:rPr>
        <w:t>Shymkent</w:t>
      </w:r>
      <w:proofErr w:type="spellEnd"/>
      <w:r w:rsidRPr="009527D4">
        <w:rPr>
          <w:rFonts w:ascii="Arial" w:eastAsia="MS Mincho" w:hAnsi="Arial"/>
          <w:b w:val="0"/>
        </w:rPr>
        <w:t xml:space="preserve">. </w:t>
      </w:r>
      <w:proofErr w:type="gramStart"/>
      <w:r w:rsidRPr="009527D4">
        <w:rPr>
          <w:rFonts w:ascii="Arial" w:eastAsia="MS Mincho" w:hAnsi="Arial"/>
          <w:b w:val="0"/>
        </w:rPr>
        <w:t>Kazakhstan is ranked by the World Bank as an upper-middle income (UMI) country</w:t>
      </w:r>
      <w:proofErr w:type="gramEnd"/>
      <w:r w:rsidRPr="009527D4">
        <w:rPr>
          <w:rFonts w:ascii="Arial" w:eastAsia="MS Mincho" w:hAnsi="Arial"/>
          <w:b w:val="0"/>
        </w:rPr>
        <w:t>; Gross National Income (GNI) per capit</w:t>
      </w:r>
      <w:r w:rsidR="002A79C7">
        <w:rPr>
          <w:rFonts w:ascii="Arial" w:eastAsia="MS Mincho" w:hAnsi="Arial"/>
          <w:b w:val="0"/>
        </w:rPr>
        <w:t>a in 2017 was estimated at USD 7</w:t>
      </w:r>
      <w:r w:rsidRPr="009527D4">
        <w:rPr>
          <w:rFonts w:ascii="Arial" w:eastAsia="MS Mincho" w:hAnsi="Arial"/>
          <w:b w:val="0"/>
        </w:rPr>
        <w:t>,</w:t>
      </w:r>
      <w:r w:rsidR="002A79C7">
        <w:rPr>
          <w:rFonts w:ascii="Arial" w:eastAsia="MS Mincho" w:hAnsi="Arial"/>
          <w:b w:val="0"/>
        </w:rPr>
        <w:t>8</w:t>
      </w:r>
      <w:r w:rsidRPr="009527D4">
        <w:rPr>
          <w:rFonts w:ascii="Arial" w:eastAsia="MS Mincho" w:hAnsi="Arial"/>
          <w:b w:val="0"/>
        </w:rPr>
        <w:t>90 per capita</w:t>
      </w:r>
      <w:r w:rsidRPr="009527D4">
        <w:rPr>
          <w:rFonts w:ascii="Arial" w:eastAsia="MS Mincho" w:hAnsi="Arial"/>
          <w:b w:val="0"/>
          <w:vertAlign w:val="superscript"/>
        </w:rPr>
        <w:footnoteReference w:id="4"/>
      </w:r>
      <w:r w:rsidRPr="009527D4">
        <w:rPr>
          <w:rFonts w:ascii="Arial" w:eastAsia="MS Mincho" w:hAnsi="Arial"/>
          <w:b w:val="0"/>
        </w:rPr>
        <w:t>.</w:t>
      </w:r>
    </w:p>
    <w:p w14:paraId="5D2A5164" w14:textId="051C21C3" w:rsidR="00A33AF4" w:rsidRDefault="00095987" w:rsidP="00585E4F">
      <w:pPr>
        <w:spacing w:before="120" w:after="120" w:line="240" w:lineRule="auto"/>
        <w:jc w:val="both"/>
        <w:rPr>
          <w:rFonts w:ascii="Arial" w:eastAsia="MS Mincho" w:hAnsi="Arial"/>
          <w:b w:val="0"/>
        </w:rPr>
      </w:pPr>
      <w:r w:rsidRPr="009527D4">
        <w:rPr>
          <w:rFonts w:ascii="Arial" w:eastAsia="MS Mincho" w:hAnsi="Arial"/>
          <w:b w:val="0"/>
        </w:rPr>
        <w:t>Tuberculosis (TB) re-emerged as a</w:t>
      </w:r>
      <w:r w:rsidR="00A33AF4" w:rsidRPr="009527D4">
        <w:rPr>
          <w:rFonts w:ascii="Arial" w:eastAsia="MS Mincho" w:hAnsi="Arial"/>
          <w:b w:val="0"/>
        </w:rPr>
        <w:t>n important</w:t>
      </w:r>
      <w:r w:rsidRPr="009527D4">
        <w:rPr>
          <w:rFonts w:ascii="Arial" w:eastAsia="MS Mincho" w:hAnsi="Arial"/>
          <w:b w:val="0"/>
        </w:rPr>
        <w:t xml:space="preserve"> public health </w:t>
      </w:r>
      <w:r w:rsidR="00A33AF4" w:rsidRPr="009527D4">
        <w:rPr>
          <w:rFonts w:ascii="Arial" w:eastAsia="MS Mincho" w:hAnsi="Arial"/>
          <w:b w:val="0"/>
        </w:rPr>
        <w:t xml:space="preserve">challenge </w:t>
      </w:r>
      <w:r w:rsidRPr="009527D4">
        <w:rPr>
          <w:rFonts w:ascii="Arial" w:eastAsia="MS Mincho" w:hAnsi="Arial"/>
          <w:b w:val="0"/>
        </w:rPr>
        <w:t xml:space="preserve">in </w:t>
      </w:r>
      <w:r w:rsidR="00A33AF4" w:rsidRPr="009527D4">
        <w:rPr>
          <w:rFonts w:ascii="Arial" w:eastAsia="MS Mincho" w:hAnsi="Arial"/>
          <w:b w:val="0"/>
        </w:rPr>
        <w:t xml:space="preserve">the </w:t>
      </w:r>
      <w:r w:rsidRPr="009527D4">
        <w:rPr>
          <w:rFonts w:ascii="Arial" w:eastAsia="MS Mincho" w:hAnsi="Arial"/>
          <w:b w:val="0"/>
        </w:rPr>
        <w:t>1990s, and its burden remains high in K</w:t>
      </w:r>
      <w:r w:rsidR="00A33AF4" w:rsidRPr="009527D4">
        <w:rPr>
          <w:rFonts w:ascii="Arial" w:eastAsia="MS Mincho" w:hAnsi="Arial"/>
          <w:b w:val="0"/>
        </w:rPr>
        <w:t xml:space="preserve">azakhstan. </w:t>
      </w:r>
      <w:r w:rsidRPr="009527D4">
        <w:rPr>
          <w:rFonts w:ascii="Arial" w:eastAsia="MS Mincho" w:hAnsi="Arial"/>
          <w:b w:val="0"/>
        </w:rPr>
        <w:t>According to the latest WHO estimates for 201</w:t>
      </w:r>
      <w:r w:rsidR="00A33AF4" w:rsidRPr="009527D4">
        <w:rPr>
          <w:rFonts w:ascii="Arial" w:eastAsia="MS Mincho" w:hAnsi="Arial"/>
          <w:b w:val="0"/>
        </w:rPr>
        <w:t>7</w:t>
      </w:r>
      <w:r w:rsidRPr="009527D4">
        <w:rPr>
          <w:rFonts w:ascii="Arial" w:eastAsia="MS Mincho" w:hAnsi="Arial"/>
          <w:b w:val="0"/>
          <w:vertAlign w:val="superscript"/>
        </w:rPr>
        <w:footnoteReference w:id="5"/>
      </w:r>
      <w:r w:rsidRPr="009527D4">
        <w:rPr>
          <w:rFonts w:ascii="Arial" w:eastAsia="MS Mincho" w:hAnsi="Arial"/>
          <w:b w:val="0"/>
        </w:rPr>
        <w:t>, TB incidence</w:t>
      </w:r>
      <w:r w:rsidR="00A33AF4" w:rsidRPr="009527D4">
        <w:rPr>
          <w:rFonts w:ascii="Arial" w:eastAsia="MS Mincho" w:hAnsi="Arial"/>
          <w:b w:val="0"/>
        </w:rPr>
        <w:t xml:space="preserve"> (new cases and relapses)</w:t>
      </w:r>
      <w:r w:rsidRPr="009527D4">
        <w:rPr>
          <w:rFonts w:ascii="Arial" w:eastAsia="MS Mincho" w:hAnsi="Arial"/>
          <w:b w:val="0"/>
        </w:rPr>
        <w:t xml:space="preserve"> is </w:t>
      </w:r>
      <w:r w:rsidR="00A33AF4" w:rsidRPr="009527D4">
        <w:rPr>
          <w:rFonts w:ascii="Arial" w:eastAsia="MS Mincho" w:hAnsi="Arial"/>
          <w:b w:val="0"/>
        </w:rPr>
        <w:t>66</w:t>
      </w:r>
      <w:r w:rsidRPr="009527D4">
        <w:rPr>
          <w:rFonts w:ascii="Arial" w:eastAsia="MS Mincho" w:hAnsi="Arial"/>
          <w:b w:val="0"/>
        </w:rPr>
        <w:t xml:space="preserve"> per 100,000, which the </w:t>
      </w:r>
      <w:proofErr w:type="gramStart"/>
      <w:r w:rsidR="00A33AF4" w:rsidRPr="009527D4">
        <w:rPr>
          <w:rFonts w:ascii="Arial" w:eastAsia="MS Mincho" w:hAnsi="Arial"/>
          <w:b w:val="0"/>
        </w:rPr>
        <w:t>9</w:t>
      </w:r>
      <w:r w:rsidR="00A33AF4" w:rsidRPr="009527D4">
        <w:rPr>
          <w:rFonts w:ascii="Arial" w:eastAsia="MS Mincho" w:hAnsi="Arial"/>
          <w:b w:val="0"/>
          <w:vertAlign w:val="superscript"/>
        </w:rPr>
        <w:t>th</w:t>
      </w:r>
      <w:proofErr w:type="gramEnd"/>
      <w:r w:rsidR="00A33AF4" w:rsidRPr="009527D4">
        <w:rPr>
          <w:rFonts w:ascii="Arial" w:eastAsia="MS Mincho" w:hAnsi="Arial"/>
          <w:b w:val="0"/>
        </w:rPr>
        <w:t xml:space="preserve"> </w:t>
      </w:r>
      <w:r w:rsidRPr="009527D4">
        <w:rPr>
          <w:rFonts w:ascii="Arial" w:eastAsia="MS Mincho" w:hAnsi="Arial"/>
          <w:b w:val="0"/>
        </w:rPr>
        <w:t>highest level among 53 countries of the WHO Europe</w:t>
      </w:r>
      <w:r w:rsidR="00A33AF4" w:rsidRPr="009527D4">
        <w:rPr>
          <w:rFonts w:ascii="Arial" w:eastAsia="MS Mincho" w:hAnsi="Arial"/>
          <w:b w:val="0"/>
        </w:rPr>
        <w:t>an Region.</w:t>
      </w:r>
      <w:r w:rsidR="00B14371" w:rsidRPr="009527D4">
        <w:rPr>
          <w:rFonts w:ascii="Arial" w:eastAsia="MS Mincho" w:hAnsi="Arial"/>
          <w:b w:val="0"/>
        </w:rPr>
        <w:t xml:space="preserve"> Over the last decade, the estimated TB incidence in </w:t>
      </w:r>
      <w:r w:rsidR="00B14371" w:rsidRPr="00AF3487">
        <w:rPr>
          <w:rFonts w:ascii="Arial" w:eastAsia="MS Mincho" w:hAnsi="Arial"/>
          <w:b w:val="0"/>
        </w:rPr>
        <w:t xml:space="preserve">Kazakhstan substantially </w:t>
      </w:r>
      <w:r w:rsidR="00B14371" w:rsidRPr="00F6601E">
        <w:rPr>
          <w:rFonts w:ascii="Arial" w:eastAsia="MS Mincho" w:hAnsi="Arial"/>
          <w:b w:val="0"/>
        </w:rPr>
        <w:t>decreased</w:t>
      </w:r>
      <w:r w:rsidR="00DB0910" w:rsidRPr="00F6601E">
        <w:rPr>
          <w:rFonts w:ascii="Arial" w:eastAsia="MS Mincho" w:hAnsi="Arial"/>
          <w:b w:val="0"/>
        </w:rPr>
        <w:t xml:space="preserve"> (Figure 1)</w:t>
      </w:r>
      <w:r w:rsidR="00B14371" w:rsidRPr="00F6601E">
        <w:rPr>
          <w:rFonts w:ascii="Arial" w:eastAsia="MS Mincho" w:hAnsi="Arial"/>
          <w:b w:val="0"/>
        </w:rPr>
        <w:t xml:space="preserve">: </w:t>
      </w:r>
      <w:proofErr w:type="gramStart"/>
      <w:r w:rsidR="00B14371" w:rsidRPr="00F6601E">
        <w:rPr>
          <w:rFonts w:ascii="Arial" w:eastAsia="MS Mincho" w:hAnsi="Arial"/>
          <w:b w:val="0"/>
        </w:rPr>
        <w:t xml:space="preserve">from over 150 cases per 100,000 in 2008-2009 to 66 </w:t>
      </w:r>
      <w:r w:rsidR="004F3D67" w:rsidRPr="00F6601E">
        <w:rPr>
          <w:rFonts w:ascii="Arial" w:eastAsia="MS Mincho" w:hAnsi="Arial"/>
          <w:b w:val="0"/>
        </w:rPr>
        <w:t>per</w:t>
      </w:r>
      <w:r w:rsidR="00B14371" w:rsidRPr="00F6601E">
        <w:rPr>
          <w:rFonts w:ascii="Arial" w:eastAsia="MS Mincho" w:hAnsi="Arial"/>
          <w:b w:val="0"/>
        </w:rPr>
        <w:t xml:space="preserve"> 100,000 in 2017</w:t>
      </w:r>
      <w:proofErr w:type="gramEnd"/>
      <w:r w:rsidR="00B14371" w:rsidRPr="00F6601E">
        <w:rPr>
          <w:rFonts w:ascii="Arial" w:eastAsia="MS Mincho" w:hAnsi="Arial"/>
          <w:b w:val="0"/>
        </w:rPr>
        <w:t xml:space="preserve">. </w:t>
      </w:r>
      <w:proofErr w:type="gramStart"/>
      <w:r w:rsidR="00B14371" w:rsidRPr="00F6601E">
        <w:rPr>
          <w:rFonts w:ascii="Arial" w:eastAsia="MS Mincho" w:hAnsi="Arial"/>
          <w:b w:val="0"/>
        </w:rPr>
        <w:t>The WHO</w:t>
      </w:r>
      <w:proofErr w:type="gramEnd"/>
      <w:r w:rsidR="00B14371" w:rsidRPr="00F6601E">
        <w:rPr>
          <w:rFonts w:ascii="Arial" w:eastAsia="MS Mincho" w:hAnsi="Arial"/>
          <w:b w:val="0"/>
        </w:rPr>
        <w:t>-estimated TB mortality is relatively low (0.89 cases per 100,000 excluding TB/HIV and 0.20 / 100,000 from HIV-associated TB)</w:t>
      </w:r>
      <w:r w:rsidR="00883EFD" w:rsidRPr="00F6601E">
        <w:t xml:space="preserve"> </w:t>
      </w:r>
      <w:r w:rsidR="00883EFD" w:rsidRPr="00F6601E">
        <w:rPr>
          <w:rFonts w:ascii="Arial" w:eastAsia="MS Mincho" w:hAnsi="Arial"/>
          <w:b w:val="0"/>
        </w:rPr>
        <w:t>(Figure 2)</w:t>
      </w:r>
      <w:r w:rsidR="00B14371" w:rsidRPr="00F6601E">
        <w:rPr>
          <w:rFonts w:ascii="Arial" w:eastAsia="MS Mincho" w:hAnsi="Arial"/>
          <w:b w:val="0"/>
        </w:rPr>
        <w:t>.</w:t>
      </w:r>
    </w:p>
    <w:p w14:paraId="15EF73AC" w14:textId="1E355C89" w:rsidR="00DB0910" w:rsidRDefault="00DB0910" w:rsidP="00585E4F">
      <w:pPr>
        <w:spacing w:before="120" w:after="120" w:line="240" w:lineRule="auto"/>
        <w:jc w:val="both"/>
        <w:rPr>
          <w:rFonts w:ascii="Arial" w:eastAsia="MS Mincho" w:hAnsi="Arial"/>
          <w:b w:val="0"/>
        </w:rPr>
      </w:pPr>
    </w:p>
    <w:p w14:paraId="002BBF74" w14:textId="295C63CA" w:rsidR="00DB0910" w:rsidRDefault="00DB0910" w:rsidP="00585E4F">
      <w:pPr>
        <w:spacing w:before="120" w:after="120" w:line="240" w:lineRule="auto"/>
        <w:jc w:val="both"/>
        <w:rPr>
          <w:rFonts w:ascii="Arial" w:eastAsia="MS Mincho" w:hAnsi="Arial"/>
          <w:b w:val="0"/>
        </w:rPr>
      </w:pPr>
    </w:p>
    <w:p w14:paraId="586CFB06" w14:textId="67E6F7B5" w:rsidR="00DB0910" w:rsidRDefault="00DB0910" w:rsidP="00585E4F">
      <w:pPr>
        <w:spacing w:before="120" w:after="120" w:line="240" w:lineRule="auto"/>
        <w:jc w:val="both"/>
        <w:rPr>
          <w:rFonts w:ascii="Arial" w:eastAsia="MS Mincho" w:hAnsi="Arial"/>
          <w:b w:val="0"/>
        </w:rPr>
      </w:pPr>
    </w:p>
    <w:p w14:paraId="22B9D57D" w14:textId="4E3FE41E" w:rsidR="00DB0910" w:rsidRDefault="00DB0910" w:rsidP="00585E4F">
      <w:pPr>
        <w:spacing w:before="120" w:after="120" w:line="240" w:lineRule="auto"/>
        <w:jc w:val="both"/>
        <w:rPr>
          <w:rFonts w:ascii="Arial" w:eastAsia="MS Mincho" w:hAnsi="Arial"/>
          <w:b w:val="0"/>
        </w:rPr>
      </w:pPr>
    </w:p>
    <w:tbl>
      <w:tblPr>
        <w:tblW w:w="9062" w:type="dxa"/>
        <w:jc w:val="center"/>
        <w:tblLayout w:type="fixed"/>
        <w:tblLook w:val="04A0" w:firstRow="1" w:lastRow="0" w:firstColumn="1" w:lastColumn="0" w:noHBand="0" w:noVBand="1"/>
      </w:tblPr>
      <w:tblGrid>
        <w:gridCol w:w="4531"/>
        <w:gridCol w:w="4531"/>
      </w:tblGrid>
      <w:tr w:rsidR="00DC10C1" w:rsidRPr="009527D4" w14:paraId="35AF6C96" w14:textId="77777777" w:rsidTr="00DB0910">
        <w:trPr>
          <w:jc w:val="center"/>
        </w:trPr>
        <w:tc>
          <w:tcPr>
            <w:tcW w:w="4531" w:type="dxa"/>
            <w:shd w:val="clear" w:color="auto" w:fill="auto"/>
            <w:tcMar>
              <w:left w:w="28" w:type="dxa"/>
              <w:right w:w="28" w:type="dxa"/>
            </w:tcMar>
          </w:tcPr>
          <w:p w14:paraId="6D56D72C" w14:textId="2584345A" w:rsidR="00DC10C1" w:rsidRPr="00F6601E" w:rsidRDefault="00DC10C1" w:rsidP="00F63B4F">
            <w:pPr>
              <w:spacing w:after="0" w:line="240" w:lineRule="auto"/>
              <w:jc w:val="center"/>
              <w:rPr>
                <w:rFonts w:ascii="Arial" w:eastAsia="MS Mincho" w:hAnsi="Arial"/>
                <w:sz w:val="20"/>
                <w:szCs w:val="20"/>
              </w:rPr>
            </w:pPr>
            <w:r w:rsidRPr="00F6601E">
              <w:rPr>
                <w:rFonts w:ascii="Arial" w:eastAsia="MS Mincho" w:hAnsi="Arial"/>
                <w:sz w:val="20"/>
                <w:szCs w:val="20"/>
              </w:rPr>
              <w:lastRenderedPageBreak/>
              <w:t xml:space="preserve">Fig. 1. WHO-estimated TB incidence (all forms) in Kazakhstan per 100,000 population, </w:t>
            </w:r>
            <w:r w:rsidR="00DB0910" w:rsidRPr="00F6601E">
              <w:rPr>
                <w:rFonts w:ascii="Arial" w:eastAsia="MS Mincho" w:hAnsi="Arial"/>
                <w:sz w:val="20"/>
                <w:szCs w:val="20"/>
              </w:rPr>
              <w:br/>
            </w:r>
            <w:r w:rsidRPr="00F6601E">
              <w:rPr>
                <w:rFonts w:ascii="Arial" w:eastAsia="MS Mincho" w:hAnsi="Arial"/>
                <w:sz w:val="20"/>
                <w:szCs w:val="20"/>
              </w:rPr>
              <w:t>2008-2017</w:t>
            </w:r>
          </w:p>
        </w:tc>
        <w:tc>
          <w:tcPr>
            <w:tcW w:w="4531" w:type="dxa"/>
            <w:shd w:val="clear" w:color="auto" w:fill="auto"/>
            <w:tcMar>
              <w:left w:w="28" w:type="dxa"/>
              <w:right w:w="28" w:type="dxa"/>
            </w:tcMar>
          </w:tcPr>
          <w:p w14:paraId="37899F42" w14:textId="4F2FA08F" w:rsidR="00DC10C1" w:rsidRPr="00F6601E" w:rsidRDefault="00DC10C1" w:rsidP="00F63B4F">
            <w:pPr>
              <w:spacing w:after="0" w:line="240" w:lineRule="auto"/>
              <w:jc w:val="center"/>
              <w:rPr>
                <w:rFonts w:ascii="Arial" w:eastAsia="MS Mincho" w:hAnsi="Arial"/>
                <w:b w:val="0"/>
                <w:sz w:val="20"/>
                <w:szCs w:val="20"/>
              </w:rPr>
            </w:pPr>
            <w:r w:rsidRPr="00F6601E">
              <w:rPr>
                <w:rFonts w:ascii="Arial" w:eastAsia="MS Mincho" w:hAnsi="Arial"/>
                <w:sz w:val="20"/>
                <w:szCs w:val="20"/>
              </w:rPr>
              <w:t>Fig. 2. WHO-estimated mortality of TB cases (all forms) in Kazakhstan per 100,000 population, 2008-2017</w:t>
            </w:r>
          </w:p>
        </w:tc>
      </w:tr>
      <w:tr w:rsidR="00DC10C1" w:rsidRPr="009527D4" w14:paraId="7D0470EF" w14:textId="77777777" w:rsidTr="00DB0910">
        <w:trPr>
          <w:jc w:val="center"/>
        </w:trPr>
        <w:tc>
          <w:tcPr>
            <w:tcW w:w="4531" w:type="dxa"/>
            <w:shd w:val="clear" w:color="auto" w:fill="auto"/>
            <w:tcMar>
              <w:left w:w="28" w:type="dxa"/>
              <w:right w:w="28" w:type="dxa"/>
            </w:tcMar>
          </w:tcPr>
          <w:p w14:paraId="25E58684" w14:textId="23E4F7DA" w:rsidR="00DC10C1" w:rsidRPr="009527D4" w:rsidRDefault="00DB0910" w:rsidP="00F63B4F">
            <w:pPr>
              <w:spacing w:after="0" w:line="240" w:lineRule="auto"/>
              <w:jc w:val="center"/>
              <w:rPr>
                <w:rFonts w:ascii="Arial" w:eastAsia="MS Mincho" w:hAnsi="Arial"/>
                <w:b w:val="0"/>
              </w:rPr>
            </w:pPr>
            <w:r>
              <w:rPr>
                <w:rFonts w:ascii="Arial" w:eastAsia="MS Mincho" w:hAnsi="Arial"/>
                <w:b w:val="0"/>
                <w:noProof/>
              </w:rPr>
              <w:drawing>
                <wp:inline distT="0" distB="0" distL="0" distR="0" wp14:anchorId="7D6FAE74" wp14:editId="1E3039CC">
                  <wp:extent cx="2844800" cy="24419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7103" cy="2469652"/>
                          </a:xfrm>
                          <a:prstGeom prst="rect">
                            <a:avLst/>
                          </a:prstGeom>
                          <a:noFill/>
                        </pic:spPr>
                      </pic:pic>
                    </a:graphicData>
                  </a:graphic>
                </wp:inline>
              </w:drawing>
            </w:r>
          </w:p>
        </w:tc>
        <w:tc>
          <w:tcPr>
            <w:tcW w:w="4531" w:type="dxa"/>
            <w:shd w:val="clear" w:color="auto" w:fill="auto"/>
            <w:tcMar>
              <w:left w:w="28" w:type="dxa"/>
              <w:right w:w="28" w:type="dxa"/>
            </w:tcMar>
          </w:tcPr>
          <w:p w14:paraId="71664F7D" w14:textId="69A9F0E2" w:rsidR="00DC10C1" w:rsidRPr="009527D4" w:rsidRDefault="00DB0910" w:rsidP="00F63B4F">
            <w:pPr>
              <w:spacing w:after="0" w:line="240" w:lineRule="auto"/>
              <w:jc w:val="center"/>
              <w:rPr>
                <w:rFonts w:ascii="Arial" w:eastAsia="MS Mincho" w:hAnsi="Arial"/>
                <w:b w:val="0"/>
              </w:rPr>
            </w:pPr>
            <w:r>
              <w:rPr>
                <w:rFonts w:ascii="Arial" w:eastAsia="MS Mincho" w:hAnsi="Arial"/>
                <w:b w:val="0"/>
                <w:noProof/>
              </w:rPr>
              <w:drawing>
                <wp:inline distT="0" distB="0" distL="0" distR="0" wp14:anchorId="5B49B817" wp14:editId="7F07CA6F">
                  <wp:extent cx="2837180" cy="244157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9173" cy="2486318"/>
                          </a:xfrm>
                          <a:prstGeom prst="rect">
                            <a:avLst/>
                          </a:prstGeom>
                          <a:noFill/>
                        </pic:spPr>
                      </pic:pic>
                    </a:graphicData>
                  </a:graphic>
                </wp:inline>
              </w:drawing>
            </w:r>
          </w:p>
        </w:tc>
      </w:tr>
      <w:tr w:rsidR="00DB0910" w:rsidRPr="00F6601E" w14:paraId="072011BA" w14:textId="77777777" w:rsidTr="00DB0910">
        <w:trPr>
          <w:jc w:val="center"/>
        </w:trPr>
        <w:tc>
          <w:tcPr>
            <w:tcW w:w="9062" w:type="dxa"/>
            <w:gridSpan w:val="2"/>
            <w:shd w:val="clear" w:color="auto" w:fill="auto"/>
            <w:tcMar>
              <w:left w:w="28" w:type="dxa"/>
              <w:right w:w="28" w:type="dxa"/>
            </w:tcMar>
          </w:tcPr>
          <w:p w14:paraId="30C4C0AA" w14:textId="24F49D78" w:rsidR="00DB0910" w:rsidRPr="00F6601E" w:rsidRDefault="00DB0910" w:rsidP="00F63B4F">
            <w:pPr>
              <w:spacing w:after="0" w:line="240" w:lineRule="auto"/>
              <w:jc w:val="center"/>
              <w:rPr>
                <w:rFonts w:ascii="Arial" w:eastAsia="MS Mincho" w:hAnsi="Arial"/>
                <w:b w:val="0"/>
                <w:sz w:val="18"/>
                <w:szCs w:val="18"/>
              </w:rPr>
            </w:pPr>
            <w:r w:rsidRPr="00F6601E">
              <w:rPr>
                <w:rFonts w:ascii="Arial" w:eastAsia="MS Mincho" w:hAnsi="Arial"/>
                <w:b w:val="0"/>
                <w:i/>
                <w:sz w:val="18"/>
                <w:szCs w:val="18"/>
              </w:rPr>
              <w:t>Source</w:t>
            </w:r>
            <w:r w:rsidRPr="00F6601E">
              <w:rPr>
                <w:rFonts w:ascii="Arial" w:eastAsia="MS Mincho" w:hAnsi="Arial"/>
                <w:b w:val="0"/>
                <w:sz w:val="18"/>
                <w:szCs w:val="18"/>
              </w:rPr>
              <w:t xml:space="preserve">: WHO Global TB Database, </w:t>
            </w:r>
            <w:hyperlink r:id="rId19" w:history="1">
              <w:r w:rsidRPr="00F6601E">
                <w:rPr>
                  <w:rStyle w:val="Hyperlink"/>
                  <w:rFonts w:ascii="Arial" w:eastAsia="MS Mincho" w:hAnsi="Arial" w:cs="Arial"/>
                  <w:b w:val="0"/>
                  <w:sz w:val="18"/>
                  <w:szCs w:val="18"/>
                </w:rPr>
                <w:t>https://www.who.int/tb/data/en/</w:t>
              </w:r>
            </w:hyperlink>
          </w:p>
        </w:tc>
      </w:tr>
    </w:tbl>
    <w:p w14:paraId="74FA00B8" w14:textId="60D956EA" w:rsidR="002A79C7" w:rsidRPr="009527D4" w:rsidRDefault="006163E1" w:rsidP="00585E4F">
      <w:pPr>
        <w:spacing w:before="120" w:after="120" w:line="240" w:lineRule="auto"/>
        <w:jc w:val="both"/>
        <w:rPr>
          <w:rFonts w:ascii="Arial" w:eastAsia="MS Mincho" w:hAnsi="Arial"/>
          <w:b w:val="0"/>
        </w:rPr>
      </w:pPr>
      <w:r w:rsidRPr="00F6601E">
        <w:rPr>
          <w:rFonts w:ascii="Arial" w:eastAsia="MS Mincho" w:hAnsi="Arial"/>
          <w:b w:val="0"/>
        </w:rPr>
        <w:t xml:space="preserve">As shown in Figures </w:t>
      </w:r>
      <w:r w:rsidR="00DB0910" w:rsidRPr="00F6601E">
        <w:rPr>
          <w:rFonts w:ascii="Arial" w:eastAsia="MS Mincho" w:hAnsi="Arial"/>
          <w:b w:val="0"/>
        </w:rPr>
        <w:t>3</w:t>
      </w:r>
      <w:r w:rsidRPr="00F6601E">
        <w:rPr>
          <w:rFonts w:ascii="Arial" w:eastAsia="MS Mincho" w:hAnsi="Arial"/>
          <w:b w:val="0"/>
        </w:rPr>
        <w:t xml:space="preserve"> and </w:t>
      </w:r>
      <w:r w:rsidR="00DB0910" w:rsidRPr="00F6601E">
        <w:rPr>
          <w:rFonts w:ascii="Arial" w:eastAsia="MS Mincho" w:hAnsi="Arial"/>
          <w:b w:val="0"/>
        </w:rPr>
        <w:t>4</w:t>
      </w:r>
      <w:r w:rsidRPr="00F6601E">
        <w:rPr>
          <w:rFonts w:ascii="Arial" w:eastAsia="MS Mincho" w:hAnsi="Arial"/>
          <w:b w:val="0"/>
        </w:rPr>
        <w:t xml:space="preserve"> below, during the last ten years the annual </w:t>
      </w:r>
      <w:r w:rsidR="009527D4" w:rsidRPr="00F6601E">
        <w:rPr>
          <w:rFonts w:ascii="Arial" w:eastAsia="MS Mincho" w:hAnsi="Arial"/>
          <w:b w:val="0"/>
        </w:rPr>
        <w:t>number</w:t>
      </w:r>
      <w:r w:rsidRPr="00F6601E">
        <w:rPr>
          <w:rFonts w:ascii="Arial" w:eastAsia="MS Mincho" w:hAnsi="Arial"/>
          <w:b w:val="0"/>
        </w:rPr>
        <w:t xml:space="preserve"> of notified cases of active TB more than halved; the case notification rate per 100,000 decreased for new case from 125.6 to 52.2 (by 58.4%), and for all TB cases – from 184.5 to 79.1 (by 57.1%). At the same time, the proportion of previously treated cases remains high: in 2017, they accounted for 34.0% of all notified active TB cases</w:t>
      </w:r>
      <w:r w:rsidRPr="009527D4">
        <w:rPr>
          <w:rFonts w:ascii="Arial" w:eastAsia="MS Mincho" w:hAnsi="Arial"/>
          <w:b w:val="0"/>
        </w:rPr>
        <w:t>.</w:t>
      </w:r>
    </w:p>
    <w:tbl>
      <w:tblPr>
        <w:tblW w:w="9062" w:type="dxa"/>
        <w:jc w:val="center"/>
        <w:tblLayout w:type="fixed"/>
        <w:tblLook w:val="04A0" w:firstRow="1" w:lastRow="0" w:firstColumn="1" w:lastColumn="0" w:noHBand="0" w:noVBand="1"/>
      </w:tblPr>
      <w:tblGrid>
        <w:gridCol w:w="4531"/>
        <w:gridCol w:w="4531"/>
      </w:tblGrid>
      <w:tr w:rsidR="00507CAA" w:rsidRPr="009527D4" w14:paraId="2BA15759" w14:textId="77777777" w:rsidTr="00A64954">
        <w:trPr>
          <w:jc w:val="center"/>
        </w:trPr>
        <w:tc>
          <w:tcPr>
            <w:tcW w:w="4531" w:type="dxa"/>
            <w:shd w:val="clear" w:color="auto" w:fill="auto"/>
            <w:tcMar>
              <w:left w:w="28" w:type="dxa"/>
              <w:right w:w="28" w:type="dxa"/>
            </w:tcMar>
          </w:tcPr>
          <w:p w14:paraId="334BFDE7" w14:textId="6B59A1E1" w:rsidR="00507CAA" w:rsidRPr="00F6601E" w:rsidRDefault="006163E1" w:rsidP="00585E4F">
            <w:pPr>
              <w:spacing w:after="0" w:line="240" w:lineRule="auto"/>
              <w:jc w:val="center"/>
              <w:rPr>
                <w:rFonts w:ascii="Arial" w:eastAsia="MS Mincho" w:hAnsi="Arial"/>
                <w:sz w:val="20"/>
                <w:szCs w:val="20"/>
              </w:rPr>
            </w:pPr>
            <w:bookmarkStart w:id="0" w:name="_Hlk534894994"/>
            <w:r w:rsidRPr="00F6601E">
              <w:rPr>
                <w:rFonts w:ascii="Arial" w:eastAsia="MS Mincho" w:hAnsi="Arial"/>
                <w:sz w:val="20"/>
                <w:szCs w:val="20"/>
              </w:rPr>
              <w:t xml:space="preserve">Fig. </w:t>
            </w:r>
            <w:r w:rsidR="00DB0910" w:rsidRPr="00F6601E">
              <w:rPr>
                <w:rFonts w:ascii="Arial" w:eastAsia="MS Mincho" w:hAnsi="Arial"/>
                <w:sz w:val="20"/>
                <w:szCs w:val="20"/>
              </w:rPr>
              <w:t>3</w:t>
            </w:r>
            <w:r w:rsidR="00507CAA" w:rsidRPr="00F6601E">
              <w:rPr>
                <w:rFonts w:ascii="Arial" w:eastAsia="MS Mincho" w:hAnsi="Arial"/>
                <w:sz w:val="20"/>
                <w:szCs w:val="20"/>
              </w:rPr>
              <w:t xml:space="preserve">. </w:t>
            </w:r>
            <w:r w:rsidRPr="00F6601E">
              <w:rPr>
                <w:rFonts w:ascii="Arial" w:eastAsia="MS Mincho" w:hAnsi="Arial"/>
                <w:sz w:val="20"/>
                <w:szCs w:val="20"/>
              </w:rPr>
              <w:t xml:space="preserve">Annual number of notified TB cases in Kazakhstan, </w:t>
            </w:r>
            <w:r w:rsidR="00507CAA" w:rsidRPr="00F6601E">
              <w:rPr>
                <w:rFonts w:ascii="Arial" w:eastAsia="MS Mincho" w:hAnsi="Arial"/>
                <w:sz w:val="20"/>
                <w:szCs w:val="20"/>
              </w:rPr>
              <w:t>2008-2017</w:t>
            </w:r>
          </w:p>
        </w:tc>
        <w:tc>
          <w:tcPr>
            <w:tcW w:w="4531" w:type="dxa"/>
            <w:shd w:val="clear" w:color="auto" w:fill="auto"/>
            <w:tcMar>
              <w:left w:w="28" w:type="dxa"/>
              <w:right w:w="28" w:type="dxa"/>
            </w:tcMar>
          </w:tcPr>
          <w:p w14:paraId="0558682E" w14:textId="2BD63AC0" w:rsidR="00507CAA" w:rsidRPr="009527D4" w:rsidRDefault="006163E1" w:rsidP="00585E4F">
            <w:pPr>
              <w:spacing w:after="0" w:line="240" w:lineRule="auto"/>
              <w:jc w:val="center"/>
              <w:rPr>
                <w:rFonts w:ascii="Arial" w:eastAsia="MS Mincho" w:hAnsi="Arial"/>
                <w:b w:val="0"/>
                <w:sz w:val="20"/>
                <w:szCs w:val="20"/>
              </w:rPr>
            </w:pPr>
            <w:r w:rsidRPr="00F6601E">
              <w:rPr>
                <w:rFonts w:ascii="Arial" w:eastAsia="MS Mincho" w:hAnsi="Arial"/>
                <w:sz w:val="20"/>
                <w:szCs w:val="20"/>
              </w:rPr>
              <w:t xml:space="preserve">Fig. </w:t>
            </w:r>
            <w:r w:rsidR="00DB0910" w:rsidRPr="00F6601E">
              <w:rPr>
                <w:rFonts w:ascii="Arial" w:eastAsia="MS Mincho" w:hAnsi="Arial"/>
                <w:sz w:val="20"/>
                <w:szCs w:val="20"/>
              </w:rPr>
              <w:t>4</w:t>
            </w:r>
            <w:r w:rsidR="00507CAA" w:rsidRPr="00F6601E">
              <w:rPr>
                <w:rFonts w:ascii="Arial" w:eastAsia="MS Mincho" w:hAnsi="Arial"/>
                <w:sz w:val="20"/>
                <w:szCs w:val="20"/>
              </w:rPr>
              <w:t xml:space="preserve">. </w:t>
            </w:r>
            <w:r w:rsidRPr="00F6601E">
              <w:rPr>
                <w:rFonts w:ascii="Arial" w:eastAsia="MS Mincho" w:hAnsi="Arial"/>
                <w:sz w:val="20"/>
                <w:szCs w:val="20"/>
              </w:rPr>
              <w:t xml:space="preserve">TB case notification rates in Kazakhstan per 100,000 population, </w:t>
            </w:r>
            <w:r w:rsidR="00507CAA" w:rsidRPr="00F6601E">
              <w:rPr>
                <w:rFonts w:ascii="Arial" w:eastAsia="MS Mincho" w:hAnsi="Arial"/>
                <w:sz w:val="20"/>
                <w:szCs w:val="20"/>
              </w:rPr>
              <w:t>2008-2017</w:t>
            </w:r>
          </w:p>
        </w:tc>
      </w:tr>
      <w:tr w:rsidR="00507CAA" w:rsidRPr="009527D4" w14:paraId="45DCA49C" w14:textId="77777777" w:rsidTr="00A64954">
        <w:trPr>
          <w:jc w:val="center"/>
        </w:trPr>
        <w:tc>
          <w:tcPr>
            <w:tcW w:w="4531" w:type="dxa"/>
            <w:shd w:val="clear" w:color="auto" w:fill="auto"/>
            <w:tcMar>
              <w:left w:w="28" w:type="dxa"/>
              <w:right w:w="28" w:type="dxa"/>
            </w:tcMar>
          </w:tcPr>
          <w:p w14:paraId="67A0B25E" w14:textId="16311BB4" w:rsidR="00507CAA" w:rsidRPr="009527D4" w:rsidRDefault="006163E1" w:rsidP="00585E4F">
            <w:pPr>
              <w:spacing w:after="0" w:line="240" w:lineRule="auto"/>
              <w:jc w:val="center"/>
              <w:rPr>
                <w:rFonts w:ascii="Arial" w:eastAsia="MS Mincho" w:hAnsi="Arial"/>
                <w:b w:val="0"/>
              </w:rPr>
            </w:pPr>
            <w:r w:rsidRPr="009527D4">
              <w:rPr>
                <w:rFonts w:ascii="Arial" w:eastAsia="MS Mincho" w:hAnsi="Arial"/>
                <w:b w:val="0"/>
                <w:noProof/>
              </w:rPr>
              <w:drawing>
                <wp:inline distT="0" distB="0" distL="0" distR="0" wp14:anchorId="75008DFF" wp14:editId="7B231EAE">
                  <wp:extent cx="2850714" cy="2719705"/>
                  <wp:effectExtent l="0" t="0" r="698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2542" cy="2750071"/>
                          </a:xfrm>
                          <a:prstGeom prst="rect">
                            <a:avLst/>
                          </a:prstGeom>
                          <a:noFill/>
                        </pic:spPr>
                      </pic:pic>
                    </a:graphicData>
                  </a:graphic>
                </wp:inline>
              </w:drawing>
            </w:r>
          </w:p>
        </w:tc>
        <w:tc>
          <w:tcPr>
            <w:tcW w:w="4531" w:type="dxa"/>
            <w:shd w:val="clear" w:color="auto" w:fill="auto"/>
            <w:tcMar>
              <w:left w:w="28" w:type="dxa"/>
              <w:right w:w="28" w:type="dxa"/>
            </w:tcMar>
          </w:tcPr>
          <w:p w14:paraId="1AE7B377" w14:textId="391EA7EC" w:rsidR="00507CAA" w:rsidRPr="009527D4" w:rsidRDefault="006163E1" w:rsidP="00585E4F">
            <w:pPr>
              <w:spacing w:after="0" w:line="240" w:lineRule="auto"/>
              <w:jc w:val="center"/>
              <w:rPr>
                <w:rFonts w:ascii="Arial" w:eastAsia="MS Mincho" w:hAnsi="Arial"/>
                <w:b w:val="0"/>
              </w:rPr>
            </w:pPr>
            <w:r w:rsidRPr="009527D4">
              <w:rPr>
                <w:rFonts w:ascii="Arial" w:eastAsia="MS Mincho" w:hAnsi="Arial"/>
                <w:b w:val="0"/>
                <w:noProof/>
              </w:rPr>
              <w:drawing>
                <wp:inline distT="0" distB="0" distL="0" distR="0" wp14:anchorId="681CD47C" wp14:editId="234BD13C">
                  <wp:extent cx="2832100" cy="2719705"/>
                  <wp:effectExtent l="0" t="0" r="635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6667" cy="2772106"/>
                          </a:xfrm>
                          <a:prstGeom prst="rect">
                            <a:avLst/>
                          </a:prstGeom>
                          <a:noFill/>
                        </pic:spPr>
                      </pic:pic>
                    </a:graphicData>
                  </a:graphic>
                </wp:inline>
              </w:drawing>
            </w:r>
          </w:p>
        </w:tc>
      </w:tr>
      <w:bookmarkEnd w:id="0"/>
      <w:tr w:rsidR="00A64954" w:rsidRPr="009527D4" w14:paraId="2105C00D" w14:textId="77777777" w:rsidTr="00A64954">
        <w:trPr>
          <w:jc w:val="center"/>
        </w:trPr>
        <w:tc>
          <w:tcPr>
            <w:tcW w:w="9062" w:type="dxa"/>
            <w:gridSpan w:val="2"/>
            <w:shd w:val="clear" w:color="auto" w:fill="auto"/>
            <w:tcMar>
              <w:left w:w="28" w:type="dxa"/>
              <w:right w:w="28" w:type="dxa"/>
            </w:tcMar>
          </w:tcPr>
          <w:p w14:paraId="7E54CAC7" w14:textId="77777777" w:rsidR="00DB0910" w:rsidRDefault="00DB0910" w:rsidP="00DB0910">
            <w:pPr>
              <w:spacing w:after="0" w:line="240" w:lineRule="auto"/>
              <w:jc w:val="center"/>
              <w:rPr>
                <w:rFonts w:ascii="Arial" w:eastAsia="MS Mincho" w:hAnsi="Arial"/>
                <w:b w:val="0"/>
                <w:sz w:val="18"/>
                <w:szCs w:val="18"/>
              </w:rPr>
            </w:pPr>
            <w:r w:rsidRPr="009527D4">
              <w:rPr>
                <w:rFonts w:ascii="Arial" w:eastAsia="MS Mincho" w:hAnsi="Arial"/>
                <w:b w:val="0"/>
                <w:i/>
                <w:sz w:val="18"/>
                <w:szCs w:val="18"/>
              </w:rPr>
              <w:t>Source</w:t>
            </w:r>
            <w:r w:rsidRPr="009527D4">
              <w:rPr>
                <w:rFonts w:ascii="Arial" w:eastAsia="MS Mincho" w:hAnsi="Arial"/>
                <w:b w:val="0"/>
                <w:sz w:val="18"/>
                <w:szCs w:val="18"/>
              </w:rPr>
              <w:t>: NSCP</w:t>
            </w:r>
          </w:p>
          <w:p w14:paraId="1260A77A" w14:textId="1DB0ECCF" w:rsidR="00DB0910" w:rsidRPr="009527D4" w:rsidRDefault="00DB0910" w:rsidP="00DB0910">
            <w:pPr>
              <w:spacing w:after="0" w:line="240" w:lineRule="auto"/>
              <w:jc w:val="center"/>
              <w:rPr>
                <w:rFonts w:ascii="Arial" w:eastAsia="MS Mincho" w:hAnsi="Arial"/>
                <w:b w:val="0"/>
                <w:sz w:val="18"/>
                <w:szCs w:val="18"/>
              </w:rPr>
            </w:pPr>
          </w:p>
        </w:tc>
      </w:tr>
    </w:tbl>
    <w:p w14:paraId="7101DF43" w14:textId="77777777" w:rsidR="00A64954" w:rsidRPr="009527D4" w:rsidRDefault="00A64954" w:rsidP="00585E4F">
      <w:pPr>
        <w:spacing w:before="120" w:after="120" w:line="240" w:lineRule="auto"/>
        <w:jc w:val="both"/>
        <w:rPr>
          <w:rFonts w:ascii="Arial" w:eastAsia="MS Mincho" w:hAnsi="Arial"/>
          <w:b w:val="0"/>
        </w:rPr>
      </w:pPr>
      <w:r w:rsidRPr="009527D4">
        <w:rPr>
          <w:rFonts w:ascii="Arial" w:eastAsia="MS Mincho" w:hAnsi="Arial"/>
          <w:b w:val="0"/>
        </w:rPr>
        <w:t>The following table presents the breakdown of TB case notifications by category, for the last five years.</w:t>
      </w:r>
    </w:p>
    <w:p w14:paraId="120DA7D3" w14:textId="77777777" w:rsidR="00F63B4F" w:rsidRDefault="00F63B4F" w:rsidP="00585E4F">
      <w:pPr>
        <w:spacing w:before="60" w:after="60" w:line="240" w:lineRule="auto"/>
        <w:jc w:val="center"/>
        <w:rPr>
          <w:rFonts w:ascii="Arial" w:eastAsia="MS Mincho" w:hAnsi="Arial"/>
          <w:sz w:val="20"/>
          <w:szCs w:val="20"/>
        </w:rPr>
      </w:pPr>
    </w:p>
    <w:p w14:paraId="30EBF1D1" w14:textId="77777777" w:rsidR="00F63B4F" w:rsidRDefault="00F63B4F" w:rsidP="00585E4F">
      <w:pPr>
        <w:spacing w:before="60" w:after="60" w:line="240" w:lineRule="auto"/>
        <w:jc w:val="center"/>
        <w:rPr>
          <w:rFonts w:ascii="Arial" w:eastAsia="MS Mincho" w:hAnsi="Arial"/>
          <w:sz w:val="20"/>
          <w:szCs w:val="20"/>
        </w:rPr>
      </w:pPr>
    </w:p>
    <w:p w14:paraId="66A8A030" w14:textId="77777777" w:rsidR="00F63B4F" w:rsidRDefault="00F63B4F" w:rsidP="00585E4F">
      <w:pPr>
        <w:spacing w:before="60" w:after="60" w:line="240" w:lineRule="auto"/>
        <w:jc w:val="center"/>
        <w:rPr>
          <w:rFonts w:ascii="Arial" w:eastAsia="MS Mincho" w:hAnsi="Arial"/>
          <w:sz w:val="20"/>
          <w:szCs w:val="20"/>
        </w:rPr>
      </w:pPr>
    </w:p>
    <w:p w14:paraId="6E16334B" w14:textId="77777777" w:rsidR="00F63B4F" w:rsidRDefault="00F63B4F" w:rsidP="00585E4F">
      <w:pPr>
        <w:spacing w:before="60" w:after="60" w:line="240" w:lineRule="auto"/>
        <w:jc w:val="center"/>
        <w:rPr>
          <w:rFonts w:ascii="Arial" w:eastAsia="MS Mincho" w:hAnsi="Arial"/>
          <w:sz w:val="20"/>
          <w:szCs w:val="20"/>
        </w:rPr>
      </w:pPr>
    </w:p>
    <w:p w14:paraId="64BAA6A0" w14:textId="77777777" w:rsidR="00F63B4F" w:rsidRDefault="00F63B4F" w:rsidP="00585E4F">
      <w:pPr>
        <w:spacing w:before="60" w:after="60" w:line="240" w:lineRule="auto"/>
        <w:jc w:val="center"/>
        <w:rPr>
          <w:rFonts w:ascii="Arial" w:eastAsia="MS Mincho" w:hAnsi="Arial"/>
          <w:sz w:val="20"/>
          <w:szCs w:val="20"/>
        </w:rPr>
      </w:pPr>
    </w:p>
    <w:p w14:paraId="679734FE" w14:textId="77777777" w:rsidR="00F63B4F" w:rsidRDefault="00F63B4F" w:rsidP="00585E4F">
      <w:pPr>
        <w:spacing w:before="60" w:after="60" w:line="240" w:lineRule="auto"/>
        <w:jc w:val="center"/>
        <w:rPr>
          <w:rFonts w:ascii="Arial" w:eastAsia="MS Mincho" w:hAnsi="Arial"/>
          <w:sz w:val="20"/>
          <w:szCs w:val="20"/>
        </w:rPr>
      </w:pPr>
    </w:p>
    <w:p w14:paraId="0CE3A62E" w14:textId="61739443" w:rsidR="00A64954" w:rsidRPr="009527D4" w:rsidRDefault="00A64954" w:rsidP="00585E4F">
      <w:pPr>
        <w:spacing w:before="60" w:after="60" w:line="240" w:lineRule="auto"/>
        <w:jc w:val="center"/>
        <w:rPr>
          <w:rFonts w:ascii="Arial" w:eastAsia="MS Mincho" w:hAnsi="Arial"/>
          <w:b w:val="0"/>
          <w:sz w:val="20"/>
          <w:szCs w:val="20"/>
        </w:rPr>
      </w:pPr>
      <w:r w:rsidRPr="009527D4">
        <w:rPr>
          <w:rFonts w:ascii="Arial" w:eastAsia="MS Mincho" w:hAnsi="Arial"/>
          <w:sz w:val="20"/>
          <w:szCs w:val="20"/>
        </w:rPr>
        <w:lastRenderedPageBreak/>
        <w:t>Table 1. Annual number of notified TB cases in Kazakhstan by category, 2013-2017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897"/>
        <w:gridCol w:w="897"/>
        <w:gridCol w:w="897"/>
        <w:gridCol w:w="897"/>
        <w:gridCol w:w="897"/>
      </w:tblGrid>
      <w:tr w:rsidR="00A64954" w:rsidRPr="009527D4" w14:paraId="704C4FC0" w14:textId="77777777" w:rsidTr="00D74E67">
        <w:tc>
          <w:tcPr>
            <w:tcW w:w="4531" w:type="dxa"/>
            <w:shd w:val="clear" w:color="auto" w:fill="auto"/>
          </w:tcPr>
          <w:p w14:paraId="6583404C" w14:textId="77777777" w:rsidR="00A64954" w:rsidRPr="009527D4" w:rsidRDefault="00A64954" w:rsidP="00E6289D">
            <w:pPr>
              <w:spacing w:before="40" w:after="40" w:line="240" w:lineRule="auto"/>
              <w:rPr>
                <w:rFonts w:ascii="Arial" w:eastAsia="MS Mincho" w:hAnsi="Arial"/>
                <w:b w:val="0"/>
                <w:sz w:val="20"/>
                <w:szCs w:val="20"/>
              </w:rPr>
            </w:pPr>
          </w:p>
        </w:tc>
        <w:tc>
          <w:tcPr>
            <w:tcW w:w="897" w:type="dxa"/>
            <w:shd w:val="clear" w:color="auto" w:fill="auto"/>
          </w:tcPr>
          <w:p w14:paraId="77467E58"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2013</w:t>
            </w:r>
          </w:p>
        </w:tc>
        <w:tc>
          <w:tcPr>
            <w:tcW w:w="897" w:type="dxa"/>
            <w:shd w:val="clear" w:color="auto" w:fill="auto"/>
          </w:tcPr>
          <w:p w14:paraId="6669F4E5"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2014</w:t>
            </w:r>
          </w:p>
        </w:tc>
        <w:tc>
          <w:tcPr>
            <w:tcW w:w="897" w:type="dxa"/>
            <w:shd w:val="clear" w:color="auto" w:fill="auto"/>
          </w:tcPr>
          <w:p w14:paraId="09E4EA02"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2015</w:t>
            </w:r>
          </w:p>
        </w:tc>
        <w:tc>
          <w:tcPr>
            <w:tcW w:w="897" w:type="dxa"/>
            <w:shd w:val="clear" w:color="auto" w:fill="auto"/>
          </w:tcPr>
          <w:p w14:paraId="2DF20906"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2016</w:t>
            </w:r>
          </w:p>
        </w:tc>
        <w:tc>
          <w:tcPr>
            <w:tcW w:w="897" w:type="dxa"/>
            <w:shd w:val="clear" w:color="auto" w:fill="auto"/>
          </w:tcPr>
          <w:p w14:paraId="3950EACB"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2017</w:t>
            </w:r>
          </w:p>
        </w:tc>
      </w:tr>
      <w:tr w:rsidR="00A64954" w:rsidRPr="009527D4" w14:paraId="295C3A50" w14:textId="77777777" w:rsidTr="00D74E67">
        <w:tc>
          <w:tcPr>
            <w:tcW w:w="4531" w:type="dxa"/>
            <w:shd w:val="clear" w:color="auto" w:fill="auto"/>
          </w:tcPr>
          <w:p w14:paraId="3A9C6911" w14:textId="30880CA1" w:rsidR="00A64954" w:rsidRPr="009527D4" w:rsidRDefault="00A64954" w:rsidP="00E6289D">
            <w:pPr>
              <w:spacing w:before="40" w:after="40" w:line="240" w:lineRule="auto"/>
              <w:rPr>
                <w:rFonts w:ascii="Arial" w:eastAsia="MS Mincho" w:hAnsi="Arial"/>
                <w:b w:val="0"/>
                <w:sz w:val="20"/>
                <w:szCs w:val="20"/>
              </w:rPr>
            </w:pPr>
            <w:r w:rsidRPr="009527D4">
              <w:rPr>
                <w:rFonts w:ascii="Arial" w:eastAsia="MS Mincho" w:hAnsi="Arial"/>
                <w:sz w:val="20"/>
                <w:szCs w:val="20"/>
              </w:rPr>
              <w:t>New cases total</w:t>
            </w:r>
          </w:p>
        </w:tc>
        <w:tc>
          <w:tcPr>
            <w:tcW w:w="897" w:type="dxa"/>
            <w:shd w:val="clear" w:color="auto" w:fill="auto"/>
            <w:vAlign w:val="center"/>
          </w:tcPr>
          <w:p w14:paraId="1D7795CF"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12,510</w:t>
            </w:r>
          </w:p>
        </w:tc>
        <w:tc>
          <w:tcPr>
            <w:tcW w:w="897" w:type="dxa"/>
            <w:shd w:val="clear" w:color="auto" w:fill="auto"/>
            <w:vAlign w:val="center"/>
          </w:tcPr>
          <w:p w14:paraId="0FBAD781"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11,480</w:t>
            </w:r>
          </w:p>
        </w:tc>
        <w:tc>
          <w:tcPr>
            <w:tcW w:w="897" w:type="dxa"/>
            <w:shd w:val="clear" w:color="auto" w:fill="auto"/>
            <w:vAlign w:val="center"/>
          </w:tcPr>
          <w:p w14:paraId="0DEA3746"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10,255</w:t>
            </w:r>
          </w:p>
        </w:tc>
        <w:tc>
          <w:tcPr>
            <w:tcW w:w="897" w:type="dxa"/>
            <w:shd w:val="clear" w:color="auto" w:fill="auto"/>
            <w:vAlign w:val="center"/>
          </w:tcPr>
          <w:p w14:paraId="6D572FE0"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9,381</w:t>
            </w:r>
          </w:p>
        </w:tc>
        <w:tc>
          <w:tcPr>
            <w:tcW w:w="897" w:type="dxa"/>
            <w:shd w:val="clear" w:color="auto" w:fill="auto"/>
            <w:vAlign w:val="center"/>
          </w:tcPr>
          <w:p w14:paraId="44D48E19"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9,417</w:t>
            </w:r>
          </w:p>
        </w:tc>
      </w:tr>
      <w:tr w:rsidR="00A64954" w:rsidRPr="009527D4" w14:paraId="04498715" w14:textId="77777777" w:rsidTr="00D74E67">
        <w:tc>
          <w:tcPr>
            <w:tcW w:w="4531" w:type="dxa"/>
            <w:shd w:val="clear" w:color="auto" w:fill="auto"/>
          </w:tcPr>
          <w:p w14:paraId="5235D1BF" w14:textId="2E1BCDDC" w:rsidR="00A64954" w:rsidRPr="009527D4" w:rsidRDefault="00A64954" w:rsidP="00E6289D">
            <w:pPr>
              <w:spacing w:before="40" w:after="40" w:line="240" w:lineRule="auto"/>
              <w:rPr>
                <w:rFonts w:ascii="Arial" w:eastAsia="MS Mincho" w:hAnsi="Arial"/>
                <w:b w:val="0"/>
                <w:sz w:val="20"/>
                <w:szCs w:val="20"/>
              </w:rPr>
            </w:pPr>
            <w:r w:rsidRPr="009527D4">
              <w:rPr>
                <w:rFonts w:ascii="Arial" w:eastAsia="MS Mincho" w:hAnsi="Arial"/>
                <w:b w:val="0"/>
                <w:sz w:val="20"/>
                <w:szCs w:val="20"/>
              </w:rPr>
              <w:t>New pulmonary bacteriologically confirmed</w:t>
            </w:r>
          </w:p>
        </w:tc>
        <w:tc>
          <w:tcPr>
            <w:tcW w:w="897" w:type="dxa"/>
            <w:shd w:val="clear" w:color="auto" w:fill="auto"/>
            <w:vAlign w:val="center"/>
          </w:tcPr>
          <w:p w14:paraId="75BC7F8C"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7,942</w:t>
            </w:r>
          </w:p>
        </w:tc>
        <w:tc>
          <w:tcPr>
            <w:tcW w:w="897" w:type="dxa"/>
            <w:shd w:val="clear" w:color="auto" w:fill="auto"/>
            <w:vAlign w:val="center"/>
          </w:tcPr>
          <w:p w14:paraId="5B762507"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8,026</w:t>
            </w:r>
          </w:p>
        </w:tc>
        <w:tc>
          <w:tcPr>
            <w:tcW w:w="897" w:type="dxa"/>
            <w:shd w:val="clear" w:color="auto" w:fill="auto"/>
            <w:vAlign w:val="center"/>
          </w:tcPr>
          <w:p w14:paraId="5E777175"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6,505</w:t>
            </w:r>
          </w:p>
        </w:tc>
        <w:tc>
          <w:tcPr>
            <w:tcW w:w="897" w:type="dxa"/>
            <w:shd w:val="clear" w:color="auto" w:fill="auto"/>
            <w:vAlign w:val="center"/>
          </w:tcPr>
          <w:p w14:paraId="27486F45"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6,930</w:t>
            </w:r>
          </w:p>
        </w:tc>
        <w:tc>
          <w:tcPr>
            <w:tcW w:w="897" w:type="dxa"/>
            <w:shd w:val="clear" w:color="auto" w:fill="auto"/>
            <w:vAlign w:val="center"/>
          </w:tcPr>
          <w:p w14:paraId="20E174C6"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6,798</w:t>
            </w:r>
          </w:p>
        </w:tc>
      </w:tr>
      <w:tr w:rsidR="00A64954" w:rsidRPr="009527D4" w14:paraId="1D85262C" w14:textId="77777777" w:rsidTr="00D74E67">
        <w:tc>
          <w:tcPr>
            <w:tcW w:w="4531" w:type="dxa"/>
            <w:shd w:val="clear" w:color="auto" w:fill="auto"/>
          </w:tcPr>
          <w:p w14:paraId="13CFD81F" w14:textId="17229240" w:rsidR="00A64954" w:rsidRPr="009527D4" w:rsidRDefault="00A64954" w:rsidP="00E6289D">
            <w:pPr>
              <w:spacing w:before="40" w:after="40" w:line="240" w:lineRule="auto"/>
              <w:rPr>
                <w:rFonts w:ascii="Arial" w:eastAsia="MS Mincho" w:hAnsi="Arial"/>
                <w:b w:val="0"/>
                <w:sz w:val="20"/>
                <w:szCs w:val="20"/>
              </w:rPr>
            </w:pPr>
            <w:r w:rsidRPr="009527D4">
              <w:rPr>
                <w:rFonts w:ascii="Arial" w:eastAsia="MS Mincho" w:hAnsi="Arial"/>
                <w:b w:val="0"/>
                <w:sz w:val="20"/>
                <w:szCs w:val="20"/>
              </w:rPr>
              <w:t>New pulmonary clinically diagnosed</w:t>
            </w:r>
          </w:p>
        </w:tc>
        <w:tc>
          <w:tcPr>
            <w:tcW w:w="897" w:type="dxa"/>
            <w:shd w:val="clear" w:color="auto" w:fill="auto"/>
            <w:vAlign w:val="center"/>
          </w:tcPr>
          <w:p w14:paraId="27A2C62D"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2,931</w:t>
            </w:r>
          </w:p>
        </w:tc>
        <w:tc>
          <w:tcPr>
            <w:tcW w:w="897" w:type="dxa"/>
            <w:shd w:val="clear" w:color="auto" w:fill="auto"/>
            <w:vAlign w:val="center"/>
          </w:tcPr>
          <w:p w14:paraId="2A996692"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1,883</w:t>
            </w:r>
          </w:p>
        </w:tc>
        <w:tc>
          <w:tcPr>
            <w:tcW w:w="897" w:type="dxa"/>
            <w:shd w:val="clear" w:color="auto" w:fill="auto"/>
            <w:vAlign w:val="center"/>
          </w:tcPr>
          <w:p w14:paraId="5A00A7AF"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2,303</w:t>
            </w:r>
          </w:p>
        </w:tc>
        <w:tc>
          <w:tcPr>
            <w:tcW w:w="897" w:type="dxa"/>
            <w:shd w:val="clear" w:color="auto" w:fill="auto"/>
            <w:vAlign w:val="center"/>
          </w:tcPr>
          <w:p w14:paraId="662DCAB3"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1,248</w:t>
            </w:r>
          </w:p>
        </w:tc>
        <w:tc>
          <w:tcPr>
            <w:tcW w:w="897" w:type="dxa"/>
            <w:shd w:val="clear" w:color="auto" w:fill="auto"/>
            <w:vAlign w:val="center"/>
          </w:tcPr>
          <w:p w14:paraId="05C624F9"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1,335</w:t>
            </w:r>
          </w:p>
        </w:tc>
      </w:tr>
      <w:tr w:rsidR="00A64954" w:rsidRPr="009527D4" w14:paraId="4C603C67" w14:textId="77777777" w:rsidTr="00D74E67">
        <w:tc>
          <w:tcPr>
            <w:tcW w:w="4531" w:type="dxa"/>
            <w:shd w:val="clear" w:color="auto" w:fill="auto"/>
          </w:tcPr>
          <w:p w14:paraId="181624ED" w14:textId="358BBC60" w:rsidR="00A64954" w:rsidRPr="009527D4" w:rsidRDefault="00A64954" w:rsidP="00E6289D">
            <w:pPr>
              <w:spacing w:before="40" w:after="40" w:line="240" w:lineRule="auto"/>
              <w:rPr>
                <w:rFonts w:ascii="Arial" w:eastAsia="MS Mincho" w:hAnsi="Arial"/>
                <w:b w:val="0"/>
                <w:sz w:val="20"/>
                <w:szCs w:val="20"/>
              </w:rPr>
            </w:pPr>
            <w:r w:rsidRPr="009527D4">
              <w:rPr>
                <w:rFonts w:ascii="Arial" w:eastAsia="MS Mincho" w:hAnsi="Arial"/>
                <w:b w:val="0"/>
                <w:sz w:val="20"/>
                <w:szCs w:val="20"/>
              </w:rPr>
              <w:t xml:space="preserve">New </w:t>
            </w:r>
            <w:proofErr w:type="spellStart"/>
            <w:r w:rsidRPr="009527D4">
              <w:rPr>
                <w:rFonts w:ascii="Arial" w:eastAsia="MS Mincho" w:hAnsi="Arial"/>
                <w:b w:val="0"/>
                <w:sz w:val="20"/>
                <w:szCs w:val="20"/>
              </w:rPr>
              <w:t>extrapulmonary</w:t>
            </w:r>
            <w:proofErr w:type="spellEnd"/>
          </w:p>
        </w:tc>
        <w:tc>
          <w:tcPr>
            <w:tcW w:w="897" w:type="dxa"/>
            <w:shd w:val="clear" w:color="auto" w:fill="auto"/>
            <w:vAlign w:val="center"/>
          </w:tcPr>
          <w:p w14:paraId="249361C1"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1,637</w:t>
            </w:r>
          </w:p>
        </w:tc>
        <w:tc>
          <w:tcPr>
            <w:tcW w:w="897" w:type="dxa"/>
            <w:shd w:val="clear" w:color="auto" w:fill="auto"/>
            <w:vAlign w:val="center"/>
          </w:tcPr>
          <w:p w14:paraId="4519F1CB"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1,571</w:t>
            </w:r>
          </w:p>
        </w:tc>
        <w:tc>
          <w:tcPr>
            <w:tcW w:w="897" w:type="dxa"/>
            <w:shd w:val="clear" w:color="auto" w:fill="auto"/>
            <w:vAlign w:val="center"/>
          </w:tcPr>
          <w:p w14:paraId="0F5DD9EE"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1,447</w:t>
            </w:r>
          </w:p>
        </w:tc>
        <w:tc>
          <w:tcPr>
            <w:tcW w:w="897" w:type="dxa"/>
            <w:shd w:val="clear" w:color="auto" w:fill="auto"/>
            <w:vAlign w:val="center"/>
          </w:tcPr>
          <w:p w14:paraId="1E7E497E"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1,203</w:t>
            </w:r>
          </w:p>
        </w:tc>
        <w:tc>
          <w:tcPr>
            <w:tcW w:w="897" w:type="dxa"/>
            <w:shd w:val="clear" w:color="auto" w:fill="auto"/>
            <w:vAlign w:val="center"/>
          </w:tcPr>
          <w:p w14:paraId="6DD62BEE"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1,284</w:t>
            </w:r>
          </w:p>
        </w:tc>
      </w:tr>
      <w:tr w:rsidR="00A64954" w:rsidRPr="009527D4" w14:paraId="7730EF79" w14:textId="77777777" w:rsidTr="00D74E67">
        <w:tc>
          <w:tcPr>
            <w:tcW w:w="4531" w:type="dxa"/>
            <w:shd w:val="clear" w:color="auto" w:fill="auto"/>
          </w:tcPr>
          <w:p w14:paraId="22FA0779" w14:textId="49400830" w:rsidR="00A64954" w:rsidRPr="009527D4" w:rsidRDefault="00A64954" w:rsidP="00E6289D">
            <w:pPr>
              <w:spacing w:before="40" w:after="40" w:line="240" w:lineRule="auto"/>
              <w:rPr>
                <w:rFonts w:ascii="Arial" w:eastAsia="MS Mincho" w:hAnsi="Arial"/>
                <w:b w:val="0"/>
                <w:sz w:val="20"/>
                <w:szCs w:val="20"/>
              </w:rPr>
            </w:pPr>
            <w:r w:rsidRPr="009527D4">
              <w:rPr>
                <w:rFonts w:ascii="Arial" w:eastAsia="MS Mincho" w:hAnsi="Arial"/>
                <w:sz w:val="20"/>
                <w:szCs w:val="20"/>
              </w:rPr>
              <w:t>Previously treated cases total</w:t>
            </w:r>
          </w:p>
        </w:tc>
        <w:tc>
          <w:tcPr>
            <w:tcW w:w="897" w:type="dxa"/>
            <w:shd w:val="clear" w:color="auto" w:fill="auto"/>
            <w:vAlign w:val="center"/>
          </w:tcPr>
          <w:p w14:paraId="6CFD6E71"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7,347</w:t>
            </w:r>
          </w:p>
        </w:tc>
        <w:tc>
          <w:tcPr>
            <w:tcW w:w="897" w:type="dxa"/>
            <w:shd w:val="clear" w:color="auto" w:fill="auto"/>
            <w:vAlign w:val="center"/>
          </w:tcPr>
          <w:p w14:paraId="5182DBD0"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7,682</w:t>
            </w:r>
          </w:p>
        </w:tc>
        <w:tc>
          <w:tcPr>
            <w:tcW w:w="897" w:type="dxa"/>
            <w:shd w:val="clear" w:color="auto" w:fill="auto"/>
            <w:vAlign w:val="center"/>
          </w:tcPr>
          <w:p w14:paraId="243790A8"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6,468</w:t>
            </w:r>
          </w:p>
        </w:tc>
        <w:tc>
          <w:tcPr>
            <w:tcW w:w="897" w:type="dxa"/>
            <w:shd w:val="clear" w:color="auto" w:fill="auto"/>
            <w:vAlign w:val="center"/>
          </w:tcPr>
          <w:p w14:paraId="02B54B8F"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5,546</w:t>
            </w:r>
          </w:p>
        </w:tc>
        <w:tc>
          <w:tcPr>
            <w:tcW w:w="897" w:type="dxa"/>
            <w:shd w:val="clear" w:color="auto" w:fill="auto"/>
            <w:vAlign w:val="center"/>
          </w:tcPr>
          <w:p w14:paraId="00206E37"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4,854</w:t>
            </w:r>
          </w:p>
        </w:tc>
      </w:tr>
      <w:tr w:rsidR="00A64954" w:rsidRPr="009527D4" w14:paraId="4681B761" w14:textId="77777777" w:rsidTr="00D74E67">
        <w:tc>
          <w:tcPr>
            <w:tcW w:w="4531" w:type="dxa"/>
            <w:shd w:val="clear" w:color="auto" w:fill="auto"/>
          </w:tcPr>
          <w:p w14:paraId="2B5FEE56" w14:textId="12BE622A" w:rsidR="00A64954" w:rsidRPr="009527D4" w:rsidRDefault="00A64954" w:rsidP="00E6289D">
            <w:pPr>
              <w:spacing w:before="40" w:after="40" w:line="240" w:lineRule="auto"/>
              <w:rPr>
                <w:rFonts w:ascii="Arial" w:eastAsia="MS Mincho" w:hAnsi="Arial"/>
                <w:b w:val="0"/>
                <w:sz w:val="20"/>
                <w:szCs w:val="20"/>
              </w:rPr>
            </w:pPr>
            <w:r w:rsidRPr="009527D4">
              <w:rPr>
                <w:rFonts w:ascii="Arial" w:eastAsia="MS Mincho" w:hAnsi="Arial"/>
                <w:b w:val="0"/>
                <w:sz w:val="20"/>
                <w:szCs w:val="20"/>
              </w:rPr>
              <w:t>Relapses pulmonary bacteriologically confirmed</w:t>
            </w:r>
          </w:p>
        </w:tc>
        <w:tc>
          <w:tcPr>
            <w:tcW w:w="897" w:type="dxa"/>
            <w:shd w:val="clear" w:color="auto" w:fill="auto"/>
            <w:vAlign w:val="center"/>
          </w:tcPr>
          <w:p w14:paraId="1A472CCA"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5,190</w:t>
            </w:r>
          </w:p>
        </w:tc>
        <w:tc>
          <w:tcPr>
            <w:tcW w:w="897" w:type="dxa"/>
            <w:shd w:val="clear" w:color="auto" w:fill="auto"/>
            <w:vAlign w:val="center"/>
          </w:tcPr>
          <w:p w14:paraId="378E092A"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5,412</w:t>
            </w:r>
          </w:p>
        </w:tc>
        <w:tc>
          <w:tcPr>
            <w:tcW w:w="897" w:type="dxa"/>
            <w:shd w:val="clear" w:color="auto" w:fill="auto"/>
            <w:vAlign w:val="center"/>
          </w:tcPr>
          <w:p w14:paraId="5F026A8B"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4,957</w:t>
            </w:r>
          </w:p>
        </w:tc>
        <w:tc>
          <w:tcPr>
            <w:tcW w:w="897" w:type="dxa"/>
            <w:shd w:val="clear" w:color="auto" w:fill="auto"/>
            <w:vAlign w:val="center"/>
          </w:tcPr>
          <w:p w14:paraId="7ABE51FA"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4,383</w:t>
            </w:r>
          </w:p>
        </w:tc>
        <w:tc>
          <w:tcPr>
            <w:tcW w:w="897" w:type="dxa"/>
            <w:shd w:val="clear" w:color="auto" w:fill="auto"/>
            <w:vAlign w:val="center"/>
          </w:tcPr>
          <w:p w14:paraId="725BCAD8"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3,937</w:t>
            </w:r>
          </w:p>
        </w:tc>
      </w:tr>
      <w:tr w:rsidR="00A64954" w:rsidRPr="009527D4" w14:paraId="3BC8BBF2" w14:textId="77777777" w:rsidTr="00D74E67">
        <w:tc>
          <w:tcPr>
            <w:tcW w:w="4531" w:type="dxa"/>
            <w:shd w:val="clear" w:color="auto" w:fill="auto"/>
          </w:tcPr>
          <w:p w14:paraId="7964E844" w14:textId="4DF52C91" w:rsidR="00A64954" w:rsidRPr="009527D4" w:rsidRDefault="00A64954" w:rsidP="00E6289D">
            <w:pPr>
              <w:spacing w:before="40" w:after="40" w:line="240" w:lineRule="auto"/>
              <w:rPr>
                <w:rFonts w:ascii="Arial" w:eastAsia="MS Mincho" w:hAnsi="Arial"/>
                <w:b w:val="0"/>
                <w:sz w:val="20"/>
                <w:szCs w:val="20"/>
              </w:rPr>
            </w:pPr>
            <w:r w:rsidRPr="009527D4">
              <w:rPr>
                <w:rFonts w:ascii="Arial" w:eastAsia="MS Mincho" w:hAnsi="Arial"/>
                <w:b w:val="0"/>
                <w:sz w:val="20"/>
                <w:szCs w:val="20"/>
              </w:rPr>
              <w:t>Relapses pulmonary clinically diagnosed</w:t>
            </w:r>
          </w:p>
        </w:tc>
        <w:tc>
          <w:tcPr>
            <w:tcW w:w="897" w:type="dxa"/>
            <w:shd w:val="clear" w:color="auto" w:fill="auto"/>
            <w:vAlign w:val="center"/>
          </w:tcPr>
          <w:p w14:paraId="2F2F655A"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891</w:t>
            </w:r>
          </w:p>
        </w:tc>
        <w:tc>
          <w:tcPr>
            <w:tcW w:w="897" w:type="dxa"/>
            <w:shd w:val="clear" w:color="auto" w:fill="auto"/>
            <w:vAlign w:val="center"/>
          </w:tcPr>
          <w:p w14:paraId="484FEFDB"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1,296</w:t>
            </w:r>
          </w:p>
        </w:tc>
        <w:tc>
          <w:tcPr>
            <w:tcW w:w="897" w:type="dxa"/>
            <w:shd w:val="clear" w:color="auto" w:fill="auto"/>
            <w:vAlign w:val="center"/>
          </w:tcPr>
          <w:p w14:paraId="3DB18D4F"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802</w:t>
            </w:r>
          </w:p>
        </w:tc>
        <w:tc>
          <w:tcPr>
            <w:tcW w:w="897" w:type="dxa"/>
            <w:shd w:val="clear" w:color="auto" w:fill="auto"/>
            <w:vAlign w:val="center"/>
          </w:tcPr>
          <w:p w14:paraId="5F86E6FD"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387</w:t>
            </w:r>
          </w:p>
        </w:tc>
        <w:tc>
          <w:tcPr>
            <w:tcW w:w="897" w:type="dxa"/>
            <w:shd w:val="clear" w:color="auto" w:fill="auto"/>
            <w:vAlign w:val="center"/>
          </w:tcPr>
          <w:p w14:paraId="55586933"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251</w:t>
            </w:r>
          </w:p>
        </w:tc>
      </w:tr>
      <w:tr w:rsidR="00D74E67" w:rsidRPr="009527D4" w14:paraId="14E524E6" w14:textId="77777777" w:rsidTr="00D74E67">
        <w:tc>
          <w:tcPr>
            <w:tcW w:w="4531" w:type="dxa"/>
            <w:shd w:val="clear" w:color="auto" w:fill="auto"/>
          </w:tcPr>
          <w:p w14:paraId="1EDEF467" w14:textId="1FED0851" w:rsidR="00D74E67" w:rsidRPr="009527D4" w:rsidRDefault="00D74E67" w:rsidP="00E6289D">
            <w:pPr>
              <w:spacing w:before="40" w:after="40" w:line="240" w:lineRule="auto"/>
              <w:rPr>
                <w:rFonts w:ascii="Arial" w:eastAsia="MS Mincho" w:hAnsi="Arial"/>
                <w:b w:val="0"/>
                <w:sz w:val="20"/>
                <w:szCs w:val="20"/>
              </w:rPr>
            </w:pPr>
            <w:r w:rsidRPr="009527D4">
              <w:rPr>
                <w:rFonts w:ascii="Arial" w:eastAsia="MS Mincho" w:hAnsi="Arial"/>
                <w:b w:val="0"/>
                <w:sz w:val="20"/>
                <w:szCs w:val="20"/>
              </w:rPr>
              <w:t xml:space="preserve">Relapses </w:t>
            </w:r>
            <w:proofErr w:type="spellStart"/>
            <w:r w:rsidRPr="009527D4">
              <w:rPr>
                <w:rFonts w:ascii="Arial" w:eastAsia="MS Mincho" w:hAnsi="Arial"/>
                <w:b w:val="0"/>
                <w:sz w:val="20"/>
                <w:szCs w:val="20"/>
              </w:rPr>
              <w:t>extrapulmonary</w:t>
            </w:r>
            <w:proofErr w:type="spellEnd"/>
          </w:p>
        </w:tc>
        <w:tc>
          <w:tcPr>
            <w:tcW w:w="897" w:type="dxa"/>
            <w:shd w:val="clear" w:color="auto" w:fill="auto"/>
            <w:vAlign w:val="center"/>
          </w:tcPr>
          <w:p w14:paraId="6A52E3D0" w14:textId="77777777" w:rsidR="00D74E67" w:rsidRPr="009527D4" w:rsidRDefault="00D74E67"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367</w:t>
            </w:r>
          </w:p>
        </w:tc>
        <w:tc>
          <w:tcPr>
            <w:tcW w:w="897" w:type="dxa"/>
            <w:shd w:val="clear" w:color="auto" w:fill="auto"/>
            <w:vAlign w:val="center"/>
          </w:tcPr>
          <w:p w14:paraId="08FA9EF2" w14:textId="77777777" w:rsidR="00D74E67" w:rsidRPr="009527D4" w:rsidRDefault="00D74E67"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300</w:t>
            </w:r>
          </w:p>
        </w:tc>
        <w:tc>
          <w:tcPr>
            <w:tcW w:w="897" w:type="dxa"/>
            <w:shd w:val="clear" w:color="auto" w:fill="auto"/>
            <w:vAlign w:val="center"/>
          </w:tcPr>
          <w:p w14:paraId="11B07179" w14:textId="77777777" w:rsidR="00D74E67" w:rsidRPr="009527D4" w:rsidRDefault="00D74E67"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225</w:t>
            </w:r>
          </w:p>
        </w:tc>
        <w:tc>
          <w:tcPr>
            <w:tcW w:w="897" w:type="dxa"/>
            <w:shd w:val="clear" w:color="auto" w:fill="auto"/>
            <w:vAlign w:val="center"/>
          </w:tcPr>
          <w:p w14:paraId="38FDF457" w14:textId="77777777" w:rsidR="00D74E67" w:rsidRPr="009527D4" w:rsidRDefault="00D74E67"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191</w:t>
            </w:r>
          </w:p>
        </w:tc>
        <w:tc>
          <w:tcPr>
            <w:tcW w:w="897" w:type="dxa"/>
            <w:shd w:val="clear" w:color="auto" w:fill="auto"/>
            <w:vAlign w:val="center"/>
          </w:tcPr>
          <w:p w14:paraId="01938F17" w14:textId="77777777" w:rsidR="00D74E67" w:rsidRPr="009527D4" w:rsidRDefault="00D74E67"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173</w:t>
            </w:r>
          </w:p>
        </w:tc>
      </w:tr>
      <w:tr w:rsidR="00A64954" w:rsidRPr="009527D4" w14:paraId="65C16506" w14:textId="77777777" w:rsidTr="00D74E67">
        <w:tc>
          <w:tcPr>
            <w:tcW w:w="4531" w:type="dxa"/>
            <w:shd w:val="clear" w:color="auto" w:fill="auto"/>
          </w:tcPr>
          <w:p w14:paraId="35C5403B" w14:textId="60E8C939" w:rsidR="00A64954" w:rsidRPr="009527D4" w:rsidRDefault="00D74E67" w:rsidP="00E6289D">
            <w:pPr>
              <w:spacing w:before="40" w:after="40" w:line="240" w:lineRule="auto"/>
              <w:rPr>
                <w:rFonts w:ascii="Arial" w:eastAsia="MS Mincho" w:hAnsi="Arial"/>
                <w:b w:val="0"/>
                <w:sz w:val="20"/>
                <w:szCs w:val="20"/>
              </w:rPr>
            </w:pPr>
            <w:r w:rsidRPr="009527D4">
              <w:rPr>
                <w:rFonts w:ascii="Arial" w:eastAsia="MS Mincho" w:hAnsi="Arial"/>
                <w:b w:val="0"/>
                <w:sz w:val="20"/>
                <w:szCs w:val="20"/>
              </w:rPr>
              <w:t>Other previously treated</w:t>
            </w:r>
          </w:p>
        </w:tc>
        <w:tc>
          <w:tcPr>
            <w:tcW w:w="897" w:type="dxa"/>
            <w:shd w:val="clear" w:color="auto" w:fill="auto"/>
            <w:vAlign w:val="center"/>
          </w:tcPr>
          <w:p w14:paraId="6B3DF102"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899</w:t>
            </w:r>
          </w:p>
        </w:tc>
        <w:tc>
          <w:tcPr>
            <w:tcW w:w="897" w:type="dxa"/>
            <w:shd w:val="clear" w:color="auto" w:fill="auto"/>
            <w:vAlign w:val="center"/>
          </w:tcPr>
          <w:p w14:paraId="4253CC84"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664</w:t>
            </w:r>
          </w:p>
        </w:tc>
        <w:tc>
          <w:tcPr>
            <w:tcW w:w="897" w:type="dxa"/>
            <w:shd w:val="clear" w:color="auto" w:fill="auto"/>
            <w:vAlign w:val="center"/>
          </w:tcPr>
          <w:p w14:paraId="23D9C849"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466</w:t>
            </w:r>
          </w:p>
        </w:tc>
        <w:tc>
          <w:tcPr>
            <w:tcW w:w="897" w:type="dxa"/>
            <w:shd w:val="clear" w:color="auto" w:fill="auto"/>
            <w:vAlign w:val="center"/>
          </w:tcPr>
          <w:p w14:paraId="74E5544F"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579</w:t>
            </w:r>
          </w:p>
        </w:tc>
        <w:tc>
          <w:tcPr>
            <w:tcW w:w="897" w:type="dxa"/>
            <w:shd w:val="clear" w:color="auto" w:fill="auto"/>
            <w:vAlign w:val="center"/>
          </w:tcPr>
          <w:p w14:paraId="1CE058F5"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b w:val="0"/>
                <w:sz w:val="20"/>
                <w:szCs w:val="20"/>
              </w:rPr>
              <w:t>493</w:t>
            </w:r>
          </w:p>
        </w:tc>
      </w:tr>
      <w:tr w:rsidR="00A64954" w:rsidRPr="009527D4" w14:paraId="48C62DE2" w14:textId="77777777" w:rsidTr="00D74E67">
        <w:tc>
          <w:tcPr>
            <w:tcW w:w="4531" w:type="dxa"/>
            <w:shd w:val="clear" w:color="auto" w:fill="auto"/>
          </w:tcPr>
          <w:p w14:paraId="474D95F5" w14:textId="608AA5C3" w:rsidR="00A64954" w:rsidRPr="009527D4" w:rsidRDefault="00D74E67" w:rsidP="00E6289D">
            <w:pPr>
              <w:spacing w:before="40" w:after="40" w:line="240" w:lineRule="auto"/>
              <w:rPr>
                <w:rFonts w:ascii="Arial" w:eastAsia="MS Mincho" w:hAnsi="Arial"/>
                <w:b w:val="0"/>
                <w:sz w:val="20"/>
                <w:szCs w:val="20"/>
              </w:rPr>
            </w:pPr>
            <w:r w:rsidRPr="009527D4">
              <w:rPr>
                <w:rFonts w:ascii="Arial" w:eastAsia="MS Mincho" w:hAnsi="Arial"/>
                <w:sz w:val="20"/>
                <w:szCs w:val="20"/>
              </w:rPr>
              <w:t>Other cases</w:t>
            </w:r>
          </w:p>
        </w:tc>
        <w:tc>
          <w:tcPr>
            <w:tcW w:w="897" w:type="dxa"/>
            <w:shd w:val="clear" w:color="auto" w:fill="auto"/>
            <w:vAlign w:val="center"/>
          </w:tcPr>
          <w:p w14:paraId="067EBEBC"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0</w:t>
            </w:r>
          </w:p>
        </w:tc>
        <w:tc>
          <w:tcPr>
            <w:tcW w:w="897" w:type="dxa"/>
            <w:shd w:val="clear" w:color="auto" w:fill="auto"/>
            <w:vAlign w:val="center"/>
          </w:tcPr>
          <w:p w14:paraId="4767E6E5"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10</w:t>
            </w:r>
          </w:p>
        </w:tc>
        <w:tc>
          <w:tcPr>
            <w:tcW w:w="897" w:type="dxa"/>
            <w:shd w:val="clear" w:color="auto" w:fill="auto"/>
            <w:vAlign w:val="center"/>
          </w:tcPr>
          <w:p w14:paraId="7811CCA9"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18</w:t>
            </w:r>
          </w:p>
        </w:tc>
        <w:tc>
          <w:tcPr>
            <w:tcW w:w="897" w:type="dxa"/>
            <w:shd w:val="clear" w:color="auto" w:fill="auto"/>
            <w:vAlign w:val="center"/>
          </w:tcPr>
          <w:p w14:paraId="5DE557B1"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6</w:t>
            </w:r>
          </w:p>
        </w:tc>
        <w:tc>
          <w:tcPr>
            <w:tcW w:w="897" w:type="dxa"/>
            <w:shd w:val="clear" w:color="auto" w:fill="auto"/>
            <w:vAlign w:val="center"/>
          </w:tcPr>
          <w:p w14:paraId="42621B82" w14:textId="77777777" w:rsidR="00A64954" w:rsidRPr="009527D4" w:rsidRDefault="00A64954" w:rsidP="00E6289D">
            <w:pPr>
              <w:spacing w:before="40" w:after="40" w:line="240" w:lineRule="auto"/>
              <w:jc w:val="center"/>
              <w:rPr>
                <w:rFonts w:ascii="Arial" w:eastAsia="MS Mincho" w:hAnsi="Arial"/>
                <w:b w:val="0"/>
                <w:sz w:val="20"/>
                <w:szCs w:val="20"/>
              </w:rPr>
            </w:pPr>
            <w:r w:rsidRPr="009527D4">
              <w:rPr>
                <w:rFonts w:ascii="Arial" w:eastAsia="MS Mincho" w:hAnsi="Arial"/>
                <w:sz w:val="20"/>
                <w:szCs w:val="20"/>
              </w:rPr>
              <w:t>0</w:t>
            </w:r>
          </w:p>
        </w:tc>
      </w:tr>
      <w:tr w:rsidR="00A64954" w:rsidRPr="009527D4" w14:paraId="25242EEE" w14:textId="77777777" w:rsidTr="00D74E67">
        <w:tc>
          <w:tcPr>
            <w:tcW w:w="4531" w:type="dxa"/>
            <w:shd w:val="clear" w:color="auto" w:fill="auto"/>
          </w:tcPr>
          <w:p w14:paraId="75DB00E7" w14:textId="7AFF1949" w:rsidR="00A64954" w:rsidRPr="009527D4" w:rsidRDefault="00D74E67" w:rsidP="00E6289D">
            <w:pPr>
              <w:spacing w:before="40" w:after="40" w:line="240" w:lineRule="auto"/>
              <w:rPr>
                <w:rFonts w:ascii="Arial" w:eastAsia="MS Mincho" w:hAnsi="Arial"/>
                <w:b w:val="0"/>
                <w:sz w:val="20"/>
                <w:szCs w:val="20"/>
              </w:rPr>
            </w:pPr>
            <w:r w:rsidRPr="009527D4">
              <w:rPr>
                <w:rFonts w:ascii="Arial" w:eastAsia="MS Mincho" w:hAnsi="Arial"/>
                <w:sz w:val="20"/>
                <w:szCs w:val="20"/>
              </w:rPr>
              <w:t>All TB cases</w:t>
            </w:r>
          </w:p>
        </w:tc>
        <w:tc>
          <w:tcPr>
            <w:tcW w:w="897" w:type="dxa"/>
            <w:shd w:val="clear" w:color="auto" w:fill="auto"/>
            <w:vAlign w:val="center"/>
          </w:tcPr>
          <w:p w14:paraId="6DBE9AE5" w14:textId="77777777" w:rsidR="00A64954" w:rsidRPr="009527D4" w:rsidRDefault="00A64954" w:rsidP="00E6289D">
            <w:pPr>
              <w:spacing w:before="40" w:after="40" w:line="240" w:lineRule="auto"/>
              <w:jc w:val="both"/>
              <w:rPr>
                <w:rFonts w:ascii="Arial" w:eastAsia="MS Mincho" w:hAnsi="Arial"/>
                <w:b w:val="0"/>
                <w:sz w:val="20"/>
                <w:szCs w:val="20"/>
              </w:rPr>
            </w:pPr>
            <w:r w:rsidRPr="009527D4">
              <w:rPr>
                <w:rFonts w:ascii="Arial" w:eastAsia="MS Mincho" w:hAnsi="Arial"/>
                <w:sz w:val="20"/>
                <w:szCs w:val="20"/>
              </w:rPr>
              <w:t>19,857</w:t>
            </w:r>
          </w:p>
        </w:tc>
        <w:tc>
          <w:tcPr>
            <w:tcW w:w="897" w:type="dxa"/>
            <w:shd w:val="clear" w:color="auto" w:fill="auto"/>
            <w:vAlign w:val="center"/>
          </w:tcPr>
          <w:p w14:paraId="4449427F" w14:textId="77777777" w:rsidR="00A64954" w:rsidRPr="009527D4" w:rsidRDefault="00A64954" w:rsidP="00E6289D">
            <w:pPr>
              <w:spacing w:before="40" w:after="40" w:line="240" w:lineRule="auto"/>
              <w:jc w:val="both"/>
              <w:rPr>
                <w:rFonts w:ascii="Arial" w:eastAsia="MS Mincho" w:hAnsi="Arial"/>
                <w:b w:val="0"/>
                <w:sz w:val="20"/>
                <w:szCs w:val="20"/>
              </w:rPr>
            </w:pPr>
            <w:r w:rsidRPr="009527D4">
              <w:rPr>
                <w:rFonts w:ascii="Arial" w:eastAsia="MS Mincho" w:hAnsi="Arial"/>
                <w:sz w:val="20"/>
                <w:szCs w:val="20"/>
              </w:rPr>
              <w:t>19,162</w:t>
            </w:r>
          </w:p>
        </w:tc>
        <w:tc>
          <w:tcPr>
            <w:tcW w:w="897" w:type="dxa"/>
            <w:shd w:val="clear" w:color="auto" w:fill="auto"/>
            <w:vAlign w:val="center"/>
          </w:tcPr>
          <w:p w14:paraId="4988CCFD" w14:textId="77777777" w:rsidR="00A64954" w:rsidRPr="009527D4" w:rsidRDefault="00A64954" w:rsidP="00E6289D">
            <w:pPr>
              <w:spacing w:before="40" w:after="40" w:line="240" w:lineRule="auto"/>
              <w:jc w:val="both"/>
              <w:rPr>
                <w:rFonts w:ascii="Arial" w:eastAsia="MS Mincho" w:hAnsi="Arial"/>
                <w:b w:val="0"/>
                <w:sz w:val="20"/>
                <w:szCs w:val="20"/>
              </w:rPr>
            </w:pPr>
            <w:r w:rsidRPr="009527D4">
              <w:rPr>
                <w:rFonts w:ascii="Arial" w:eastAsia="MS Mincho" w:hAnsi="Arial"/>
                <w:sz w:val="20"/>
                <w:szCs w:val="20"/>
              </w:rPr>
              <w:t>16,723</w:t>
            </w:r>
          </w:p>
        </w:tc>
        <w:tc>
          <w:tcPr>
            <w:tcW w:w="897" w:type="dxa"/>
            <w:shd w:val="clear" w:color="auto" w:fill="auto"/>
            <w:vAlign w:val="center"/>
          </w:tcPr>
          <w:p w14:paraId="202CF15C" w14:textId="77777777" w:rsidR="00A64954" w:rsidRPr="009527D4" w:rsidRDefault="00A64954" w:rsidP="00E6289D">
            <w:pPr>
              <w:spacing w:before="40" w:after="40" w:line="240" w:lineRule="auto"/>
              <w:jc w:val="both"/>
              <w:rPr>
                <w:rFonts w:ascii="Arial" w:eastAsia="MS Mincho" w:hAnsi="Arial"/>
                <w:b w:val="0"/>
                <w:sz w:val="20"/>
                <w:szCs w:val="20"/>
              </w:rPr>
            </w:pPr>
            <w:r w:rsidRPr="009527D4">
              <w:rPr>
                <w:rFonts w:ascii="Arial" w:eastAsia="MS Mincho" w:hAnsi="Arial"/>
                <w:sz w:val="20"/>
                <w:szCs w:val="20"/>
              </w:rPr>
              <w:t>14,927</w:t>
            </w:r>
          </w:p>
        </w:tc>
        <w:tc>
          <w:tcPr>
            <w:tcW w:w="897" w:type="dxa"/>
            <w:shd w:val="clear" w:color="auto" w:fill="auto"/>
            <w:vAlign w:val="center"/>
          </w:tcPr>
          <w:p w14:paraId="77341C07" w14:textId="77777777" w:rsidR="00A64954" w:rsidRPr="009527D4" w:rsidRDefault="00A64954" w:rsidP="00E6289D">
            <w:pPr>
              <w:spacing w:before="40" w:after="40" w:line="240" w:lineRule="auto"/>
              <w:jc w:val="both"/>
              <w:rPr>
                <w:rFonts w:ascii="Arial" w:eastAsia="MS Mincho" w:hAnsi="Arial"/>
                <w:b w:val="0"/>
                <w:sz w:val="20"/>
                <w:szCs w:val="20"/>
              </w:rPr>
            </w:pPr>
            <w:r w:rsidRPr="009527D4">
              <w:rPr>
                <w:rFonts w:ascii="Arial" w:eastAsia="MS Mincho" w:hAnsi="Arial"/>
                <w:sz w:val="20"/>
                <w:szCs w:val="20"/>
              </w:rPr>
              <w:t>14,271</w:t>
            </w:r>
          </w:p>
        </w:tc>
      </w:tr>
    </w:tbl>
    <w:p w14:paraId="782939FF" w14:textId="666B979C" w:rsidR="00A64954" w:rsidRPr="009527D4" w:rsidRDefault="00D74E67" w:rsidP="00585E4F">
      <w:pPr>
        <w:spacing w:before="60" w:after="60" w:line="240" w:lineRule="auto"/>
        <w:jc w:val="both"/>
        <w:rPr>
          <w:rFonts w:ascii="Arial" w:eastAsia="MS Mincho" w:hAnsi="Arial"/>
          <w:b w:val="0"/>
        </w:rPr>
      </w:pPr>
      <w:r w:rsidRPr="009527D4">
        <w:rPr>
          <w:rFonts w:ascii="Arial" w:eastAsia="MS Mincho" w:hAnsi="Arial"/>
          <w:b w:val="0"/>
          <w:i/>
          <w:sz w:val="18"/>
          <w:szCs w:val="18"/>
        </w:rPr>
        <w:t>Source</w:t>
      </w:r>
      <w:r w:rsidRPr="009527D4">
        <w:rPr>
          <w:rFonts w:ascii="Arial" w:eastAsia="MS Mincho" w:hAnsi="Arial"/>
          <w:b w:val="0"/>
          <w:sz w:val="18"/>
          <w:szCs w:val="18"/>
        </w:rPr>
        <w:t>: NSCP</w:t>
      </w:r>
    </w:p>
    <w:p w14:paraId="5DB46A36" w14:textId="761577A4" w:rsidR="00F22106" w:rsidRPr="009527D4" w:rsidRDefault="00F22106" w:rsidP="00585E4F">
      <w:pPr>
        <w:spacing w:before="120" w:after="120" w:line="240" w:lineRule="auto"/>
        <w:jc w:val="both"/>
        <w:rPr>
          <w:rFonts w:ascii="Arial" w:eastAsia="MS Mincho" w:hAnsi="Arial"/>
          <w:b w:val="0"/>
        </w:rPr>
      </w:pPr>
      <w:r w:rsidRPr="009527D4">
        <w:rPr>
          <w:rFonts w:ascii="Arial" w:eastAsia="MS Mincho" w:hAnsi="Arial"/>
          <w:b w:val="0"/>
        </w:rPr>
        <w:t xml:space="preserve">In 2017, 60.5% of notified incident TB cases were men, and 39.5% - women. The male-to-female ratio was 1.53 (in 2013-2016, it varied between 1.53-1.66). TB affects mostly economically active population. In 2017, the largest number of new cases and relapses were registered in age groups 25-34 years and 35-44 years: 43.1% (during the previous four years, </w:t>
      </w:r>
      <w:r w:rsidRPr="00AF3487">
        <w:rPr>
          <w:rFonts w:ascii="Arial" w:eastAsia="MS Mincho" w:hAnsi="Arial"/>
          <w:b w:val="0"/>
        </w:rPr>
        <w:t xml:space="preserve">this proportion was between 44-46%). </w:t>
      </w:r>
      <w:r w:rsidR="00AD59E9" w:rsidRPr="00AF3487">
        <w:rPr>
          <w:rFonts w:ascii="Arial" w:eastAsia="MS Mincho" w:hAnsi="Arial"/>
          <w:b w:val="0"/>
        </w:rPr>
        <w:t>T</w:t>
      </w:r>
      <w:r w:rsidRPr="00AF3487">
        <w:rPr>
          <w:rFonts w:ascii="Arial" w:eastAsia="MS Mincho" w:hAnsi="Arial"/>
          <w:b w:val="0"/>
        </w:rPr>
        <w:t xml:space="preserve">he proportion </w:t>
      </w:r>
      <w:r w:rsidR="00AA4549" w:rsidRPr="00AF3487">
        <w:rPr>
          <w:rFonts w:ascii="Arial" w:eastAsia="MS Mincho" w:hAnsi="Arial"/>
          <w:b w:val="0"/>
        </w:rPr>
        <w:t xml:space="preserve">of elderly people </w:t>
      </w:r>
      <w:r w:rsidR="00AA4549" w:rsidRPr="00F6601E">
        <w:rPr>
          <w:rFonts w:ascii="Arial" w:eastAsia="MS Mincho" w:hAnsi="Arial"/>
          <w:b w:val="0"/>
        </w:rPr>
        <w:t xml:space="preserve">in </w:t>
      </w:r>
      <w:r w:rsidR="000779AA" w:rsidRPr="00F6601E">
        <w:rPr>
          <w:rFonts w:ascii="Arial" w:eastAsia="MS Mincho" w:hAnsi="Arial"/>
          <w:b w:val="0"/>
        </w:rPr>
        <w:t xml:space="preserve">notified </w:t>
      </w:r>
      <w:r w:rsidR="00AA4549" w:rsidRPr="00F6601E">
        <w:rPr>
          <w:rFonts w:ascii="Arial" w:eastAsia="MS Mincho" w:hAnsi="Arial"/>
          <w:b w:val="0"/>
        </w:rPr>
        <w:t>TB</w:t>
      </w:r>
      <w:r w:rsidR="00AA4549" w:rsidRPr="00AF3487">
        <w:rPr>
          <w:rFonts w:ascii="Arial" w:eastAsia="MS Mincho" w:hAnsi="Arial"/>
          <w:b w:val="0"/>
        </w:rPr>
        <w:t xml:space="preserve"> cases is </w:t>
      </w:r>
      <w:r w:rsidR="00AA4549" w:rsidRPr="009527D4">
        <w:rPr>
          <w:rFonts w:ascii="Arial" w:eastAsia="MS Mincho" w:hAnsi="Arial"/>
          <w:b w:val="0"/>
        </w:rPr>
        <w:t>gradually increasing: in the age group 65+ years, it increased from 6.4% in 2013 to 10.0% in 2017.</w:t>
      </w:r>
    </w:p>
    <w:p w14:paraId="2F73C547" w14:textId="7E266A79" w:rsidR="00CC0464" w:rsidRPr="009527D4" w:rsidRDefault="001957C1" w:rsidP="00585E4F">
      <w:pPr>
        <w:spacing w:before="120" w:after="120" w:line="240" w:lineRule="auto"/>
        <w:jc w:val="both"/>
        <w:rPr>
          <w:rFonts w:ascii="Arial" w:eastAsia="MS Mincho" w:hAnsi="Arial"/>
          <w:b w:val="0"/>
        </w:rPr>
      </w:pPr>
      <w:proofErr w:type="gramStart"/>
      <w:r w:rsidRPr="009527D4">
        <w:rPr>
          <w:rFonts w:ascii="Arial" w:eastAsia="MS Mincho" w:hAnsi="Arial"/>
          <w:b w:val="0"/>
        </w:rPr>
        <w:t>The WHO</w:t>
      </w:r>
      <w:proofErr w:type="gramEnd"/>
      <w:r w:rsidRPr="009527D4">
        <w:rPr>
          <w:rFonts w:ascii="Arial" w:eastAsia="MS Mincho" w:hAnsi="Arial"/>
          <w:b w:val="0"/>
        </w:rPr>
        <w:t xml:space="preserve">-estimated number of incident TB cases in children (0-14 years) was 1,200 in 2017, but only 404 cases were notified (33.7% of estimated number). The </w:t>
      </w:r>
      <w:r w:rsidR="001D740A" w:rsidRPr="009527D4">
        <w:rPr>
          <w:rFonts w:ascii="Arial" w:eastAsia="MS Mincho" w:hAnsi="Arial"/>
          <w:b w:val="0"/>
        </w:rPr>
        <w:t>a</w:t>
      </w:r>
      <w:r w:rsidRPr="009527D4">
        <w:rPr>
          <w:rFonts w:ascii="Arial" w:eastAsia="MS Mincho" w:hAnsi="Arial"/>
          <w:b w:val="0"/>
        </w:rPr>
        <w:t xml:space="preserve">bsolute number of incident childhood TB cases was substantially decreasing during the previous four years (2013 – 511, 2014 – 452, 2015 – 392, and 2016 – 326). </w:t>
      </w:r>
      <w:r w:rsidR="00974A96" w:rsidRPr="009527D4">
        <w:rPr>
          <w:rFonts w:ascii="Arial" w:eastAsia="MS Mincho" w:hAnsi="Arial"/>
          <w:b w:val="0"/>
        </w:rPr>
        <w:t xml:space="preserve">The share of 0-14 </w:t>
      </w:r>
      <w:proofErr w:type="gramStart"/>
      <w:r w:rsidR="00974A96" w:rsidRPr="009527D4">
        <w:rPr>
          <w:rFonts w:ascii="Arial" w:eastAsia="MS Mincho" w:hAnsi="Arial"/>
          <w:b w:val="0"/>
        </w:rPr>
        <w:t>years</w:t>
      </w:r>
      <w:proofErr w:type="gramEnd"/>
      <w:r w:rsidR="00974A96" w:rsidRPr="009527D4">
        <w:rPr>
          <w:rFonts w:ascii="Arial" w:eastAsia="MS Mincho" w:hAnsi="Arial"/>
          <w:b w:val="0"/>
        </w:rPr>
        <w:t xml:space="preserve"> age group among incident TB cases was 3.2% in 2017, which is slightly higher than that in 2013-2016, when it varied within </w:t>
      </w:r>
      <w:r w:rsidRPr="009527D4">
        <w:rPr>
          <w:rFonts w:ascii="Arial" w:eastAsia="MS Mincho" w:hAnsi="Arial"/>
          <w:b w:val="0"/>
        </w:rPr>
        <w:t>2.7-3.0</w:t>
      </w:r>
      <w:bookmarkStart w:id="1" w:name="_GoBack"/>
      <w:bookmarkEnd w:id="1"/>
      <w:r w:rsidRPr="00C90092">
        <w:rPr>
          <w:rFonts w:ascii="Arial" w:eastAsia="MS Mincho" w:hAnsi="Arial"/>
          <w:b w:val="0"/>
        </w:rPr>
        <w:t>%</w:t>
      </w:r>
      <w:r w:rsidR="00583E9B" w:rsidRPr="00C90092">
        <w:rPr>
          <w:rStyle w:val="FootnoteReference"/>
          <w:rFonts w:ascii="Arial" w:eastAsia="MS Mincho" w:hAnsi="Arial"/>
          <w:b w:val="0"/>
        </w:rPr>
        <w:footnoteReference w:id="6"/>
      </w:r>
      <w:r w:rsidRPr="00C90092">
        <w:rPr>
          <w:rFonts w:ascii="Arial" w:eastAsia="MS Mincho" w:hAnsi="Arial"/>
          <w:b w:val="0"/>
        </w:rPr>
        <w:t>.</w:t>
      </w:r>
    </w:p>
    <w:p w14:paraId="26F49D84" w14:textId="3A92B8CA" w:rsidR="001D740A" w:rsidRPr="009527D4" w:rsidRDefault="001D740A" w:rsidP="00585E4F">
      <w:pPr>
        <w:spacing w:before="120" w:after="120" w:line="240" w:lineRule="auto"/>
        <w:jc w:val="both"/>
        <w:rPr>
          <w:rFonts w:ascii="Arial" w:eastAsia="MS Mincho" w:hAnsi="Arial"/>
          <w:b w:val="0"/>
        </w:rPr>
      </w:pPr>
      <w:r w:rsidRPr="009527D4">
        <w:rPr>
          <w:rFonts w:ascii="Arial" w:eastAsia="MS Mincho" w:hAnsi="Arial"/>
          <w:b w:val="0"/>
        </w:rPr>
        <w:t>The mortality from TB steadily decreases over time. According to WHO/EURO</w:t>
      </w:r>
      <w:r w:rsidRPr="009527D4">
        <w:rPr>
          <w:rStyle w:val="FootnoteReference"/>
          <w:rFonts w:ascii="Arial" w:hAnsi="Arial" w:cs="Arial"/>
          <w:b w:val="0"/>
        </w:rPr>
        <w:footnoteReference w:id="7"/>
      </w:r>
      <w:r w:rsidRPr="009527D4">
        <w:rPr>
          <w:rFonts w:ascii="Arial" w:eastAsia="MS Mincho" w:hAnsi="Arial"/>
          <w:b w:val="0"/>
        </w:rPr>
        <w:t>, since the coverage and quality of the state vital registration system are adequate, this trend reflects the true reduction in TB burden in the country. The WHO-estimated mortality rate in Kazakhstan is one of the lowest among the Former Soviet Union countries, and during the past 10 years it decreased by more than 17 times (from 19 to 1.1 per 100,000 population, including mortality from HIV-associated TB). The data from the state vital registration system confirm these estimates: between 2008 and 2017, the death rate from TB decreased from 16.6 to 3.0 cases per 100,000 population.</w:t>
      </w:r>
    </w:p>
    <w:p w14:paraId="3CE7226E" w14:textId="3CC8725E" w:rsidR="00B04D8A" w:rsidRDefault="00095987" w:rsidP="00585E4F">
      <w:pPr>
        <w:spacing w:before="120" w:after="120" w:line="240" w:lineRule="auto"/>
        <w:jc w:val="both"/>
        <w:rPr>
          <w:rFonts w:ascii="Arial" w:eastAsia="MS Mincho" w:hAnsi="Arial"/>
          <w:b w:val="0"/>
        </w:rPr>
      </w:pPr>
      <w:r w:rsidRPr="009527D4">
        <w:rPr>
          <w:rFonts w:ascii="Arial" w:eastAsia="MS Mincho" w:hAnsi="Arial"/>
          <w:b w:val="0"/>
        </w:rPr>
        <w:t>The high burden of anti-TB drug resistance is the key challenge for the NTP and the main obstacle for effec</w:t>
      </w:r>
      <w:r w:rsidR="00ED0A60" w:rsidRPr="009527D4">
        <w:rPr>
          <w:rFonts w:ascii="Arial" w:eastAsia="MS Mincho" w:hAnsi="Arial"/>
          <w:b w:val="0"/>
        </w:rPr>
        <w:t xml:space="preserve">tive TB control in the country. According to the NTP data for 2017, </w:t>
      </w:r>
      <w:r w:rsidR="00B04D8A" w:rsidRPr="009527D4">
        <w:rPr>
          <w:rFonts w:ascii="Arial" w:eastAsia="MS Mincho" w:hAnsi="Arial"/>
          <w:b w:val="0"/>
        </w:rPr>
        <w:t xml:space="preserve">the results of drug susceptibility testing (DST) to first-line anti-TB drugs (FLDs) by the oblast reference laboratories and the National Reference Laboratory (NRL) revealed that the proportion of rifampicin-resistant TB (RR-TB) was 25.9% among new cases and 44.0% among previously treated cases. </w:t>
      </w:r>
      <w:r w:rsidR="00B04D8A" w:rsidRPr="00621762">
        <w:rPr>
          <w:rFonts w:ascii="Arial" w:eastAsia="MS Mincho" w:hAnsi="Arial"/>
          <w:b w:val="0"/>
        </w:rPr>
        <w:t xml:space="preserve">Trends in RR-TB prevalence in new and previously treated cases during the last nine years </w:t>
      </w:r>
      <w:proofErr w:type="gramStart"/>
      <w:r w:rsidR="00B04D8A" w:rsidRPr="00621762">
        <w:rPr>
          <w:rFonts w:ascii="Arial" w:eastAsia="MS Mincho" w:hAnsi="Arial"/>
          <w:b w:val="0"/>
        </w:rPr>
        <w:t>is shown</w:t>
      </w:r>
      <w:proofErr w:type="gramEnd"/>
      <w:r w:rsidR="00B04D8A" w:rsidRPr="00621762">
        <w:rPr>
          <w:rFonts w:ascii="Arial" w:eastAsia="MS Mincho" w:hAnsi="Arial"/>
          <w:b w:val="0"/>
        </w:rPr>
        <w:t xml:space="preserve"> in Figure </w:t>
      </w:r>
      <w:r w:rsidR="00583E9B" w:rsidRPr="00621762">
        <w:rPr>
          <w:rFonts w:ascii="Arial" w:eastAsia="MS Mincho" w:hAnsi="Arial"/>
          <w:b w:val="0"/>
        </w:rPr>
        <w:t>5</w:t>
      </w:r>
      <w:r w:rsidR="00B04D8A" w:rsidRPr="00621762">
        <w:rPr>
          <w:rFonts w:ascii="Arial" w:eastAsia="MS Mincho" w:hAnsi="Arial"/>
          <w:b w:val="0"/>
        </w:rPr>
        <w:t>.</w:t>
      </w:r>
    </w:p>
    <w:p w14:paraId="6264A636" w14:textId="77777777" w:rsidR="008B4D7D" w:rsidRDefault="008B4D7D" w:rsidP="00585E4F">
      <w:pPr>
        <w:spacing w:before="60" w:after="60" w:line="240" w:lineRule="auto"/>
        <w:jc w:val="center"/>
        <w:rPr>
          <w:rFonts w:ascii="Arial" w:hAnsi="Arial"/>
          <w:sz w:val="20"/>
        </w:rPr>
      </w:pPr>
    </w:p>
    <w:p w14:paraId="4A495C01" w14:textId="77777777" w:rsidR="008B4D7D" w:rsidRDefault="008B4D7D" w:rsidP="00585E4F">
      <w:pPr>
        <w:spacing w:before="60" w:after="60" w:line="240" w:lineRule="auto"/>
        <w:jc w:val="center"/>
        <w:rPr>
          <w:rFonts w:ascii="Arial" w:hAnsi="Arial"/>
          <w:sz w:val="20"/>
        </w:rPr>
      </w:pPr>
    </w:p>
    <w:p w14:paraId="629BF027" w14:textId="2765C3CA" w:rsidR="00B04D8A" w:rsidRPr="009527D4" w:rsidRDefault="00B04D8A" w:rsidP="00585E4F">
      <w:pPr>
        <w:spacing w:before="60" w:after="60" w:line="240" w:lineRule="auto"/>
        <w:jc w:val="center"/>
        <w:rPr>
          <w:rFonts w:ascii="Arial" w:hAnsi="Arial"/>
          <w:sz w:val="20"/>
        </w:rPr>
      </w:pPr>
      <w:r w:rsidRPr="00F6601E">
        <w:rPr>
          <w:rFonts w:ascii="Arial" w:hAnsi="Arial"/>
          <w:sz w:val="20"/>
        </w:rPr>
        <w:lastRenderedPageBreak/>
        <w:t>Fig</w:t>
      </w:r>
      <w:r w:rsidR="00FC697A" w:rsidRPr="00F6601E">
        <w:rPr>
          <w:rFonts w:ascii="Arial" w:hAnsi="Arial"/>
          <w:sz w:val="20"/>
        </w:rPr>
        <w:t>.</w:t>
      </w:r>
      <w:r w:rsidRPr="00F6601E">
        <w:rPr>
          <w:rFonts w:ascii="Arial" w:hAnsi="Arial"/>
          <w:sz w:val="20"/>
        </w:rPr>
        <w:t xml:space="preserve"> </w:t>
      </w:r>
      <w:r w:rsidR="00583E9B" w:rsidRPr="00F6601E">
        <w:rPr>
          <w:rFonts w:ascii="Arial" w:hAnsi="Arial"/>
          <w:sz w:val="20"/>
        </w:rPr>
        <w:t>5</w:t>
      </w:r>
      <w:r w:rsidRPr="00F6601E">
        <w:rPr>
          <w:rFonts w:ascii="Arial" w:hAnsi="Arial"/>
          <w:sz w:val="20"/>
        </w:rPr>
        <w:t>. Proportion of RR-TB</w:t>
      </w:r>
      <w:r w:rsidRPr="009527D4">
        <w:rPr>
          <w:rFonts w:ascii="Arial" w:hAnsi="Arial"/>
          <w:sz w:val="20"/>
        </w:rPr>
        <w:t xml:space="preserve"> among new and previously treated TB cases </w:t>
      </w:r>
      <w:r w:rsidRPr="009527D4">
        <w:rPr>
          <w:rFonts w:ascii="Arial" w:hAnsi="Arial"/>
          <w:sz w:val="20"/>
        </w:rPr>
        <w:br/>
        <w:t xml:space="preserve">with DST results to FLDs in Kazakhstan, </w:t>
      </w:r>
      <w:proofErr w:type="gramStart"/>
      <w:r w:rsidRPr="009527D4">
        <w:rPr>
          <w:rFonts w:ascii="Arial" w:hAnsi="Arial"/>
          <w:sz w:val="20"/>
        </w:rPr>
        <w:t>%</w:t>
      </w:r>
      <w:proofErr w:type="gramEnd"/>
      <w:r w:rsidRPr="009527D4">
        <w:rPr>
          <w:rFonts w:ascii="Arial" w:hAnsi="Arial"/>
          <w:sz w:val="20"/>
        </w:rPr>
        <w:t>, 2009-2017</w:t>
      </w:r>
    </w:p>
    <w:p w14:paraId="1358FA23" w14:textId="77777777" w:rsidR="00B04D8A" w:rsidRPr="009527D4" w:rsidRDefault="00B04D8A" w:rsidP="00585E4F">
      <w:pPr>
        <w:spacing w:before="60" w:after="60" w:line="240" w:lineRule="auto"/>
        <w:jc w:val="center"/>
        <w:rPr>
          <w:rFonts w:cs="Calibri"/>
          <w:sz w:val="8"/>
          <w:szCs w:val="8"/>
        </w:rPr>
      </w:pPr>
    </w:p>
    <w:p w14:paraId="5780CEC1" w14:textId="69376826" w:rsidR="00B04D8A" w:rsidRPr="009527D4" w:rsidRDefault="00B04D8A" w:rsidP="00585E4F">
      <w:pPr>
        <w:spacing w:before="60" w:after="60" w:line="240" w:lineRule="auto"/>
        <w:jc w:val="center"/>
        <w:rPr>
          <w:rFonts w:cs="Calibri"/>
        </w:rPr>
      </w:pPr>
      <w:r w:rsidRPr="009527D4">
        <w:rPr>
          <w:rFonts w:cs="Calibri"/>
          <w:noProof/>
        </w:rPr>
        <w:drawing>
          <wp:inline distT="0" distB="0" distL="0" distR="0" wp14:anchorId="7D744D23" wp14:editId="11C0C243">
            <wp:extent cx="4629347" cy="29227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8463" cy="2934783"/>
                    </a:xfrm>
                    <a:prstGeom prst="rect">
                      <a:avLst/>
                    </a:prstGeom>
                    <a:noFill/>
                  </pic:spPr>
                </pic:pic>
              </a:graphicData>
            </a:graphic>
          </wp:inline>
        </w:drawing>
      </w:r>
    </w:p>
    <w:p w14:paraId="0388AB3E" w14:textId="26BAA392" w:rsidR="00B04D8A" w:rsidRPr="009527D4" w:rsidRDefault="00160333" w:rsidP="00585E4F">
      <w:pPr>
        <w:spacing w:before="60" w:after="60" w:line="240" w:lineRule="auto"/>
        <w:jc w:val="center"/>
        <w:rPr>
          <w:rFonts w:ascii="Arial" w:hAnsi="Arial"/>
          <w:b w:val="0"/>
        </w:rPr>
      </w:pPr>
      <w:r w:rsidRPr="009527D4">
        <w:rPr>
          <w:rFonts w:ascii="Arial" w:hAnsi="Arial"/>
          <w:b w:val="0"/>
          <w:i/>
          <w:sz w:val="18"/>
          <w:szCs w:val="18"/>
        </w:rPr>
        <w:t>Source</w:t>
      </w:r>
      <w:r w:rsidRPr="009527D4">
        <w:rPr>
          <w:rFonts w:ascii="Arial" w:hAnsi="Arial"/>
          <w:b w:val="0"/>
          <w:sz w:val="18"/>
          <w:szCs w:val="18"/>
        </w:rPr>
        <w:t>: NSCP</w:t>
      </w:r>
    </w:p>
    <w:p w14:paraId="71AA29EA" w14:textId="23BB0AE6" w:rsidR="0044515F" w:rsidRPr="009527D4" w:rsidRDefault="001C0390" w:rsidP="00585E4F">
      <w:pPr>
        <w:spacing w:before="120" w:after="120" w:line="240" w:lineRule="auto"/>
        <w:jc w:val="both"/>
        <w:rPr>
          <w:rFonts w:ascii="Arial" w:eastAsia="MS Mincho" w:hAnsi="Arial"/>
          <w:b w:val="0"/>
        </w:rPr>
      </w:pPr>
      <w:r w:rsidRPr="00F6601E">
        <w:rPr>
          <w:rFonts w:ascii="Arial" w:eastAsia="MS Mincho" w:hAnsi="Arial"/>
          <w:b w:val="0"/>
        </w:rPr>
        <w:t xml:space="preserve">Resistance to second-line drugs (SLDs) is an acute and growing concern for the NTP. </w:t>
      </w:r>
      <w:r w:rsidR="00990F67" w:rsidRPr="00F6601E">
        <w:rPr>
          <w:rFonts w:ascii="Arial" w:eastAsia="MS Mincho" w:hAnsi="Arial"/>
          <w:b w:val="0"/>
        </w:rPr>
        <w:t>SLD DST coverage in MDR-TB patients has been improving: from 43.9% (3,587 out of 8,165 MDR cases tested) in 2013 to 68.1% (5,114 / 7,509) in 2015, 73.3% (4,441 / 6,060) in 2017 and 74.0% (3,060 / 4,133) during the first 9 months of 2018.</w:t>
      </w:r>
      <w:r w:rsidR="00990F67" w:rsidRPr="00F6601E">
        <w:rPr>
          <w:rFonts w:ascii="Arial" w:eastAsia="MS Mincho" w:hAnsi="Arial"/>
          <w:b w:val="0"/>
          <w:color w:val="00B050"/>
        </w:rPr>
        <w:t xml:space="preserve"> </w:t>
      </w:r>
      <w:r w:rsidRPr="00F6601E">
        <w:rPr>
          <w:rFonts w:ascii="Arial" w:eastAsia="MS Mincho" w:hAnsi="Arial"/>
          <w:b w:val="0"/>
        </w:rPr>
        <w:t>While, due to the over</w:t>
      </w:r>
      <w:r w:rsidRPr="009527D4">
        <w:rPr>
          <w:rFonts w:ascii="Arial" w:eastAsia="MS Mincho" w:hAnsi="Arial"/>
          <w:b w:val="0"/>
        </w:rPr>
        <w:t xml:space="preserve">all decreasing trend in TB notifications over the last decade, the total number of MDR-TB cases in the country has been decreasing as well (e.g. from 8,048 cases in 2014 to 6,210 cases in 2017), the proportion and absolute number of cases with SLD resistance among them is on rise. During the same period (2014-2017), the number and proportion of ‘pre-XDR’ and XDR cases increased from 1,766 (21.9%) to 1,989 (32.0%), respectively. </w:t>
      </w:r>
      <w:r w:rsidR="00095987" w:rsidRPr="009527D4">
        <w:rPr>
          <w:rFonts w:ascii="Arial" w:eastAsia="MS Mincho" w:hAnsi="Arial"/>
          <w:b w:val="0"/>
        </w:rPr>
        <w:t xml:space="preserve">This </w:t>
      </w:r>
      <w:r w:rsidRPr="009527D4">
        <w:rPr>
          <w:rFonts w:ascii="Arial" w:eastAsia="MS Mincho" w:hAnsi="Arial"/>
          <w:b w:val="0"/>
        </w:rPr>
        <w:t xml:space="preserve">trend </w:t>
      </w:r>
      <w:r w:rsidR="00095987" w:rsidRPr="009527D4">
        <w:rPr>
          <w:rFonts w:ascii="Arial" w:eastAsia="MS Mincho" w:hAnsi="Arial"/>
          <w:b w:val="0"/>
        </w:rPr>
        <w:t xml:space="preserve">mandates the NTP to mobilize all resources and efforts in order to provide universal access to </w:t>
      </w:r>
      <w:r w:rsidRPr="009527D4">
        <w:rPr>
          <w:rFonts w:ascii="Arial" w:eastAsia="MS Mincho" w:hAnsi="Arial"/>
          <w:b w:val="0"/>
        </w:rPr>
        <w:t xml:space="preserve">rapid and quality diagnosis of TB and DR-TB and </w:t>
      </w:r>
      <w:r w:rsidR="00095987" w:rsidRPr="009527D4">
        <w:rPr>
          <w:rFonts w:ascii="Arial" w:eastAsia="MS Mincho" w:hAnsi="Arial"/>
          <w:b w:val="0"/>
        </w:rPr>
        <w:t xml:space="preserve">appropriate </w:t>
      </w:r>
      <w:r w:rsidRPr="009527D4">
        <w:rPr>
          <w:rFonts w:ascii="Arial" w:eastAsia="MS Mincho" w:hAnsi="Arial"/>
          <w:b w:val="0"/>
        </w:rPr>
        <w:t xml:space="preserve">treatment </w:t>
      </w:r>
      <w:r w:rsidR="00095987" w:rsidRPr="009527D4">
        <w:rPr>
          <w:rFonts w:ascii="Arial" w:eastAsia="MS Mincho" w:hAnsi="Arial"/>
          <w:b w:val="0"/>
        </w:rPr>
        <w:t xml:space="preserve">for all patients according to </w:t>
      </w:r>
      <w:r w:rsidRPr="009527D4">
        <w:rPr>
          <w:rFonts w:ascii="Arial" w:eastAsia="MS Mincho" w:hAnsi="Arial"/>
          <w:b w:val="0"/>
        </w:rPr>
        <w:t xml:space="preserve">the </w:t>
      </w:r>
      <w:r w:rsidR="00095987" w:rsidRPr="009527D4">
        <w:rPr>
          <w:rFonts w:ascii="Arial" w:eastAsia="MS Mincho" w:hAnsi="Arial"/>
          <w:b w:val="0"/>
        </w:rPr>
        <w:t>resistance profile.</w:t>
      </w:r>
    </w:p>
    <w:p w14:paraId="797BF1FB" w14:textId="3F267EA6" w:rsidR="00095987" w:rsidRPr="009527D4" w:rsidRDefault="00095987" w:rsidP="00585E4F">
      <w:pPr>
        <w:spacing w:before="120" w:after="120" w:line="240" w:lineRule="auto"/>
        <w:jc w:val="both"/>
        <w:rPr>
          <w:rFonts w:ascii="Arial" w:eastAsia="MS Mincho" w:hAnsi="Arial"/>
          <w:b w:val="0"/>
        </w:rPr>
      </w:pPr>
      <w:r w:rsidRPr="009527D4">
        <w:rPr>
          <w:rFonts w:ascii="Arial" w:eastAsia="MS Mincho" w:hAnsi="Arial"/>
          <w:b w:val="0"/>
        </w:rPr>
        <w:t xml:space="preserve">Tuberculosis remains an </w:t>
      </w:r>
      <w:r w:rsidR="00261CDE" w:rsidRPr="009527D4">
        <w:rPr>
          <w:rFonts w:ascii="Arial" w:eastAsia="MS Mincho" w:hAnsi="Arial"/>
          <w:b w:val="0"/>
        </w:rPr>
        <w:t>important</w:t>
      </w:r>
      <w:r w:rsidRPr="009527D4">
        <w:rPr>
          <w:rFonts w:ascii="Arial" w:eastAsia="MS Mincho" w:hAnsi="Arial"/>
          <w:b w:val="0"/>
        </w:rPr>
        <w:t xml:space="preserve"> problem in the penitentiary sector. </w:t>
      </w:r>
      <w:r w:rsidR="00261CDE" w:rsidRPr="009527D4">
        <w:rPr>
          <w:rFonts w:ascii="Arial" w:eastAsia="MS Mincho" w:hAnsi="Arial"/>
          <w:b w:val="0"/>
        </w:rPr>
        <w:t xml:space="preserve">The successful implementation of the </w:t>
      </w:r>
      <w:r w:rsidRPr="009527D4">
        <w:rPr>
          <w:rFonts w:ascii="Arial" w:eastAsia="MS Mincho" w:hAnsi="Arial"/>
          <w:b w:val="0"/>
        </w:rPr>
        <w:t>criminal law reform</w:t>
      </w:r>
      <w:r w:rsidR="00261CDE" w:rsidRPr="009527D4">
        <w:rPr>
          <w:rFonts w:ascii="Arial" w:eastAsia="MS Mincho" w:hAnsi="Arial"/>
          <w:b w:val="0"/>
        </w:rPr>
        <w:t>, includ</w:t>
      </w:r>
      <w:r w:rsidR="00361C66" w:rsidRPr="009527D4">
        <w:rPr>
          <w:rFonts w:ascii="Arial" w:eastAsia="MS Mincho" w:hAnsi="Arial"/>
          <w:b w:val="0"/>
        </w:rPr>
        <w:t xml:space="preserve">ing </w:t>
      </w:r>
      <w:r w:rsidR="00261CDE" w:rsidRPr="009527D4">
        <w:rPr>
          <w:rFonts w:ascii="Arial" w:eastAsia="MS Mincho" w:hAnsi="Arial"/>
          <w:b w:val="0"/>
        </w:rPr>
        <w:t>application of alternative sanctions</w:t>
      </w:r>
      <w:r w:rsidR="00361C66" w:rsidRPr="009527D4">
        <w:rPr>
          <w:rFonts w:ascii="Arial" w:eastAsia="MS Mincho" w:hAnsi="Arial"/>
          <w:b w:val="0"/>
        </w:rPr>
        <w:t xml:space="preserve">, allowed </w:t>
      </w:r>
      <w:proofErr w:type="gramStart"/>
      <w:r w:rsidRPr="009527D4">
        <w:rPr>
          <w:rFonts w:ascii="Arial" w:eastAsia="MS Mincho" w:hAnsi="Arial"/>
          <w:b w:val="0"/>
        </w:rPr>
        <w:t>to reduce</w:t>
      </w:r>
      <w:proofErr w:type="gramEnd"/>
      <w:r w:rsidRPr="009527D4">
        <w:rPr>
          <w:rFonts w:ascii="Arial" w:eastAsia="MS Mincho" w:hAnsi="Arial"/>
          <w:b w:val="0"/>
        </w:rPr>
        <w:t xml:space="preserve"> the number of imprisoned population. While in 1998, Kazakhstan had the third-highest rate of prison population in the </w:t>
      </w:r>
      <w:proofErr w:type="gramStart"/>
      <w:r w:rsidRPr="009527D4">
        <w:rPr>
          <w:rFonts w:ascii="Arial" w:eastAsia="MS Mincho" w:hAnsi="Arial"/>
          <w:b w:val="0"/>
        </w:rPr>
        <w:t>world,</w:t>
      </w:r>
      <w:proofErr w:type="gramEnd"/>
      <w:r w:rsidRPr="009527D4">
        <w:rPr>
          <w:rFonts w:ascii="Arial" w:eastAsia="MS Mincho" w:hAnsi="Arial"/>
          <w:b w:val="0"/>
        </w:rPr>
        <w:t xml:space="preserve"> in 201</w:t>
      </w:r>
      <w:r w:rsidR="00361C66" w:rsidRPr="009527D4">
        <w:rPr>
          <w:rFonts w:ascii="Arial" w:eastAsia="MS Mincho" w:hAnsi="Arial"/>
          <w:b w:val="0"/>
        </w:rPr>
        <w:t>7</w:t>
      </w:r>
      <w:r w:rsidRPr="009527D4">
        <w:rPr>
          <w:rFonts w:ascii="Arial" w:eastAsia="MS Mincho" w:hAnsi="Arial"/>
          <w:b w:val="0"/>
        </w:rPr>
        <w:t xml:space="preserve"> it was on the </w:t>
      </w:r>
      <w:r w:rsidR="00361C66" w:rsidRPr="009527D4">
        <w:rPr>
          <w:rFonts w:ascii="Arial" w:eastAsia="MS Mincho" w:hAnsi="Arial"/>
          <w:b w:val="0"/>
        </w:rPr>
        <w:t>82</w:t>
      </w:r>
      <w:r w:rsidR="00361C66" w:rsidRPr="009527D4">
        <w:rPr>
          <w:rFonts w:ascii="Arial" w:eastAsia="MS Mincho" w:hAnsi="Arial"/>
          <w:b w:val="0"/>
          <w:vertAlign w:val="superscript"/>
        </w:rPr>
        <w:t>nd</w:t>
      </w:r>
      <w:r w:rsidR="00361C66" w:rsidRPr="009527D4">
        <w:rPr>
          <w:rFonts w:ascii="Arial" w:eastAsia="MS Mincho" w:hAnsi="Arial"/>
          <w:b w:val="0"/>
        </w:rPr>
        <w:t xml:space="preserve"> </w:t>
      </w:r>
      <w:r w:rsidRPr="009527D4">
        <w:rPr>
          <w:rFonts w:ascii="Arial" w:eastAsia="MS Mincho" w:hAnsi="Arial"/>
          <w:b w:val="0"/>
        </w:rPr>
        <w:t xml:space="preserve">place. The average annual number of detainees in the criminal-executive system (CES) of Kazakhstan was </w:t>
      </w:r>
      <w:r w:rsidR="00361C66" w:rsidRPr="009527D4">
        <w:rPr>
          <w:rFonts w:ascii="Arial" w:eastAsia="MS Mincho" w:hAnsi="Arial"/>
          <w:b w:val="0"/>
        </w:rPr>
        <w:t>35.</w:t>
      </w:r>
      <w:r w:rsidR="00B92A6D" w:rsidRPr="009527D4">
        <w:rPr>
          <w:rFonts w:ascii="Arial" w:eastAsia="MS Mincho" w:hAnsi="Arial"/>
          <w:b w:val="0"/>
        </w:rPr>
        <w:t>5</w:t>
      </w:r>
      <w:r w:rsidR="00361C66" w:rsidRPr="009527D4">
        <w:rPr>
          <w:rFonts w:ascii="Arial" w:eastAsia="MS Mincho" w:hAnsi="Arial"/>
          <w:b w:val="0"/>
        </w:rPr>
        <w:t xml:space="preserve"> </w:t>
      </w:r>
      <w:r w:rsidRPr="009527D4">
        <w:rPr>
          <w:rFonts w:ascii="Arial" w:eastAsia="MS Mincho" w:hAnsi="Arial"/>
          <w:b w:val="0"/>
        </w:rPr>
        <w:t>thousan</w:t>
      </w:r>
      <w:r w:rsidR="00361C66" w:rsidRPr="009527D4">
        <w:rPr>
          <w:rFonts w:ascii="Arial" w:eastAsia="MS Mincho" w:hAnsi="Arial"/>
          <w:b w:val="0"/>
        </w:rPr>
        <w:t>d in 2017.</w:t>
      </w:r>
    </w:p>
    <w:p w14:paraId="5580BE56" w14:textId="746720DB" w:rsidR="00361C66" w:rsidRPr="009630E1" w:rsidRDefault="00361C66" w:rsidP="00585E4F">
      <w:pPr>
        <w:spacing w:before="120" w:after="120" w:line="240" w:lineRule="auto"/>
        <w:jc w:val="both"/>
        <w:rPr>
          <w:rFonts w:ascii="Arial" w:eastAsia="MS Mincho" w:hAnsi="Arial"/>
          <w:b w:val="0"/>
        </w:rPr>
      </w:pPr>
      <w:r w:rsidRPr="009630E1">
        <w:rPr>
          <w:rFonts w:ascii="Arial" w:eastAsia="MS Mincho" w:hAnsi="Arial"/>
          <w:b w:val="0"/>
        </w:rPr>
        <w:t xml:space="preserve">During the last </w:t>
      </w:r>
      <w:proofErr w:type="gramStart"/>
      <w:r w:rsidRPr="009630E1">
        <w:rPr>
          <w:rFonts w:ascii="Arial" w:eastAsia="MS Mincho" w:hAnsi="Arial"/>
          <w:b w:val="0"/>
        </w:rPr>
        <w:t>decade</w:t>
      </w:r>
      <w:proofErr w:type="gramEnd"/>
      <w:r w:rsidRPr="009630E1">
        <w:rPr>
          <w:rFonts w:ascii="Arial" w:eastAsia="MS Mincho" w:hAnsi="Arial"/>
          <w:b w:val="0"/>
        </w:rPr>
        <w:t xml:space="preserve"> the incidence of TB in the penitentiary system decreased significantly. The annual number of active TB cases in the detention institutions and pre-trial isolators between 2008 and 201</w:t>
      </w:r>
      <w:r w:rsidR="0044515F" w:rsidRPr="009630E1">
        <w:rPr>
          <w:rFonts w:ascii="Arial" w:eastAsia="MS Mincho" w:hAnsi="Arial"/>
          <w:b w:val="0"/>
        </w:rPr>
        <w:t>7</w:t>
      </w:r>
      <w:r w:rsidRPr="009630E1">
        <w:rPr>
          <w:rFonts w:ascii="Arial" w:eastAsia="MS Mincho" w:hAnsi="Arial"/>
          <w:b w:val="0"/>
        </w:rPr>
        <w:t xml:space="preserve"> decreased </w:t>
      </w:r>
      <w:r w:rsidR="009630E1" w:rsidRPr="009630E1">
        <w:rPr>
          <w:rFonts w:ascii="Arial" w:eastAsia="MS Mincho" w:hAnsi="Arial"/>
          <w:b w:val="0"/>
        </w:rPr>
        <w:t>4.</w:t>
      </w:r>
      <w:r w:rsidRPr="009630E1">
        <w:rPr>
          <w:rFonts w:ascii="Arial" w:eastAsia="MS Mincho" w:hAnsi="Arial"/>
          <w:b w:val="0"/>
        </w:rPr>
        <w:t>8</w:t>
      </w:r>
      <w:r w:rsidR="009630E1" w:rsidRPr="009630E1">
        <w:rPr>
          <w:rFonts w:ascii="Arial" w:eastAsia="MS Mincho" w:hAnsi="Arial"/>
          <w:b w:val="0"/>
        </w:rPr>
        <w:t xml:space="preserve"> </w:t>
      </w:r>
      <w:r w:rsidRPr="009630E1">
        <w:rPr>
          <w:rFonts w:ascii="Arial" w:eastAsia="MS Mincho" w:hAnsi="Arial"/>
          <w:b w:val="0"/>
        </w:rPr>
        <w:t xml:space="preserve">times and </w:t>
      </w:r>
      <w:r w:rsidR="009630E1" w:rsidRPr="009630E1">
        <w:rPr>
          <w:rFonts w:ascii="Arial" w:eastAsia="MS Mincho" w:hAnsi="Arial"/>
          <w:b w:val="0"/>
        </w:rPr>
        <w:t>2</w:t>
      </w:r>
      <w:r w:rsidRPr="009630E1">
        <w:rPr>
          <w:rFonts w:ascii="Arial" w:eastAsia="MS Mincho" w:hAnsi="Arial"/>
          <w:b w:val="0"/>
        </w:rPr>
        <w:t xml:space="preserve">.5 times, </w:t>
      </w:r>
      <w:r w:rsidR="009630E1" w:rsidRPr="009630E1">
        <w:rPr>
          <w:rFonts w:ascii="Arial" w:eastAsia="MS Mincho" w:hAnsi="Arial"/>
          <w:b w:val="0"/>
        </w:rPr>
        <w:t>respectively (4</w:t>
      </w:r>
      <w:r w:rsidRPr="009630E1">
        <w:rPr>
          <w:rFonts w:ascii="Arial" w:eastAsia="MS Mincho" w:hAnsi="Arial"/>
          <w:b w:val="0"/>
        </w:rPr>
        <w:t>.</w:t>
      </w:r>
      <w:r w:rsidR="009630E1" w:rsidRPr="009630E1">
        <w:rPr>
          <w:rFonts w:ascii="Arial" w:eastAsia="MS Mincho" w:hAnsi="Arial"/>
          <w:b w:val="0"/>
        </w:rPr>
        <w:t>2</w:t>
      </w:r>
      <w:r w:rsidRPr="009630E1">
        <w:rPr>
          <w:rFonts w:ascii="Arial" w:eastAsia="MS Mincho" w:hAnsi="Arial"/>
          <w:b w:val="0"/>
        </w:rPr>
        <w:t xml:space="preserve"> times in the system overall). </w:t>
      </w:r>
      <w:r w:rsidR="0044515F" w:rsidRPr="009630E1">
        <w:rPr>
          <w:rFonts w:ascii="Arial" w:eastAsia="MS Mincho" w:hAnsi="Arial"/>
          <w:b w:val="0"/>
        </w:rPr>
        <w:t>Between the same years, the rate of all TB cases per 100,000 prison population decreased from 5,40</w:t>
      </w:r>
      <w:r w:rsidR="009630E1" w:rsidRPr="009630E1">
        <w:rPr>
          <w:rFonts w:ascii="Arial" w:eastAsia="MS Mincho" w:hAnsi="Arial"/>
          <w:b w:val="0"/>
        </w:rPr>
        <w:t>6</w:t>
      </w:r>
      <w:r w:rsidR="0044515F" w:rsidRPr="009630E1">
        <w:rPr>
          <w:rFonts w:ascii="Arial" w:eastAsia="MS Mincho" w:hAnsi="Arial"/>
          <w:b w:val="0"/>
        </w:rPr>
        <w:t xml:space="preserve"> to </w:t>
      </w:r>
      <w:r w:rsidR="009630E1" w:rsidRPr="009630E1">
        <w:rPr>
          <w:rFonts w:ascii="Arial" w:eastAsia="MS Mincho" w:hAnsi="Arial"/>
          <w:b w:val="0"/>
        </w:rPr>
        <w:t>2</w:t>
      </w:r>
      <w:r w:rsidR="0044515F" w:rsidRPr="009630E1">
        <w:rPr>
          <w:rFonts w:ascii="Arial" w:eastAsia="MS Mincho" w:hAnsi="Arial"/>
          <w:b w:val="0"/>
        </w:rPr>
        <w:t>,</w:t>
      </w:r>
      <w:r w:rsidR="009630E1" w:rsidRPr="009630E1">
        <w:rPr>
          <w:rFonts w:ascii="Arial" w:eastAsia="MS Mincho" w:hAnsi="Arial"/>
          <w:b w:val="0"/>
        </w:rPr>
        <w:t>015</w:t>
      </w:r>
      <w:r w:rsidR="0044515F" w:rsidRPr="009630E1">
        <w:rPr>
          <w:rFonts w:ascii="Arial" w:eastAsia="MS Mincho" w:hAnsi="Arial"/>
          <w:b w:val="0"/>
        </w:rPr>
        <w:t xml:space="preserve"> (</w:t>
      </w:r>
      <w:r w:rsidR="009630E1" w:rsidRPr="009630E1">
        <w:rPr>
          <w:rFonts w:ascii="Arial" w:eastAsia="MS Mincho" w:hAnsi="Arial"/>
          <w:b w:val="0"/>
        </w:rPr>
        <w:t>2</w:t>
      </w:r>
      <w:r w:rsidR="00623CB2" w:rsidRPr="009630E1">
        <w:rPr>
          <w:rFonts w:ascii="Arial" w:eastAsia="MS Mincho" w:hAnsi="Arial"/>
          <w:b w:val="0"/>
        </w:rPr>
        <w:t>.</w:t>
      </w:r>
      <w:r w:rsidR="009630E1" w:rsidRPr="009630E1">
        <w:rPr>
          <w:rFonts w:ascii="Arial" w:eastAsia="MS Mincho" w:hAnsi="Arial"/>
          <w:b w:val="0"/>
        </w:rPr>
        <w:t>7</w:t>
      </w:r>
      <w:r w:rsidR="0044515F" w:rsidRPr="009630E1">
        <w:rPr>
          <w:rFonts w:ascii="Arial" w:eastAsia="MS Mincho" w:hAnsi="Arial"/>
          <w:b w:val="0"/>
        </w:rPr>
        <w:t xml:space="preserve"> times), being, however, </w:t>
      </w:r>
      <w:r w:rsidR="00623CB2" w:rsidRPr="009630E1">
        <w:rPr>
          <w:rFonts w:ascii="Arial" w:eastAsia="MS Mincho" w:hAnsi="Arial"/>
          <w:b w:val="0"/>
        </w:rPr>
        <w:t>2</w:t>
      </w:r>
      <w:r w:rsidR="009630E1" w:rsidRPr="009630E1">
        <w:rPr>
          <w:rFonts w:ascii="Arial" w:eastAsia="MS Mincho" w:hAnsi="Arial"/>
          <w:b w:val="0"/>
        </w:rPr>
        <w:t>5</w:t>
      </w:r>
      <w:r w:rsidR="00623CB2" w:rsidRPr="009630E1">
        <w:rPr>
          <w:rFonts w:ascii="Arial" w:eastAsia="MS Mincho" w:hAnsi="Arial"/>
          <w:b w:val="0"/>
        </w:rPr>
        <w:t xml:space="preserve"> </w:t>
      </w:r>
      <w:r w:rsidR="0044515F" w:rsidRPr="009630E1">
        <w:rPr>
          <w:rFonts w:ascii="Arial" w:eastAsia="MS Mincho" w:hAnsi="Arial"/>
          <w:b w:val="0"/>
        </w:rPr>
        <w:t xml:space="preserve">times higher than the </w:t>
      </w:r>
      <w:proofErr w:type="gramStart"/>
      <w:r w:rsidR="0044515F" w:rsidRPr="009630E1">
        <w:rPr>
          <w:rFonts w:ascii="Arial" w:eastAsia="MS Mincho" w:hAnsi="Arial"/>
          <w:b w:val="0"/>
        </w:rPr>
        <w:t>country-wide</w:t>
      </w:r>
      <w:proofErr w:type="gramEnd"/>
      <w:r w:rsidR="0044515F" w:rsidRPr="009630E1">
        <w:rPr>
          <w:rFonts w:ascii="Arial" w:eastAsia="MS Mincho" w:hAnsi="Arial"/>
          <w:b w:val="0"/>
        </w:rPr>
        <w:t xml:space="preserve"> level.</w:t>
      </w:r>
    </w:p>
    <w:p w14:paraId="64F5C019" w14:textId="77777777" w:rsidR="009074CD" w:rsidRPr="009527D4" w:rsidRDefault="0044515F" w:rsidP="00585E4F">
      <w:pPr>
        <w:spacing w:before="120" w:after="120" w:line="240" w:lineRule="auto"/>
        <w:jc w:val="both"/>
        <w:rPr>
          <w:rFonts w:ascii="Arial" w:eastAsia="MS Mincho" w:hAnsi="Arial"/>
          <w:b w:val="0"/>
        </w:rPr>
      </w:pPr>
      <w:r w:rsidRPr="009630E1">
        <w:rPr>
          <w:rFonts w:ascii="Arial" w:eastAsia="MS Mincho" w:hAnsi="Arial"/>
          <w:b w:val="0"/>
        </w:rPr>
        <w:t>In view of the decreasing size of the total prison population, and the decreasing trends of TB cases, during the recent years the absolute number of DR-TB patients in the penitentiary system has been substantially decreasing as well. If in 2012-2013 there were more</w:t>
      </w:r>
      <w:r w:rsidR="00444E0F" w:rsidRPr="009630E1">
        <w:rPr>
          <w:rFonts w:ascii="Arial" w:eastAsia="MS Mincho" w:hAnsi="Arial"/>
          <w:b w:val="0"/>
        </w:rPr>
        <w:t xml:space="preserve"> than 800 MDR cases, they were 652 in 2015, 435 in 2016, and 306 in 2017. In 2017, 74.2% of all patients with active TB in prisons had RR/MDR-TB, and out of them 35.3% had extensively drug-resistant forms (‘pre-XDR’ and XDR-TB).</w:t>
      </w:r>
      <w:r w:rsidR="00444E0F" w:rsidRPr="009527D4">
        <w:rPr>
          <w:rFonts w:ascii="Arial" w:eastAsia="MS Mincho" w:hAnsi="Arial"/>
          <w:b w:val="0"/>
        </w:rPr>
        <w:t xml:space="preserve"> </w:t>
      </w:r>
    </w:p>
    <w:p w14:paraId="7B44B5DB" w14:textId="085C2D8A" w:rsidR="008B6023" w:rsidRPr="007645C2" w:rsidRDefault="00FF205D" w:rsidP="00585E4F">
      <w:pPr>
        <w:spacing w:before="120" w:after="120" w:line="240" w:lineRule="auto"/>
        <w:jc w:val="both"/>
        <w:rPr>
          <w:rFonts w:ascii="Arial" w:eastAsia="MS Mincho" w:hAnsi="Arial"/>
          <w:b w:val="0"/>
        </w:rPr>
      </w:pPr>
      <w:r w:rsidRPr="007645C2">
        <w:rPr>
          <w:rFonts w:ascii="Arial" w:eastAsia="MS Mincho" w:hAnsi="Arial"/>
          <w:b w:val="0"/>
        </w:rPr>
        <w:lastRenderedPageBreak/>
        <w:t>HIV-associated tuberculosis is an important challenge.</w:t>
      </w:r>
      <w:r w:rsidR="008B6023" w:rsidRPr="007645C2">
        <w:rPr>
          <w:rFonts w:ascii="Arial" w:eastAsia="MS Mincho" w:hAnsi="Arial"/>
          <w:b w:val="0"/>
        </w:rPr>
        <w:t xml:space="preserve"> </w:t>
      </w:r>
      <w:r w:rsidR="009527D4" w:rsidRPr="007645C2">
        <w:rPr>
          <w:rFonts w:ascii="Arial" w:eastAsia="MS Mincho" w:hAnsi="Arial"/>
          <w:b w:val="0"/>
        </w:rPr>
        <w:t>Kazakhstan</w:t>
      </w:r>
      <w:r w:rsidR="008B6023" w:rsidRPr="007645C2">
        <w:rPr>
          <w:rFonts w:ascii="Arial" w:eastAsia="MS Mincho" w:hAnsi="Arial"/>
          <w:b w:val="0"/>
        </w:rPr>
        <w:t xml:space="preserve"> is at concentrated stage of HIV epidemics. </w:t>
      </w:r>
      <w:r w:rsidRPr="007645C2">
        <w:rPr>
          <w:rFonts w:ascii="Arial" w:eastAsia="MS Mincho" w:hAnsi="Arial"/>
          <w:b w:val="0"/>
        </w:rPr>
        <w:t xml:space="preserve">According to UNAIDS estimates, 27,000 people lived with HIV (PLHIV) in </w:t>
      </w:r>
      <w:r w:rsidR="008B6023" w:rsidRPr="007645C2">
        <w:rPr>
          <w:rFonts w:ascii="Arial" w:eastAsia="MS Mincho" w:hAnsi="Arial"/>
          <w:b w:val="0"/>
        </w:rPr>
        <w:t>the country</w:t>
      </w:r>
      <w:r w:rsidRPr="007645C2">
        <w:rPr>
          <w:rFonts w:ascii="Arial" w:eastAsia="MS Mincho" w:hAnsi="Arial"/>
          <w:b w:val="0"/>
        </w:rPr>
        <w:t xml:space="preserve"> in 2017</w:t>
      </w:r>
      <w:r w:rsidRPr="007645C2">
        <w:rPr>
          <w:rFonts w:ascii="Arial" w:eastAsia="MS Mincho" w:hAnsi="Arial"/>
          <w:b w:val="0"/>
          <w:vertAlign w:val="superscript"/>
        </w:rPr>
        <w:footnoteReference w:id="8"/>
      </w:r>
      <w:r w:rsidRPr="007645C2">
        <w:rPr>
          <w:rFonts w:ascii="Arial" w:eastAsia="MS Mincho" w:hAnsi="Arial"/>
          <w:b w:val="0"/>
        </w:rPr>
        <w:t>, including 3,700 new infections. The estimated HIV prevalence rate in adult (15-49 years) general population was 0.2%.</w:t>
      </w:r>
    </w:p>
    <w:p w14:paraId="0027047F" w14:textId="0C841734" w:rsidR="008B6023" w:rsidRPr="007645C2" w:rsidRDefault="00FF205D" w:rsidP="00585E4F">
      <w:pPr>
        <w:spacing w:before="120" w:after="120" w:line="240" w:lineRule="auto"/>
        <w:jc w:val="both"/>
        <w:rPr>
          <w:rFonts w:ascii="Arial" w:eastAsia="MS Mincho" w:hAnsi="Arial"/>
          <w:b w:val="0"/>
        </w:rPr>
      </w:pPr>
      <w:r w:rsidRPr="007645C2">
        <w:rPr>
          <w:rFonts w:ascii="Arial" w:eastAsia="MS Mincho" w:hAnsi="Arial"/>
          <w:b w:val="0"/>
        </w:rPr>
        <w:t>According to the Republican AIDS Center, as of end-2017, a total of 32,573 HIV-positive cases were registered in the country since the onset of the epidemic (of which 29,980 Kazakhstan citizens)</w:t>
      </w:r>
      <w:r w:rsidR="004E1C5C" w:rsidRPr="007645C2">
        <w:rPr>
          <w:rFonts w:ascii="Arial" w:eastAsia="MS Mincho" w:hAnsi="Arial"/>
          <w:b w:val="0"/>
        </w:rPr>
        <w:t xml:space="preserve"> and 9,448 individuals died; the number of people living with HIV – 20,</w:t>
      </w:r>
      <w:r w:rsidR="00746113" w:rsidRPr="007645C2">
        <w:rPr>
          <w:rFonts w:ascii="Arial" w:eastAsia="MS Mincho" w:hAnsi="Arial"/>
          <w:b w:val="0"/>
        </w:rPr>
        <w:t>841 (77.2% of UNAIDS-estimated number</w:t>
      </w:r>
      <w:r w:rsidR="008B6023" w:rsidRPr="007645C2">
        <w:rPr>
          <w:rFonts w:ascii="Arial" w:eastAsia="MS Mincho" w:hAnsi="Arial"/>
          <w:b w:val="0"/>
        </w:rPr>
        <w:t xml:space="preserve">). During 2017, 3,023 new cases of HIV infections were registered (81.7% of UNAIDS estimates), including 2,856 Kazakhstan citizens (16.2 per 100,000). </w:t>
      </w:r>
    </w:p>
    <w:p w14:paraId="294E76EC" w14:textId="41C09CD1" w:rsidR="008B6023" w:rsidRPr="007645C2" w:rsidRDefault="008B6023" w:rsidP="00585E4F">
      <w:pPr>
        <w:spacing w:before="120" w:after="120" w:line="240" w:lineRule="auto"/>
        <w:jc w:val="both"/>
        <w:rPr>
          <w:rFonts w:ascii="Arial" w:eastAsia="MS Mincho" w:hAnsi="Arial"/>
          <w:b w:val="0"/>
        </w:rPr>
      </w:pPr>
      <w:r w:rsidRPr="007645C2">
        <w:rPr>
          <w:rFonts w:ascii="Arial" w:eastAsia="MS Mincho" w:hAnsi="Arial"/>
          <w:b w:val="0"/>
        </w:rPr>
        <w:t xml:space="preserve">The main transmission route is heterosexual contact (62.0% cases), followed by parenteral route when using drugs (29.2%). In key affected populations, HIV prevalence </w:t>
      </w:r>
      <w:proofErr w:type="gramStart"/>
      <w:r w:rsidRPr="007645C2">
        <w:rPr>
          <w:rFonts w:ascii="Arial" w:eastAsia="MS Mincho" w:hAnsi="Arial"/>
          <w:b w:val="0"/>
        </w:rPr>
        <w:t>is estimated</w:t>
      </w:r>
      <w:proofErr w:type="gramEnd"/>
      <w:r w:rsidRPr="007645C2">
        <w:rPr>
          <w:rFonts w:ascii="Arial" w:eastAsia="MS Mincho" w:hAnsi="Arial"/>
          <w:b w:val="0"/>
        </w:rPr>
        <w:t xml:space="preserve"> at 8.5% among people using injectable drugs, at 3.2% among men having sex with men, at 2.7% among prisoners and at 1.9% - among sex workers.</w:t>
      </w:r>
    </w:p>
    <w:p w14:paraId="4601D9E0" w14:textId="2AE7FE42" w:rsidR="00CA39B8" w:rsidRPr="007645C2" w:rsidRDefault="008A519A" w:rsidP="00585E4F">
      <w:pPr>
        <w:spacing w:before="120" w:after="120" w:line="240" w:lineRule="auto"/>
        <w:jc w:val="both"/>
        <w:rPr>
          <w:rFonts w:ascii="Arial" w:eastAsia="MS Mincho" w:hAnsi="Arial"/>
          <w:b w:val="0"/>
        </w:rPr>
      </w:pPr>
      <w:r w:rsidRPr="007645C2">
        <w:rPr>
          <w:rFonts w:ascii="Arial" w:eastAsia="MS Mincho" w:hAnsi="Arial"/>
          <w:b w:val="0"/>
        </w:rPr>
        <w:t>In 2017, a</w:t>
      </w:r>
      <w:r w:rsidR="00095987" w:rsidRPr="007645C2">
        <w:rPr>
          <w:rFonts w:ascii="Arial" w:eastAsia="MS Mincho" w:hAnsi="Arial"/>
          <w:b w:val="0"/>
        </w:rPr>
        <w:t xml:space="preserve">lmost all (98%) TB patients on treatment </w:t>
      </w:r>
      <w:proofErr w:type="gramStart"/>
      <w:r w:rsidR="00B92A6D" w:rsidRPr="007645C2">
        <w:rPr>
          <w:rFonts w:ascii="Arial" w:eastAsia="MS Mincho" w:hAnsi="Arial"/>
          <w:b w:val="0"/>
        </w:rPr>
        <w:t>were</w:t>
      </w:r>
      <w:r w:rsidR="00095987" w:rsidRPr="007645C2">
        <w:rPr>
          <w:rFonts w:ascii="Arial" w:eastAsia="MS Mincho" w:hAnsi="Arial"/>
          <w:b w:val="0"/>
        </w:rPr>
        <w:t xml:space="preserve"> tested</w:t>
      </w:r>
      <w:proofErr w:type="gramEnd"/>
      <w:r w:rsidR="00095987" w:rsidRPr="007645C2">
        <w:rPr>
          <w:rFonts w:ascii="Arial" w:eastAsia="MS Mincho" w:hAnsi="Arial"/>
          <w:b w:val="0"/>
        </w:rPr>
        <w:t xml:space="preserve"> for HIV</w:t>
      </w:r>
      <w:r w:rsidRPr="007645C2">
        <w:rPr>
          <w:rFonts w:ascii="Arial" w:eastAsia="MS Mincho" w:hAnsi="Arial"/>
          <w:b w:val="0"/>
        </w:rPr>
        <w:t>, and 87</w:t>
      </w:r>
      <w:r w:rsidR="00095987" w:rsidRPr="007645C2">
        <w:rPr>
          <w:rFonts w:ascii="Arial" w:eastAsia="MS Mincho" w:hAnsi="Arial"/>
          <w:b w:val="0"/>
        </w:rPr>
        <w:t xml:space="preserve">% of PLHIV registered at AIDS Centers were screened </w:t>
      </w:r>
      <w:r w:rsidRPr="007645C2">
        <w:rPr>
          <w:rFonts w:ascii="Arial" w:eastAsia="MS Mincho" w:hAnsi="Arial"/>
          <w:b w:val="0"/>
        </w:rPr>
        <w:t xml:space="preserve">for TB by any method. The number of notified cases (all forms) with HIV-associated TB was 734 in 2017, compared to 736 in 2016 and 781 in 2015. TB/HIV </w:t>
      </w:r>
      <w:r w:rsidR="009527D4" w:rsidRPr="007645C2">
        <w:rPr>
          <w:rFonts w:ascii="Arial" w:eastAsia="MS Mincho" w:hAnsi="Arial"/>
          <w:b w:val="0"/>
        </w:rPr>
        <w:t>prevalence</w:t>
      </w:r>
      <w:r w:rsidRPr="007645C2">
        <w:rPr>
          <w:rFonts w:ascii="Arial" w:eastAsia="MS Mincho" w:hAnsi="Arial"/>
          <w:b w:val="0"/>
        </w:rPr>
        <w:t xml:space="preserve"> among all TB cases was 5.0% in 2017 (2015 – 4.7%, 2016 – 4.9%).</w:t>
      </w:r>
      <w:r w:rsidR="00FF4878" w:rsidRPr="007645C2">
        <w:rPr>
          <w:rFonts w:ascii="Arial" w:eastAsia="MS Mincho" w:hAnsi="Arial"/>
          <w:b w:val="0"/>
        </w:rPr>
        <w:t xml:space="preserve"> In 2017, 661 patients with </w:t>
      </w:r>
      <w:r w:rsidR="00990F67" w:rsidRPr="007645C2">
        <w:rPr>
          <w:rFonts w:ascii="Arial" w:eastAsia="MS Mincho" w:hAnsi="Arial"/>
          <w:b w:val="0"/>
        </w:rPr>
        <w:t xml:space="preserve">TB/HIV </w:t>
      </w:r>
      <w:r w:rsidR="00FF4878" w:rsidRPr="007645C2">
        <w:rPr>
          <w:rFonts w:ascii="Arial" w:eastAsia="MS Mincho" w:hAnsi="Arial"/>
          <w:b w:val="0"/>
        </w:rPr>
        <w:t xml:space="preserve">co-infection </w:t>
      </w:r>
      <w:r w:rsidR="00990F67" w:rsidRPr="007645C2">
        <w:rPr>
          <w:rFonts w:ascii="Arial" w:eastAsia="MS Mincho" w:hAnsi="Arial"/>
          <w:b w:val="0"/>
        </w:rPr>
        <w:t xml:space="preserve">were </w:t>
      </w:r>
      <w:r w:rsidR="00FF4878" w:rsidRPr="007645C2">
        <w:rPr>
          <w:rFonts w:ascii="Arial" w:eastAsia="MS Mincho" w:hAnsi="Arial"/>
          <w:b w:val="0"/>
        </w:rPr>
        <w:t>enrolled in ART</w:t>
      </w:r>
      <w:r w:rsidR="00CA39B8" w:rsidRPr="007645C2">
        <w:rPr>
          <w:rFonts w:ascii="Arial" w:eastAsia="MS Mincho" w:hAnsi="Arial"/>
          <w:b w:val="0"/>
        </w:rPr>
        <w:t>, which accounted to 90.1% ART coverage among TB/HIV patients, compared to 87.2% in 2016 (642 patients enrolled out of 736) and 65.3% (510 / 781) in 2015.</w:t>
      </w:r>
    </w:p>
    <w:p w14:paraId="18A8742D" w14:textId="120D680D" w:rsidR="00CC2054" w:rsidRPr="007645C2" w:rsidRDefault="00444E0F" w:rsidP="00585E4F">
      <w:pPr>
        <w:spacing w:before="120" w:after="120" w:line="240" w:lineRule="auto"/>
        <w:jc w:val="both"/>
        <w:rPr>
          <w:rFonts w:ascii="Arial" w:eastAsia="MS Mincho" w:hAnsi="Arial"/>
          <w:b w:val="0"/>
        </w:rPr>
      </w:pPr>
      <w:r w:rsidRPr="007645C2">
        <w:rPr>
          <w:rFonts w:ascii="Arial" w:eastAsia="MS Mincho" w:hAnsi="Arial"/>
          <w:b w:val="0"/>
        </w:rPr>
        <w:t xml:space="preserve">The proportion of HIV-infected persons among TB patients in the penitentiary system is high and increasing with time. In detention facilities, </w:t>
      </w:r>
      <w:r w:rsidR="00CC2054" w:rsidRPr="007645C2">
        <w:rPr>
          <w:rFonts w:ascii="Arial" w:eastAsia="MS Mincho" w:hAnsi="Arial"/>
          <w:b w:val="0"/>
        </w:rPr>
        <w:t>TB/HIV prevalence was about 9% in 2011-2013, but it increased significantly during the following years and was 12.0% in 201</w:t>
      </w:r>
      <w:r w:rsidR="00AD59E9" w:rsidRPr="007645C2">
        <w:rPr>
          <w:rFonts w:ascii="Arial" w:eastAsia="MS Mincho" w:hAnsi="Arial"/>
          <w:b w:val="0"/>
        </w:rPr>
        <w:t>4</w:t>
      </w:r>
      <w:r w:rsidR="00CC2054" w:rsidRPr="007645C2">
        <w:rPr>
          <w:rFonts w:ascii="Arial" w:eastAsia="MS Mincho" w:hAnsi="Arial"/>
          <w:b w:val="0"/>
        </w:rPr>
        <w:t>, 17.8% in 2015 and 26.6% in 2016. In pre-trial isolators, proportion of HIV-positive TB cases increased from 5.0-5.7% in 2013-2015 to 13.5% in 2016.</w:t>
      </w:r>
    </w:p>
    <w:p w14:paraId="107E0B82" w14:textId="2AE2C162" w:rsidR="00E6289D" w:rsidRPr="007645C2" w:rsidRDefault="00E6289D" w:rsidP="00E6289D">
      <w:pPr>
        <w:spacing w:before="120" w:after="120" w:line="240" w:lineRule="auto"/>
        <w:jc w:val="center"/>
        <w:rPr>
          <w:rFonts w:ascii="Arial" w:eastAsia="MS Mincho" w:hAnsi="Arial"/>
          <w:b w:val="0"/>
        </w:rPr>
      </w:pPr>
      <w:r w:rsidRPr="007645C2">
        <w:rPr>
          <w:rFonts w:ascii="Arial" w:eastAsia="MS Mincho" w:hAnsi="Arial"/>
          <w:b w:val="0"/>
        </w:rPr>
        <w:t>*</w:t>
      </w:r>
      <w:r w:rsidRPr="007645C2">
        <w:rPr>
          <w:rFonts w:ascii="Arial" w:eastAsia="MS Mincho" w:hAnsi="Arial"/>
          <w:b w:val="0"/>
        </w:rPr>
        <w:tab/>
      </w:r>
      <w:r w:rsidRPr="007645C2">
        <w:rPr>
          <w:rFonts w:ascii="Arial" w:eastAsia="MS Mincho" w:hAnsi="Arial"/>
          <w:b w:val="0"/>
        </w:rPr>
        <w:tab/>
        <w:t>*</w:t>
      </w:r>
      <w:r w:rsidRPr="007645C2">
        <w:rPr>
          <w:rFonts w:ascii="Arial" w:eastAsia="MS Mincho" w:hAnsi="Arial"/>
          <w:b w:val="0"/>
        </w:rPr>
        <w:tab/>
      </w:r>
      <w:r w:rsidRPr="007645C2">
        <w:rPr>
          <w:rFonts w:ascii="Arial" w:eastAsia="MS Mincho" w:hAnsi="Arial"/>
          <w:b w:val="0"/>
        </w:rPr>
        <w:tab/>
        <w:t>*</w:t>
      </w:r>
    </w:p>
    <w:p w14:paraId="66ADFB24" w14:textId="77777777" w:rsidR="00096142" w:rsidRPr="007645C2" w:rsidRDefault="00E6289D" w:rsidP="00585E4F">
      <w:pPr>
        <w:spacing w:before="120" w:after="120" w:line="240" w:lineRule="auto"/>
        <w:jc w:val="both"/>
        <w:rPr>
          <w:rFonts w:ascii="Arial" w:eastAsia="MS Mincho" w:hAnsi="Arial"/>
          <w:b w:val="0"/>
        </w:rPr>
      </w:pPr>
      <w:r w:rsidRPr="007645C2">
        <w:rPr>
          <w:rFonts w:ascii="Arial" w:eastAsia="MS Mincho" w:hAnsi="Arial"/>
          <w:b w:val="0"/>
        </w:rPr>
        <w:t xml:space="preserve">The following are considered </w:t>
      </w:r>
      <w:proofErr w:type="gramStart"/>
      <w:r w:rsidRPr="007645C2">
        <w:rPr>
          <w:rFonts w:ascii="Arial" w:eastAsia="MS Mincho" w:hAnsi="Arial"/>
          <w:b w:val="0"/>
        </w:rPr>
        <w:t>to be the</w:t>
      </w:r>
      <w:proofErr w:type="gramEnd"/>
      <w:r w:rsidRPr="007645C2">
        <w:rPr>
          <w:rFonts w:ascii="Arial" w:eastAsia="MS Mincho" w:hAnsi="Arial"/>
          <w:b w:val="0"/>
        </w:rPr>
        <w:t xml:space="preserve"> key achievements of the national TB program over the last years</w:t>
      </w:r>
      <w:r w:rsidR="00096142" w:rsidRPr="007645C2">
        <w:rPr>
          <w:rFonts w:ascii="Arial" w:eastAsia="MS Mincho" w:hAnsi="Arial"/>
          <w:b w:val="0"/>
        </w:rPr>
        <w:t xml:space="preserve">, of which many were achieved with the </w:t>
      </w:r>
      <w:r w:rsidRPr="007645C2">
        <w:rPr>
          <w:rFonts w:ascii="Arial" w:eastAsia="MS Mincho" w:hAnsi="Arial"/>
          <w:b w:val="0"/>
        </w:rPr>
        <w:t>Global Fund</w:t>
      </w:r>
      <w:r w:rsidR="00096142" w:rsidRPr="007645C2">
        <w:rPr>
          <w:rFonts w:ascii="Arial" w:eastAsia="MS Mincho" w:hAnsi="Arial"/>
          <w:b w:val="0"/>
        </w:rPr>
        <w:t xml:space="preserve">’s </w:t>
      </w:r>
      <w:r w:rsidRPr="007645C2">
        <w:rPr>
          <w:rFonts w:ascii="Arial" w:eastAsia="MS Mincho" w:hAnsi="Arial"/>
          <w:b w:val="0"/>
        </w:rPr>
        <w:t>important contributions</w:t>
      </w:r>
      <w:r w:rsidR="00096142" w:rsidRPr="007645C2">
        <w:rPr>
          <w:rFonts w:ascii="Arial" w:eastAsia="MS Mincho" w:hAnsi="Arial"/>
          <w:b w:val="0"/>
        </w:rPr>
        <w:t>:</w:t>
      </w:r>
    </w:p>
    <w:p w14:paraId="67DD6B3E" w14:textId="47BC0256" w:rsidR="00642F17" w:rsidRPr="007645C2" w:rsidRDefault="00CA39B8" w:rsidP="00642F17">
      <w:pPr>
        <w:pStyle w:val="ListParagraph"/>
        <w:numPr>
          <w:ilvl w:val="0"/>
          <w:numId w:val="24"/>
        </w:numPr>
        <w:spacing w:before="120" w:after="120" w:line="240" w:lineRule="auto"/>
        <w:jc w:val="both"/>
        <w:rPr>
          <w:rFonts w:ascii="Arial" w:eastAsia="MS Mincho" w:hAnsi="Arial"/>
          <w:b w:val="0"/>
        </w:rPr>
      </w:pPr>
      <w:r w:rsidRPr="007645C2">
        <w:rPr>
          <w:rFonts w:ascii="Arial" w:eastAsia="MS Mincho" w:hAnsi="Arial"/>
          <w:b w:val="0"/>
        </w:rPr>
        <w:t xml:space="preserve">The Government of Kazakhstan demonstrates strong and continuous </w:t>
      </w:r>
      <w:r w:rsidR="00234BF7" w:rsidRPr="007645C2">
        <w:rPr>
          <w:rFonts w:ascii="Arial" w:eastAsia="MS Mincho" w:hAnsi="Arial"/>
          <w:b w:val="0"/>
        </w:rPr>
        <w:t xml:space="preserve">financial </w:t>
      </w:r>
      <w:r w:rsidRPr="007645C2">
        <w:rPr>
          <w:rFonts w:ascii="Arial" w:eastAsia="MS Mincho" w:hAnsi="Arial"/>
          <w:b w:val="0"/>
        </w:rPr>
        <w:t>commitment</w:t>
      </w:r>
      <w:r w:rsidR="00234BF7" w:rsidRPr="007645C2">
        <w:rPr>
          <w:rFonts w:ascii="Arial" w:eastAsia="MS Mincho" w:hAnsi="Arial"/>
          <w:b w:val="0"/>
        </w:rPr>
        <w:t>s</w:t>
      </w:r>
      <w:r w:rsidRPr="007645C2">
        <w:rPr>
          <w:rFonts w:ascii="Arial" w:eastAsia="MS Mincho" w:hAnsi="Arial"/>
          <w:b w:val="0"/>
        </w:rPr>
        <w:t xml:space="preserve"> to TB control including allocation of significant financial resources</w:t>
      </w:r>
      <w:r w:rsidR="00234BF7" w:rsidRPr="007645C2">
        <w:rPr>
          <w:rFonts w:ascii="Arial" w:eastAsia="MS Mincho" w:hAnsi="Arial"/>
          <w:b w:val="0"/>
        </w:rPr>
        <w:t xml:space="preserve"> and promoting efficiency gains, including the recent decisions to undertake procurement of </w:t>
      </w:r>
      <w:proofErr w:type="spellStart"/>
      <w:r w:rsidR="00234BF7" w:rsidRPr="007645C2">
        <w:rPr>
          <w:rFonts w:ascii="Arial" w:eastAsia="MS Mincho" w:hAnsi="Arial"/>
          <w:b w:val="0"/>
        </w:rPr>
        <w:t>Xpert</w:t>
      </w:r>
      <w:proofErr w:type="spellEnd"/>
      <w:r w:rsidR="00234BF7" w:rsidRPr="007645C2">
        <w:rPr>
          <w:rFonts w:ascii="Arial" w:eastAsia="MS Mincho" w:hAnsi="Arial"/>
          <w:b w:val="0"/>
        </w:rPr>
        <w:t xml:space="preserve"> cartridges and new anti-TB drugs through the Stop TB Partnership’s Global Drug Facility (GDF).</w:t>
      </w:r>
    </w:p>
    <w:p w14:paraId="2046AE4D" w14:textId="77777777" w:rsidR="00642F17" w:rsidRPr="007645C2" w:rsidRDefault="00642F17" w:rsidP="00642F17">
      <w:pPr>
        <w:pStyle w:val="ListParagraph"/>
        <w:numPr>
          <w:ilvl w:val="0"/>
          <w:numId w:val="24"/>
        </w:numPr>
        <w:spacing w:before="120" w:after="120" w:line="240" w:lineRule="auto"/>
        <w:jc w:val="both"/>
        <w:rPr>
          <w:rFonts w:ascii="Arial" w:eastAsia="MS Mincho" w:hAnsi="Arial"/>
          <w:b w:val="0"/>
        </w:rPr>
      </w:pPr>
      <w:r w:rsidRPr="007645C2">
        <w:rPr>
          <w:rFonts w:ascii="Arial" w:eastAsia="MS Mincho" w:hAnsi="Arial"/>
          <w:b w:val="0"/>
        </w:rPr>
        <w:t xml:space="preserve">The Ministry of Health and the NTP work systematically on improving the TB care delivery model with promotion of patient-centered approaches and reducing unnecessary hospitalizations. Starting 2013, when the TB hospitals’ optimization program started, the number of acute TB hospital beds </w:t>
      </w:r>
      <w:proofErr w:type="gramStart"/>
      <w:r w:rsidRPr="007645C2">
        <w:rPr>
          <w:rFonts w:ascii="Arial" w:eastAsia="MS Mincho" w:hAnsi="Arial"/>
          <w:b w:val="0"/>
        </w:rPr>
        <w:t>was reduced</w:t>
      </w:r>
      <w:proofErr w:type="gramEnd"/>
      <w:r w:rsidRPr="007645C2">
        <w:rPr>
          <w:rFonts w:ascii="Arial" w:eastAsia="MS Mincho" w:hAnsi="Arial"/>
          <w:b w:val="0"/>
        </w:rPr>
        <w:t xml:space="preserve"> from 11,848 to 6,955, or by 41.2%. Only in 2017, hospital optimizations produced savings of KZT 537.3 million (about USD 1.65 million), which were reprogrammed for other TB program needs, such as infection control measures, laboratory consumables, training of staff, M&amp;E and ACSM. </w:t>
      </w:r>
    </w:p>
    <w:p w14:paraId="2B9A5C6E" w14:textId="77777777" w:rsidR="00642F17" w:rsidRPr="007645C2" w:rsidRDefault="00642F17" w:rsidP="00642F17">
      <w:pPr>
        <w:pStyle w:val="ListParagraph"/>
        <w:numPr>
          <w:ilvl w:val="0"/>
          <w:numId w:val="24"/>
        </w:numPr>
        <w:spacing w:before="120" w:after="120" w:line="240" w:lineRule="auto"/>
        <w:jc w:val="both"/>
        <w:rPr>
          <w:rFonts w:ascii="Arial" w:eastAsia="MS Mincho" w:hAnsi="Arial"/>
          <w:b w:val="0"/>
        </w:rPr>
      </w:pPr>
      <w:r w:rsidRPr="007645C2">
        <w:rPr>
          <w:rFonts w:ascii="Arial" w:eastAsia="MS Mincho" w:hAnsi="Arial"/>
          <w:b w:val="0"/>
        </w:rPr>
        <w:t>Effective TB case management strategies, including intensified patient support and follow up, have allowed to substantially improve patient outcomes: treatment success rate of new and relapse cases in 2016 cohort was 88%, and 78% - of RR/MDR cases (2015 cohort). At the same time, the NTP is highly concerned about low treatment results of XDR cases (just 32% in 2015 cohort) and about the need to introduce contemporary, more effective treatment strategies and approaches and prevent further amplification of drug resistance.</w:t>
      </w:r>
    </w:p>
    <w:p w14:paraId="6F6B1646" w14:textId="77777777" w:rsidR="00765257" w:rsidRPr="007645C2" w:rsidRDefault="00765257" w:rsidP="00765257">
      <w:pPr>
        <w:pStyle w:val="ListParagraph"/>
        <w:numPr>
          <w:ilvl w:val="0"/>
          <w:numId w:val="24"/>
        </w:numPr>
        <w:spacing w:before="120" w:after="120" w:line="240" w:lineRule="auto"/>
        <w:jc w:val="both"/>
        <w:rPr>
          <w:rFonts w:ascii="Arial" w:eastAsia="MS Mincho" w:hAnsi="Arial"/>
          <w:b w:val="0"/>
        </w:rPr>
      </w:pPr>
      <w:r w:rsidRPr="007645C2">
        <w:rPr>
          <w:rFonts w:ascii="Arial" w:eastAsia="MS Mincho" w:hAnsi="Arial"/>
          <w:b w:val="0"/>
        </w:rPr>
        <w:t xml:space="preserve">In all country regions, the local (oblast) administrations provide adherence support to TB patients (monetary incentives) on an increasing scale. While in 2013 the funds allocated for patient support accounted for 1.1% of the consolidated TB program budget, this share </w:t>
      </w:r>
      <w:r w:rsidRPr="007645C2">
        <w:rPr>
          <w:rFonts w:ascii="Arial" w:eastAsia="MS Mincho" w:hAnsi="Arial"/>
          <w:b w:val="0"/>
        </w:rPr>
        <w:lastRenderedPageBreak/>
        <w:t xml:space="preserve">increased to 3.5% in 2017 and to 4.5% in 2018 (6 months). In the first half of 2018, the amount allocated for patient support amounted to KZT 771.7 million (about USD 2.36 million), which represents a 35.8% increase compared to the same period of 2017. </w:t>
      </w:r>
    </w:p>
    <w:p w14:paraId="6EED5785" w14:textId="5FDC9434" w:rsidR="00642F17" w:rsidRPr="007645C2" w:rsidRDefault="00642F17" w:rsidP="00642F17">
      <w:pPr>
        <w:pStyle w:val="ListParagraph"/>
        <w:numPr>
          <w:ilvl w:val="0"/>
          <w:numId w:val="24"/>
        </w:numPr>
        <w:spacing w:before="120" w:after="120" w:line="240" w:lineRule="auto"/>
        <w:jc w:val="both"/>
        <w:rPr>
          <w:rFonts w:ascii="Arial" w:eastAsia="MS Mincho" w:hAnsi="Arial"/>
          <w:b w:val="0"/>
        </w:rPr>
      </w:pPr>
      <w:r w:rsidRPr="007645C2">
        <w:rPr>
          <w:rFonts w:ascii="Arial" w:eastAsia="MS Mincho" w:hAnsi="Arial"/>
          <w:b w:val="0"/>
        </w:rPr>
        <w:t xml:space="preserve">The full outpatient treatment of DR-TB cases is implemented successfully with TGF project support in </w:t>
      </w:r>
      <w:proofErr w:type="gramStart"/>
      <w:r w:rsidRPr="007645C2">
        <w:rPr>
          <w:rFonts w:ascii="Arial" w:eastAsia="MS Mincho" w:hAnsi="Arial"/>
          <w:b w:val="0"/>
        </w:rPr>
        <w:t>four</w:t>
      </w:r>
      <w:proofErr w:type="gramEnd"/>
      <w:r w:rsidRPr="007645C2">
        <w:rPr>
          <w:rFonts w:ascii="Arial" w:eastAsia="MS Mincho" w:hAnsi="Arial"/>
          <w:b w:val="0"/>
        </w:rPr>
        <w:t xml:space="preserve"> demonstration regions</w:t>
      </w:r>
      <w:r w:rsidR="00765257" w:rsidRPr="007645C2">
        <w:rPr>
          <w:rFonts w:ascii="Arial" w:eastAsia="MS Mincho" w:hAnsi="Arial"/>
          <w:b w:val="0"/>
        </w:rPr>
        <w:t xml:space="preserve">; </w:t>
      </w:r>
      <w:r w:rsidRPr="007645C2">
        <w:rPr>
          <w:rFonts w:ascii="Arial" w:eastAsia="MS Mincho" w:hAnsi="Arial"/>
          <w:b w:val="0"/>
        </w:rPr>
        <w:t>in 2018 (9 months), 54.5% of DR-TB patients are treated in ambulatory settings, compared to 19.9% in 2017.</w:t>
      </w:r>
      <w:r w:rsidR="0013798C" w:rsidRPr="007645C2">
        <w:rPr>
          <w:rFonts w:ascii="Arial" w:eastAsia="MS Mincho" w:hAnsi="Arial"/>
          <w:b w:val="0"/>
        </w:rPr>
        <w:t xml:space="preserve"> </w:t>
      </w:r>
      <w:r w:rsidR="00765257" w:rsidRPr="007645C2">
        <w:rPr>
          <w:rFonts w:ascii="Arial" w:eastAsia="MS Mincho" w:hAnsi="Arial"/>
          <w:b w:val="0"/>
        </w:rPr>
        <w:t xml:space="preserve">Adherence </w:t>
      </w:r>
      <w:r w:rsidR="0013798C" w:rsidRPr="007645C2">
        <w:rPr>
          <w:rFonts w:ascii="Arial" w:eastAsia="MS Mincho" w:hAnsi="Arial"/>
          <w:b w:val="0"/>
        </w:rPr>
        <w:t xml:space="preserve">support </w:t>
      </w:r>
      <w:r w:rsidR="00765257" w:rsidRPr="007645C2">
        <w:rPr>
          <w:rFonts w:ascii="Arial" w:eastAsia="MS Mincho" w:hAnsi="Arial"/>
          <w:b w:val="0"/>
        </w:rPr>
        <w:t xml:space="preserve">includes provision of </w:t>
      </w:r>
      <w:r w:rsidR="0013798C" w:rsidRPr="007645C2">
        <w:rPr>
          <w:rFonts w:ascii="Arial" w:eastAsia="MS Mincho" w:hAnsi="Arial"/>
          <w:b w:val="0"/>
        </w:rPr>
        <w:t xml:space="preserve">monthly monetary </w:t>
      </w:r>
      <w:r w:rsidR="00765257" w:rsidRPr="007645C2">
        <w:rPr>
          <w:rFonts w:ascii="Arial" w:eastAsia="MS Mincho" w:hAnsi="Arial"/>
          <w:b w:val="0"/>
        </w:rPr>
        <w:t xml:space="preserve">incentives, </w:t>
      </w:r>
      <w:r w:rsidR="0013798C" w:rsidRPr="007645C2">
        <w:rPr>
          <w:rFonts w:ascii="Arial" w:eastAsia="MS Mincho" w:hAnsi="Arial"/>
          <w:b w:val="0"/>
        </w:rPr>
        <w:t xml:space="preserve">reimbursement of </w:t>
      </w:r>
      <w:r w:rsidR="00765257" w:rsidRPr="007645C2">
        <w:rPr>
          <w:rFonts w:ascii="Arial" w:eastAsia="MS Mincho" w:hAnsi="Arial"/>
          <w:b w:val="0"/>
        </w:rPr>
        <w:t xml:space="preserve">patient transportation </w:t>
      </w:r>
      <w:r w:rsidR="0013798C" w:rsidRPr="007645C2">
        <w:rPr>
          <w:rFonts w:ascii="Arial" w:eastAsia="MS Mincho" w:hAnsi="Arial"/>
          <w:b w:val="0"/>
        </w:rPr>
        <w:t xml:space="preserve">costs </w:t>
      </w:r>
      <w:r w:rsidR="00765257" w:rsidRPr="007645C2">
        <w:rPr>
          <w:rFonts w:ascii="Arial" w:eastAsia="MS Mincho" w:hAnsi="Arial"/>
          <w:b w:val="0"/>
        </w:rPr>
        <w:t xml:space="preserve">(enablers), </w:t>
      </w:r>
      <w:proofErr w:type="gramStart"/>
      <w:r w:rsidR="00524930" w:rsidRPr="007645C2">
        <w:rPr>
          <w:rFonts w:ascii="Arial" w:eastAsia="MS Mincho" w:hAnsi="Arial"/>
          <w:b w:val="0"/>
        </w:rPr>
        <w:t>mobile</w:t>
      </w:r>
      <w:proofErr w:type="gramEnd"/>
      <w:r w:rsidR="00524930" w:rsidRPr="007645C2">
        <w:rPr>
          <w:rFonts w:ascii="Arial" w:eastAsia="MS Mincho" w:hAnsi="Arial"/>
          <w:b w:val="0"/>
        </w:rPr>
        <w:t xml:space="preserve"> </w:t>
      </w:r>
      <w:r w:rsidR="00765257" w:rsidRPr="007645C2">
        <w:rPr>
          <w:rFonts w:ascii="Arial" w:eastAsia="MS Mincho" w:hAnsi="Arial"/>
          <w:b w:val="0"/>
        </w:rPr>
        <w:t xml:space="preserve">patient support </w:t>
      </w:r>
      <w:r w:rsidR="00524930" w:rsidRPr="007645C2">
        <w:rPr>
          <w:rFonts w:ascii="Arial" w:eastAsia="MS Mincho" w:hAnsi="Arial"/>
          <w:b w:val="0"/>
        </w:rPr>
        <w:t>team</w:t>
      </w:r>
      <w:r w:rsidR="00765257" w:rsidRPr="007645C2">
        <w:rPr>
          <w:rFonts w:ascii="Arial" w:eastAsia="MS Mincho" w:hAnsi="Arial"/>
          <w:b w:val="0"/>
        </w:rPr>
        <w:t xml:space="preserve">s </w:t>
      </w:r>
      <w:r w:rsidR="00CA4CA2" w:rsidRPr="007645C2">
        <w:rPr>
          <w:rFonts w:ascii="Arial" w:eastAsia="MS Mincho" w:hAnsi="Arial"/>
          <w:b w:val="0"/>
        </w:rPr>
        <w:t xml:space="preserve">in towns </w:t>
      </w:r>
      <w:r w:rsidR="00765257" w:rsidRPr="007645C2">
        <w:rPr>
          <w:rFonts w:ascii="Arial" w:eastAsia="MS Mincho" w:hAnsi="Arial"/>
          <w:b w:val="0"/>
        </w:rPr>
        <w:t xml:space="preserve">that include nurses and </w:t>
      </w:r>
      <w:r w:rsidR="00524930" w:rsidRPr="007645C2">
        <w:rPr>
          <w:rFonts w:ascii="Arial" w:eastAsia="MS Mincho" w:hAnsi="Arial"/>
          <w:b w:val="0"/>
        </w:rPr>
        <w:t>psychologists</w:t>
      </w:r>
      <w:r w:rsidR="00765257" w:rsidRPr="007645C2">
        <w:rPr>
          <w:rFonts w:ascii="Arial" w:eastAsia="MS Mincho" w:hAnsi="Arial"/>
          <w:b w:val="0"/>
        </w:rPr>
        <w:t xml:space="preserve">, </w:t>
      </w:r>
      <w:r w:rsidR="00CA4CA2" w:rsidRPr="007645C2">
        <w:rPr>
          <w:rFonts w:ascii="Arial" w:eastAsia="MS Mincho" w:hAnsi="Arial"/>
          <w:b w:val="0"/>
        </w:rPr>
        <w:t xml:space="preserve">and DOT nurses in rural areas carrying out home visits to patients at higher risk of treatment interruption due to medical or social reasons. </w:t>
      </w:r>
      <w:r w:rsidR="00524930" w:rsidRPr="007645C2">
        <w:rPr>
          <w:rFonts w:ascii="Arial" w:eastAsia="MS Mincho" w:hAnsi="Arial"/>
          <w:b w:val="0"/>
        </w:rPr>
        <w:t xml:space="preserve">Starting </w:t>
      </w:r>
      <w:r w:rsidR="00CA4CA2" w:rsidRPr="007645C2">
        <w:rPr>
          <w:rFonts w:ascii="Arial" w:eastAsia="MS Mincho" w:hAnsi="Arial"/>
          <w:b w:val="0"/>
        </w:rPr>
        <w:t xml:space="preserve">Q4-2018, video-observed treatment (VOT) </w:t>
      </w:r>
      <w:proofErr w:type="gramStart"/>
      <w:r w:rsidR="00CA4CA2" w:rsidRPr="007645C2">
        <w:rPr>
          <w:rFonts w:ascii="Arial" w:eastAsia="MS Mincho" w:hAnsi="Arial"/>
          <w:b w:val="0"/>
        </w:rPr>
        <w:t>is being implemented</w:t>
      </w:r>
      <w:proofErr w:type="gramEnd"/>
      <w:r w:rsidR="00CA4CA2" w:rsidRPr="007645C2">
        <w:rPr>
          <w:rFonts w:ascii="Arial" w:eastAsia="MS Mincho" w:hAnsi="Arial"/>
          <w:b w:val="0"/>
        </w:rPr>
        <w:t xml:space="preserve"> in these pilot areas; by the end of the year, </w:t>
      </w:r>
      <w:r w:rsidR="00524930" w:rsidRPr="007645C2">
        <w:rPr>
          <w:rFonts w:ascii="Arial" w:eastAsia="MS Mincho" w:hAnsi="Arial"/>
          <w:b w:val="0"/>
        </w:rPr>
        <w:t xml:space="preserve">104 patients have been </w:t>
      </w:r>
      <w:r w:rsidR="00CA4CA2" w:rsidRPr="007645C2">
        <w:rPr>
          <w:rFonts w:ascii="Arial" w:eastAsia="MS Mincho" w:hAnsi="Arial"/>
          <w:b w:val="0"/>
        </w:rPr>
        <w:t xml:space="preserve">managed by </w:t>
      </w:r>
      <w:r w:rsidR="00524930" w:rsidRPr="007645C2">
        <w:rPr>
          <w:rFonts w:ascii="Arial" w:eastAsia="MS Mincho" w:hAnsi="Arial"/>
          <w:b w:val="0"/>
        </w:rPr>
        <w:t>VOT</w:t>
      </w:r>
      <w:r w:rsidR="00CC4180" w:rsidRPr="007645C2">
        <w:rPr>
          <w:rFonts w:ascii="Arial" w:eastAsia="MS Mincho" w:hAnsi="Arial"/>
          <w:b w:val="0"/>
        </w:rPr>
        <w:t>.</w:t>
      </w:r>
      <w:r w:rsidR="00524930" w:rsidRPr="007645C2">
        <w:rPr>
          <w:rFonts w:ascii="Arial" w:eastAsia="MS Mincho" w:hAnsi="Arial"/>
          <w:b w:val="0"/>
        </w:rPr>
        <w:t xml:space="preserve">  </w:t>
      </w:r>
    </w:p>
    <w:p w14:paraId="6FB2BDE1" w14:textId="77777777" w:rsidR="00765257" w:rsidRPr="007645C2" w:rsidRDefault="00765257" w:rsidP="00765257">
      <w:pPr>
        <w:pStyle w:val="ListParagraph"/>
        <w:numPr>
          <w:ilvl w:val="0"/>
          <w:numId w:val="24"/>
        </w:numPr>
        <w:spacing w:before="120" w:after="120" w:line="240" w:lineRule="auto"/>
        <w:jc w:val="both"/>
        <w:rPr>
          <w:rFonts w:ascii="Arial" w:eastAsia="MS Mincho" w:hAnsi="Arial"/>
          <w:b w:val="0"/>
        </w:rPr>
      </w:pPr>
      <w:r w:rsidRPr="007645C2">
        <w:rPr>
          <w:rFonts w:ascii="Arial" w:eastAsia="MS Mincho" w:hAnsi="Arial"/>
          <w:b w:val="0"/>
        </w:rPr>
        <w:t xml:space="preserve">Implementation of new anti-TB drugs and shorter treatment regimens for MDR-TB started countrywide with the support of </w:t>
      </w:r>
      <w:proofErr w:type="spellStart"/>
      <w:r w:rsidRPr="007645C2">
        <w:rPr>
          <w:rFonts w:ascii="Arial" w:eastAsia="MS Mincho" w:hAnsi="Arial"/>
          <w:b w:val="0"/>
          <w:i/>
        </w:rPr>
        <w:t>endTB</w:t>
      </w:r>
      <w:proofErr w:type="spellEnd"/>
      <w:r w:rsidRPr="007645C2">
        <w:rPr>
          <w:rFonts w:ascii="Arial" w:eastAsia="MS Mincho" w:hAnsi="Arial"/>
          <w:b w:val="0"/>
        </w:rPr>
        <w:t xml:space="preserve"> project / Partners in Health and the Global Fund project. Currently, the NTP is planning the transition to modified longer and shorter regimens in line with the new WHO guidelines for DR-TB treatment.</w:t>
      </w:r>
    </w:p>
    <w:p w14:paraId="565BE968" w14:textId="030CE8F4" w:rsidR="00CB45E5" w:rsidRPr="007645C2" w:rsidRDefault="00096142" w:rsidP="00CB45E5">
      <w:pPr>
        <w:pStyle w:val="ListParagraph"/>
        <w:numPr>
          <w:ilvl w:val="0"/>
          <w:numId w:val="24"/>
        </w:numPr>
        <w:spacing w:before="120" w:after="120" w:line="240" w:lineRule="auto"/>
        <w:jc w:val="both"/>
        <w:rPr>
          <w:rFonts w:ascii="Arial" w:eastAsia="MS Mincho" w:hAnsi="Arial"/>
          <w:b w:val="0"/>
        </w:rPr>
      </w:pPr>
      <w:proofErr w:type="spellStart"/>
      <w:r w:rsidRPr="007645C2">
        <w:rPr>
          <w:rFonts w:ascii="Arial" w:eastAsia="MS Mincho" w:hAnsi="Arial"/>
          <w:b w:val="0"/>
        </w:rPr>
        <w:t>Xpert</w:t>
      </w:r>
      <w:proofErr w:type="spellEnd"/>
      <w:r w:rsidRPr="007645C2">
        <w:rPr>
          <w:rFonts w:ascii="Arial" w:eastAsia="MS Mincho" w:hAnsi="Arial"/>
          <w:b w:val="0"/>
        </w:rPr>
        <w:t xml:space="preserve"> MTB/RIF diagnostic technology </w:t>
      </w:r>
      <w:proofErr w:type="gramStart"/>
      <w:r w:rsidRPr="007645C2">
        <w:rPr>
          <w:rFonts w:ascii="Arial" w:eastAsia="MS Mincho" w:hAnsi="Arial"/>
          <w:b w:val="0"/>
        </w:rPr>
        <w:t>is increasingly implemented</w:t>
      </w:r>
      <w:proofErr w:type="gramEnd"/>
      <w:r w:rsidRPr="007645C2">
        <w:rPr>
          <w:rFonts w:ascii="Arial" w:eastAsia="MS Mincho" w:hAnsi="Arial"/>
          <w:b w:val="0"/>
        </w:rPr>
        <w:t xml:space="preserve"> in the country, including rollout to peripheral (district) service delivery level. In three pilot / demonstration regions supported by the ongoing TGF grant (</w:t>
      </w:r>
      <w:proofErr w:type="spellStart"/>
      <w:r w:rsidRPr="007645C2">
        <w:rPr>
          <w:rFonts w:ascii="Arial" w:eastAsia="MS Mincho" w:hAnsi="Arial"/>
          <w:b w:val="0"/>
        </w:rPr>
        <w:t>Akmola</w:t>
      </w:r>
      <w:proofErr w:type="spellEnd"/>
      <w:r w:rsidRPr="007645C2">
        <w:rPr>
          <w:rFonts w:ascii="Arial" w:eastAsia="MS Mincho" w:hAnsi="Arial"/>
          <w:b w:val="0"/>
        </w:rPr>
        <w:t xml:space="preserve">, </w:t>
      </w:r>
      <w:proofErr w:type="spellStart"/>
      <w:r w:rsidRPr="007645C2">
        <w:rPr>
          <w:rFonts w:ascii="Arial" w:eastAsia="MS Mincho" w:hAnsi="Arial"/>
          <w:b w:val="0"/>
        </w:rPr>
        <w:t>Aktobe</w:t>
      </w:r>
      <w:proofErr w:type="spellEnd"/>
      <w:r w:rsidRPr="007645C2">
        <w:rPr>
          <w:rFonts w:ascii="Arial" w:eastAsia="MS Mincho" w:hAnsi="Arial"/>
          <w:b w:val="0"/>
        </w:rPr>
        <w:t xml:space="preserve"> and East Kazakhstan oblasts), the uptake of </w:t>
      </w:r>
      <w:proofErr w:type="spellStart"/>
      <w:r w:rsidRPr="007645C2">
        <w:rPr>
          <w:rFonts w:ascii="Arial" w:eastAsia="MS Mincho" w:hAnsi="Arial"/>
          <w:b w:val="0"/>
        </w:rPr>
        <w:t>Xpert</w:t>
      </w:r>
      <w:proofErr w:type="spellEnd"/>
      <w:r w:rsidRPr="007645C2">
        <w:rPr>
          <w:rFonts w:ascii="Arial" w:eastAsia="MS Mincho" w:hAnsi="Arial"/>
          <w:b w:val="0"/>
        </w:rPr>
        <w:t xml:space="preserve"> testing at district level increased the number of investigations during the first 9 months of 2018 by </w:t>
      </w:r>
      <w:r w:rsidR="007376B0" w:rsidRPr="007645C2">
        <w:rPr>
          <w:rFonts w:ascii="Arial" w:eastAsia="MS Mincho" w:hAnsi="Arial"/>
          <w:b w:val="0"/>
        </w:rPr>
        <w:t>140% (i.e. 2.4 times) compared with the whole year 20</w:t>
      </w:r>
      <w:r w:rsidR="00F857FA" w:rsidRPr="007645C2">
        <w:rPr>
          <w:rFonts w:ascii="Arial" w:eastAsia="MS Mincho" w:hAnsi="Arial"/>
          <w:b w:val="0"/>
        </w:rPr>
        <w:t xml:space="preserve">17, with high coverage of needs and increased timely detection of RR-TB cases. </w:t>
      </w:r>
      <w:r w:rsidR="00CA4CA2" w:rsidRPr="007645C2">
        <w:rPr>
          <w:rFonts w:ascii="Arial" w:eastAsia="MS Mincho" w:hAnsi="Arial"/>
          <w:b w:val="0"/>
        </w:rPr>
        <w:t>Indicative of proper intensity of case finding, MTB-positivity</w:t>
      </w:r>
      <w:r w:rsidR="00F857FA" w:rsidRPr="007645C2">
        <w:rPr>
          <w:rFonts w:ascii="Arial" w:eastAsia="MS Mincho" w:hAnsi="Arial"/>
          <w:b w:val="0"/>
        </w:rPr>
        <w:t xml:space="preserve"> rate </w:t>
      </w:r>
      <w:r w:rsidR="00CA4CA2" w:rsidRPr="007645C2">
        <w:rPr>
          <w:rFonts w:ascii="Arial" w:eastAsia="MS Mincho" w:hAnsi="Arial"/>
          <w:b w:val="0"/>
        </w:rPr>
        <w:t xml:space="preserve">in the pilot areas is about </w:t>
      </w:r>
      <w:r w:rsidR="00F857FA" w:rsidRPr="007645C2">
        <w:rPr>
          <w:rFonts w:ascii="Arial" w:eastAsia="MS Mincho" w:hAnsi="Arial"/>
          <w:b w:val="0"/>
        </w:rPr>
        <w:t>10%</w:t>
      </w:r>
      <w:r w:rsidR="00CA4CA2" w:rsidRPr="007645C2">
        <w:rPr>
          <w:rFonts w:ascii="Arial" w:eastAsia="MS Mincho" w:hAnsi="Arial"/>
          <w:b w:val="0"/>
        </w:rPr>
        <w:t xml:space="preserve">, </w:t>
      </w:r>
      <w:r w:rsidR="00F857FA" w:rsidRPr="007645C2">
        <w:rPr>
          <w:rFonts w:ascii="Arial" w:eastAsia="MS Mincho" w:hAnsi="Arial"/>
          <w:b w:val="0"/>
        </w:rPr>
        <w:t xml:space="preserve">the </w:t>
      </w:r>
      <w:r w:rsidR="00CA4CA2" w:rsidRPr="007645C2">
        <w:rPr>
          <w:rFonts w:ascii="Arial" w:eastAsia="MS Mincho" w:hAnsi="Arial"/>
          <w:b w:val="0"/>
        </w:rPr>
        <w:t xml:space="preserve">proportion </w:t>
      </w:r>
      <w:r w:rsidR="00F857FA" w:rsidRPr="007645C2">
        <w:rPr>
          <w:rFonts w:ascii="Arial" w:eastAsia="MS Mincho" w:hAnsi="Arial"/>
          <w:b w:val="0"/>
        </w:rPr>
        <w:t xml:space="preserve">of RR cases </w:t>
      </w:r>
      <w:r w:rsidR="00041842" w:rsidRPr="007645C2">
        <w:rPr>
          <w:rFonts w:ascii="Arial" w:eastAsia="MS Mincho" w:hAnsi="Arial"/>
          <w:b w:val="0"/>
        </w:rPr>
        <w:t xml:space="preserve">was </w:t>
      </w:r>
      <w:r w:rsidR="00F857FA" w:rsidRPr="007645C2">
        <w:rPr>
          <w:rFonts w:ascii="Arial" w:eastAsia="MS Mincho" w:hAnsi="Arial"/>
          <w:b w:val="0"/>
        </w:rPr>
        <w:t xml:space="preserve">40.8% and </w:t>
      </w:r>
      <w:r w:rsidR="00041842" w:rsidRPr="007645C2">
        <w:rPr>
          <w:rFonts w:ascii="Arial" w:eastAsia="MS Mincho" w:hAnsi="Arial"/>
          <w:b w:val="0"/>
        </w:rPr>
        <w:t xml:space="preserve">the </w:t>
      </w:r>
      <w:r w:rsidR="007376B0" w:rsidRPr="007645C2">
        <w:rPr>
          <w:rFonts w:ascii="Arial" w:eastAsia="MS Mincho" w:hAnsi="Arial"/>
          <w:b w:val="0"/>
        </w:rPr>
        <w:t>error rate</w:t>
      </w:r>
      <w:r w:rsidR="00CA4CA2" w:rsidRPr="007645C2">
        <w:rPr>
          <w:rFonts w:ascii="Arial" w:eastAsia="MS Mincho" w:hAnsi="Arial"/>
          <w:b w:val="0"/>
        </w:rPr>
        <w:t>s are as low as</w:t>
      </w:r>
      <w:r w:rsidR="00F857FA" w:rsidRPr="007645C2">
        <w:rPr>
          <w:rFonts w:ascii="Arial" w:eastAsia="MS Mincho" w:hAnsi="Arial"/>
          <w:b w:val="0"/>
        </w:rPr>
        <w:t xml:space="preserve"> 2.5%</w:t>
      </w:r>
      <w:r w:rsidR="007376B0" w:rsidRPr="007645C2">
        <w:rPr>
          <w:rFonts w:ascii="Arial" w:eastAsia="MS Mincho" w:hAnsi="Arial"/>
          <w:b w:val="0"/>
        </w:rPr>
        <w:t xml:space="preserve">. </w:t>
      </w:r>
      <w:r w:rsidR="00CB45E5" w:rsidRPr="007645C2">
        <w:rPr>
          <w:rFonts w:ascii="Arial" w:eastAsia="MS Mincho" w:hAnsi="Arial"/>
          <w:b w:val="0"/>
        </w:rPr>
        <w:t xml:space="preserve">The NTP will use the lessons learned when rolling out </w:t>
      </w:r>
      <w:proofErr w:type="spellStart"/>
      <w:r w:rsidR="00CB45E5" w:rsidRPr="007645C2">
        <w:rPr>
          <w:rFonts w:ascii="Arial" w:eastAsia="MS Mincho" w:hAnsi="Arial"/>
          <w:b w:val="0"/>
        </w:rPr>
        <w:t>Xpert</w:t>
      </w:r>
      <w:proofErr w:type="spellEnd"/>
      <w:r w:rsidR="00CB45E5" w:rsidRPr="007645C2">
        <w:rPr>
          <w:rFonts w:ascii="Arial" w:eastAsia="MS Mincho" w:hAnsi="Arial"/>
          <w:b w:val="0"/>
        </w:rPr>
        <w:t xml:space="preserve"> MTB/RIF at district level </w:t>
      </w:r>
      <w:proofErr w:type="gramStart"/>
      <w:r w:rsidR="00CB45E5" w:rsidRPr="007645C2">
        <w:rPr>
          <w:rFonts w:ascii="Arial" w:eastAsia="MS Mincho" w:hAnsi="Arial"/>
          <w:b w:val="0"/>
        </w:rPr>
        <w:t>country-wide</w:t>
      </w:r>
      <w:proofErr w:type="gramEnd"/>
      <w:r w:rsidR="00CB45E5" w:rsidRPr="007645C2">
        <w:rPr>
          <w:rFonts w:ascii="Arial" w:eastAsia="MS Mincho" w:hAnsi="Arial"/>
          <w:b w:val="0"/>
        </w:rPr>
        <w:t>.</w:t>
      </w:r>
    </w:p>
    <w:p w14:paraId="731F1546" w14:textId="54DE929B" w:rsidR="00CC13D3" w:rsidRPr="007645C2" w:rsidRDefault="00CC13D3" w:rsidP="0013566D">
      <w:pPr>
        <w:pStyle w:val="ListParagraph"/>
        <w:numPr>
          <w:ilvl w:val="0"/>
          <w:numId w:val="24"/>
        </w:numPr>
        <w:spacing w:before="120" w:after="120" w:line="240" w:lineRule="auto"/>
        <w:jc w:val="both"/>
        <w:rPr>
          <w:rFonts w:ascii="Arial" w:eastAsia="MS Mincho" w:hAnsi="Arial"/>
          <w:b w:val="0"/>
        </w:rPr>
      </w:pPr>
      <w:r w:rsidRPr="007645C2">
        <w:rPr>
          <w:rFonts w:ascii="Arial" w:eastAsia="MS Mincho" w:hAnsi="Arial"/>
          <w:b w:val="0"/>
        </w:rPr>
        <w:t xml:space="preserve">The Global Fund project contributed to the establishment and development of the National Stop TB Partnership platform for civil society and other non-state actors in TB prevention and care, and successfully supports engagement of NGOs through a small grants’ program. </w:t>
      </w:r>
      <w:r w:rsidR="00CB45E5" w:rsidRPr="007645C2">
        <w:rPr>
          <w:rFonts w:ascii="Arial" w:eastAsia="MS Mincho" w:hAnsi="Arial"/>
          <w:b w:val="0"/>
        </w:rPr>
        <w:t xml:space="preserve">Nine NGOs are currently engaged in such activities (7 NGOs with previous experience in HIV work and 2 </w:t>
      </w:r>
      <w:r w:rsidR="009315E9" w:rsidRPr="007645C2">
        <w:rPr>
          <w:rFonts w:ascii="Arial" w:eastAsia="MS Mincho" w:hAnsi="Arial"/>
          <w:b w:val="0"/>
        </w:rPr>
        <w:t xml:space="preserve">organizations </w:t>
      </w:r>
      <w:r w:rsidR="00CB45E5" w:rsidRPr="007645C2">
        <w:rPr>
          <w:rFonts w:ascii="Arial" w:eastAsia="MS Mincho" w:hAnsi="Arial"/>
          <w:b w:val="0"/>
        </w:rPr>
        <w:t xml:space="preserve">formed by people affected by TB). </w:t>
      </w:r>
      <w:r w:rsidR="00F103D0" w:rsidRPr="007645C2">
        <w:rPr>
          <w:rFonts w:ascii="Arial" w:eastAsia="MS Mincho" w:hAnsi="Arial"/>
          <w:b w:val="0"/>
        </w:rPr>
        <w:t>Cumulative</w:t>
      </w:r>
      <w:r w:rsidR="00CB45E5" w:rsidRPr="007645C2">
        <w:rPr>
          <w:rFonts w:ascii="Arial" w:eastAsia="MS Mincho" w:hAnsi="Arial"/>
          <w:b w:val="0"/>
        </w:rPr>
        <w:t>ly</w:t>
      </w:r>
      <w:r w:rsidR="00F103D0" w:rsidRPr="007645C2">
        <w:rPr>
          <w:rFonts w:ascii="Arial" w:eastAsia="MS Mincho" w:hAnsi="Arial"/>
          <w:b w:val="0"/>
        </w:rPr>
        <w:t>, a</w:t>
      </w:r>
      <w:r w:rsidR="000A3E20" w:rsidRPr="007645C2">
        <w:rPr>
          <w:rFonts w:ascii="Arial" w:eastAsia="MS Mincho" w:hAnsi="Arial"/>
          <w:b w:val="0"/>
        </w:rPr>
        <w:t xml:space="preserve"> total of 4,173 people </w:t>
      </w:r>
      <w:r w:rsidR="00CB45E5" w:rsidRPr="007645C2">
        <w:rPr>
          <w:rFonts w:ascii="Arial" w:eastAsia="MS Mincho" w:hAnsi="Arial"/>
          <w:b w:val="0"/>
        </w:rPr>
        <w:t xml:space="preserve">with presumptive TB </w:t>
      </w:r>
      <w:r w:rsidR="000A3E20" w:rsidRPr="007645C2">
        <w:rPr>
          <w:rFonts w:ascii="Arial" w:eastAsia="MS Mincho" w:hAnsi="Arial"/>
          <w:b w:val="0"/>
        </w:rPr>
        <w:t xml:space="preserve">from </w:t>
      </w:r>
      <w:r w:rsidR="00CB45E5" w:rsidRPr="007645C2">
        <w:rPr>
          <w:rFonts w:ascii="Arial" w:eastAsia="MS Mincho" w:hAnsi="Arial"/>
          <w:b w:val="0"/>
        </w:rPr>
        <w:t xml:space="preserve">risk </w:t>
      </w:r>
      <w:r w:rsidR="000A3E20" w:rsidRPr="007645C2">
        <w:rPr>
          <w:rFonts w:ascii="Arial" w:eastAsia="MS Mincho" w:hAnsi="Arial"/>
          <w:b w:val="0"/>
        </w:rPr>
        <w:t xml:space="preserve">groups </w:t>
      </w:r>
      <w:r w:rsidR="00CB45E5" w:rsidRPr="007645C2">
        <w:rPr>
          <w:rFonts w:ascii="Arial" w:eastAsia="MS Mincho" w:hAnsi="Arial"/>
          <w:b w:val="0"/>
        </w:rPr>
        <w:t xml:space="preserve">were referred </w:t>
      </w:r>
      <w:r w:rsidR="000A3E20" w:rsidRPr="007645C2">
        <w:rPr>
          <w:rFonts w:ascii="Arial" w:eastAsia="MS Mincho" w:hAnsi="Arial"/>
          <w:b w:val="0"/>
        </w:rPr>
        <w:t xml:space="preserve">by </w:t>
      </w:r>
      <w:r w:rsidR="00CB45E5" w:rsidRPr="007645C2">
        <w:rPr>
          <w:rFonts w:ascii="Arial" w:eastAsia="MS Mincho" w:hAnsi="Arial"/>
          <w:b w:val="0"/>
        </w:rPr>
        <w:t xml:space="preserve">the </w:t>
      </w:r>
      <w:r w:rsidR="000A3E20" w:rsidRPr="007645C2">
        <w:rPr>
          <w:rFonts w:ascii="Arial" w:eastAsia="MS Mincho" w:hAnsi="Arial"/>
          <w:b w:val="0"/>
        </w:rPr>
        <w:t xml:space="preserve">NGOs </w:t>
      </w:r>
      <w:r w:rsidR="0091670F" w:rsidRPr="007645C2">
        <w:rPr>
          <w:rFonts w:ascii="Arial" w:eastAsia="MS Mincho" w:hAnsi="Arial"/>
          <w:b w:val="0"/>
        </w:rPr>
        <w:t xml:space="preserve">for TB screening by PHC units; out of them, </w:t>
      </w:r>
      <w:r w:rsidR="000A3E20" w:rsidRPr="007645C2">
        <w:rPr>
          <w:rFonts w:ascii="Arial" w:eastAsia="MS Mincho" w:hAnsi="Arial"/>
          <w:b w:val="0"/>
        </w:rPr>
        <w:t>1,509 pe</w:t>
      </w:r>
      <w:r w:rsidR="0091670F" w:rsidRPr="007645C2">
        <w:rPr>
          <w:rFonts w:ascii="Arial" w:eastAsia="MS Mincho" w:hAnsi="Arial"/>
          <w:b w:val="0"/>
        </w:rPr>
        <w:t xml:space="preserve">rsons </w:t>
      </w:r>
      <w:r w:rsidR="000A3E20" w:rsidRPr="007645C2">
        <w:rPr>
          <w:rFonts w:ascii="Arial" w:eastAsia="MS Mincho" w:hAnsi="Arial"/>
          <w:b w:val="0"/>
        </w:rPr>
        <w:t xml:space="preserve">(36%) were investigated </w:t>
      </w:r>
      <w:r w:rsidR="0091670F" w:rsidRPr="007645C2">
        <w:rPr>
          <w:rFonts w:ascii="Arial" w:eastAsia="MS Mincho" w:hAnsi="Arial"/>
          <w:b w:val="0"/>
        </w:rPr>
        <w:t xml:space="preserve">for TB according to the </w:t>
      </w:r>
      <w:r w:rsidR="000A3E20" w:rsidRPr="007645C2">
        <w:rPr>
          <w:rFonts w:ascii="Arial" w:eastAsia="MS Mincho" w:hAnsi="Arial"/>
          <w:b w:val="0"/>
        </w:rPr>
        <w:t>national algorithm, and 333 (8%) were diagnosed with active TB</w:t>
      </w:r>
      <w:r w:rsidR="0091670F" w:rsidRPr="007645C2">
        <w:rPr>
          <w:rFonts w:ascii="Arial" w:eastAsia="MS Mincho" w:hAnsi="Arial"/>
          <w:b w:val="0"/>
        </w:rPr>
        <w:t xml:space="preserve"> disease</w:t>
      </w:r>
      <w:r w:rsidR="000A3E20" w:rsidRPr="007645C2">
        <w:rPr>
          <w:rFonts w:ascii="Arial" w:eastAsia="MS Mincho" w:hAnsi="Arial"/>
          <w:b w:val="0"/>
        </w:rPr>
        <w:t xml:space="preserve">. </w:t>
      </w:r>
      <w:r w:rsidR="0091670F" w:rsidRPr="007645C2">
        <w:rPr>
          <w:rFonts w:ascii="Arial" w:eastAsia="MS Mincho" w:hAnsi="Arial"/>
          <w:b w:val="0"/>
        </w:rPr>
        <w:t xml:space="preserve">The NGOs traced and </w:t>
      </w:r>
      <w:r w:rsidR="00D53505">
        <w:rPr>
          <w:rFonts w:ascii="Arial" w:eastAsia="MS Mincho" w:hAnsi="Arial"/>
          <w:b w:val="0"/>
        </w:rPr>
        <w:t xml:space="preserve">sent for </w:t>
      </w:r>
      <w:r w:rsidR="0091670F" w:rsidRPr="007645C2">
        <w:rPr>
          <w:rFonts w:ascii="Arial" w:eastAsia="MS Mincho" w:hAnsi="Arial"/>
          <w:b w:val="0"/>
        </w:rPr>
        <w:t>investigat</w:t>
      </w:r>
      <w:r w:rsidR="00D53505">
        <w:rPr>
          <w:rFonts w:ascii="Arial" w:eastAsia="MS Mincho" w:hAnsi="Arial"/>
          <w:b w:val="0"/>
        </w:rPr>
        <w:t>ions</w:t>
      </w:r>
      <w:r w:rsidR="0091670F" w:rsidRPr="007645C2">
        <w:rPr>
          <w:rFonts w:ascii="Arial" w:eastAsia="MS Mincho" w:hAnsi="Arial"/>
          <w:b w:val="0"/>
        </w:rPr>
        <w:t xml:space="preserve"> </w:t>
      </w:r>
      <w:r w:rsidR="00F103D0" w:rsidRPr="007645C2">
        <w:rPr>
          <w:rFonts w:ascii="Arial" w:eastAsia="MS Mincho" w:hAnsi="Arial"/>
          <w:b w:val="0"/>
        </w:rPr>
        <w:t>360 contacts of TB patients</w:t>
      </w:r>
      <w:r w:rsidR="0091670F" w:rsidRPr="007645C2">
        <w:rPr>
          <w:rFonts w:ascii="Arial" w:eastAsia="MS Mincho" w:hAnsi="Arial"/>
          <w:b w:val="0"/>
        </w:rPr>
        <w:t xml:space="preserve">; intensive adherence support and follow-up was provided to </w:t>
      </w:r>
      <w:r w:rsidR="00F103D0" w:rsidRPr="007645C2">
        <w:rPr>
          <w:rFonts w:ascii="Arial" w:eastAsia="MS Mincho" w:hAnsi="Arial"/>
          <w:b w:val="0"/>
        </w:rPr>
        <w:t xml:space="preserve">1,704 </w:t>
      </w:r>
      <w:r w:rsidR="0091670F" w:rsidRPr="007645C2">
        <w:rPr>
          <w:rFonts w:ascii="Arial" w:eastAsia="MS Mincho" w:hAnsi="Arial"/>
          <w:b w:val="0"/>
        </w:rPr>
        <w:t xml:space="preserve">TB </w:t>
      </w:r>
      <w:r w:rsidR="00F103D0" w:rsidRPr="007645C2">
        <w:rPr>
          <w:rFonts w:ascii="Arial" w:eastAsia="MS Mincho" w:hAnsi="Arial"/>
          <w:b w:val="0"/>
        </w:rPr>
        <w:t xml:space="preserve">patients </w:t>
      </w:r>
      <w:r w:rsidR="0091670F" w:rsidRPr="007645C2">
        <w:rPr>
          <w:rFonts w:ascii="Arial" w:eastAsia="MS Mincho" w:hAnsi="Arial"/>
          <w:b w:val="0"/>
        </w:rPr>
        <w:t xml:space="preserve">at increased </w:t>
      </w:r>
      <w:r w:rsidR="00F103D0" w:rsidRPr="007645C2">
        <w:rPr>
          <w:rFonts w:ascii="Arial" w:eastAsia="MS Mincho" w:hAnsi="Arial"/>
          <w:b w:val="0"/>
        </w:rPr>
        <w:t>risk of lost to follow-up</w:t>
      </w:r>
      <w:r w:rsidR="0091670F" w:rsidRPr="007645C2">
        <w:rPr>
          <w:rFonts w:ascii="Arial" w:eastAsia="MS Mincho" w:hAnsi="Arial"/>
          <w:b w:val="0"/>
        </w:rPr>
        <w:t xml:space="preserve">, </w:t>
      </w:r>
      <w:r w:rsidR="00F103D0" w:rsidRPr="007645C2">
        <w:rPr>
          <w:rFonts w:ascii="Arial" w:eastAsia="MS Mincho" w:hAnsi="Arial"/>
          <w:b w:val="0"/>
        </w:rPr>
        <w:t xml:space="preserve">and 1,483 </w:t>
      </w:r>
      <w:r w:rsidR="0091670F" w:rsidRPr="007645C2">
        <w:rPr>
          <w:rFonts w:ascii="Arial" w:eastAsia="MS Mincho" w:hAnsi="Arial"/>
          <w:b w:val="0"/>
        </w:rPr>
        <w:t>persons</w:t>
      </w:r>
      <w:r w:rsidR="00F103D0" w:rsidRPr="007645C2">
        <w:rPr>
          <w:rFonts w:ascii="Arial" w:eastAsia="MS Mincho" w:hAnsi="Arial"/>
          <w:b w:val="0"/>
        </w:rPr>
        <w:t xml:space="preserve"> who </w:t>
      </w:r>
      <w:r w:rsidR="001A0328" w:rsidRPr="007645C2">
        <w:rPr>
          <w:rFonts w:ascii="Arial" w:eastAsia="MS Mincho" w:hAnsi="Arial"/>
          <w:b w:val="0"/>
        </w:rPr>
        <w:t xml:space="preserve">interrupted </w:t>
      </w:r>
      <w:r w:rsidR="0091670F" w:rsidRPr="007645C2">
        <w:rPr>
          <w:rFonts w:ascii="Arial" w:eastAsia="MS Mincho" w:hAnsi="Arial"/>
          <w:b w:val="0"/>
        </w:rPr>
        <w:t>therapy</w:t>
      </w:r>
      <w:r w:rsidR="001A0328" w:rsidRPr="007645C2">
        <w:rPr>
          <w:rFonts w:ascii="Arial" w:eastAsia="MS Mincho" w:hAnsi="Arial"/>
          <w:b w:val="0"/>
        </w:rPr>
        <w:t xml:space="preserve"> were returned</w:t>
      </w:r>
      <w:r w:rsidR="0091670F" w:rsidRPr="007645C2">
        <w:rPr>
          <w:rFonts w:ascii="Arial" w:eastAsia="MS Mincho" w:hAnsi="Arial"/>
          <w:b w:val="0"/>
        </w:rPr>
        <w:t xml:space="preserve"> to treatment</w:t>
      </w:r>
      <w:r w:rsidR="001A0328" w:rsidRPr="007645C2">
        <w:rPr>
          <w:rFonts w:ascii="Arial" w:eastAsia="MS Mincho" w:hAnsi="Arial"/>
          <w:b w:val="0"/>
        </w:rPr>
        <w:t>, supervised and supported by the NGOs</w:t>
      </w:r>
      <w:r w:rsidR="0013566D" w:rsidRPr="007645C2">
        <w:rPr>
          <w:rFonts w:ascii="Arial" w:eastAsia="MS Mincho" w:hAnsi="Arial"/>
          <w:b w:val="0"/>
        </w:rPr>
        <w:t xml:space="preserve"> for its completion. </w:t>
      </w:r>
      <w:r w:rsidRPr="007645C2">
        <w:rPr>
          <w:rFonts w:ascii="Arial" w:eastAsia="MS Mincho" w:hAnsi="Arial"/>
          <w:b w:val="0"/>
        </w:rPr>
        <w:t xml:space="preserve">Given high demand from the beneficiaries and good results of early implementation, </w:t>
      </w:r>
      <w:r w:rsidR="00380859" w:rsidRPr="007645C2">
        <w:rPr>
          <w:rFonts w:ascii="Arial" w:eastAsia="MS Mincho" w:hAnsi="Arial"/>
          <w:b w:val="0"/>
        </w:rPr>
        <w:t xml:space="preserve">the coverage and scope of NGO projects </w:t>
      </w:r>
      <w:proofErr w:type="gramStart"/>
      <w:r w:rsidR="00380859" w:rsidRPr="007645C2">
        <w:rPr>
          <w:rFonts w:ascii="Arial" w:eastAsia="MS Mincho" w:hAnsi="Arial"/>
          <w:b w:val="0"/>
        </w:rPr>
        <w:t>are being extended</w:t>
      </w:r>
      <w:proofErr w:type="gramEnd"/>
      <w:r w:rsidR="00380859" w:rsidRPr="007645C2">
        <w:rPr>
          <w:rFonts w:ascii="Arial" w:eastAsia="MS Mincho" w:hAnsi="Arial"/>
          <w:b w:val="0"/>
        </w:rPr>
        <w:t xml:space="preserve">. </w:t>
      </w:r>
      <w:r w:rsidRPr="007645C2">
        <w:rPr>
          <w:rFonts w:ascii="Arial" w:eastAsia="MS Mincho" w:hAnsi="Arial"/>
          <w:b w:val="0"/>
        </w:rPr>
        <w:t xml:space="preserve">It </w:t>
      </w:r>
      <w:proofErr w:type="gramStart"/>
      <w:r w:rsidRPr="007645C2">
        <w:rPr>
          <w:rFonts w:ascii="Arial" w:eastAsia="MS Mincho" w:hAnsi="Arial"/>
          <w:b w:val="0"/>
        </w:rPr>
        <w:t xml:space="preserve">is </w:t>
      </w:r>
      <w:r w:rsidR="00380859" w:rsidRPr="007645C2">
        <w:rPr>
          <w:rFonts w:ascii="Arial" w:eastAsia="MS Mincho" w:hAnsi="Arial"/>
          <w:b w:val="0"/>
        </w:rPr>
        <w:t xml:space="preserve">further </w:t>
      </w:r>
      <w:r w:rsidRPr="007645C2">
        <w:rPr>
          <w:rFonts w:ascii="Arial" w:eastAsia="MS Mincho" w:hAnsi="Arial"/>
          <w:b w:val="0"/>
        </w:rPr>
        <w:t>planned</w:t>
      </w:r>
      <w:proofErr w:type="gramEnd"/>
      <w:r w:rsidRPr="007645C2">
        <w:rPr>
          <w:rFonts w:ascii="Arial" w:eastAsia="MS Mincho" w:hAnsi="Arial"/>
          <w:b w:val="0"/>
        </w:rPr>
        <w:t xml:space="preserve"> that the local governments will increase their share in co-financing and take over</w:t>
      </w:r>
      <w:r w:rsidR="00380859" w:rsidRPr="007645C2">
        <w:rPr>
          <w:rFonts w:ascii="Arial" w:eastAsia="MS Mincho" w:hAnsi="Arial"/>
          <w:b w:val="0"/>
        </w:rPr>
        <w:t xml:space="preserve"> from TGF, through appropriate social contracting</w:t>
      </w:r>
      <w:r w:rsidRPr="007645C2">
        <w:rPr>
          <w:rFonts w:ascii="Arial" w:eastAsia="MS Mincho" w:hAnsi="Arial"/>
          <w:b w:val="0"/>
        </w:rPr>
        <w:t xml:space="preserve"> </w:t>
      </w:r>
      <w:r w:rsidR="00380859" w:rsidRPr="007645C2">
        <w:rPr>
          <w:rFonts w:ascii="Arial" w:eastAsia="MS Mincho" w:hAnsi="Arial"/>
          <w:b w:val="0"/>
        </w:rPr>
        <w:t>mechanisms.</w:t>
      </w:r>
    </w:p>
    <w:p w14:paraId="5777466E" w14:textId="0CEE6317" w:rsidR="00380859" w:rsidRPr="007645C2" w:rsidRDefault="00380859" w:rsidP="00380859">
      <w:pPr>
        <w:spacing w:before="120" w:after="120" w:line="240" w:lineRule="auto"/>
        <w:jc w:val="center"/>
        <w:rPr>
          <w:rFonts w:ascii="Arial" w:eastAsia="MS Mincho" w:hAnsi="Arial"/>
          <w:b w:val="0"/>
        </w:rPr>
      </w:pPr>
      <w:r w:rsidRPr="007645C2">
        <w:rPr>
          <w:rFonts w:ascii="Arial" w:eastAsia="MS Mincho" w:hAnsi="Arial"/>
          <w:b w:val="0"/>
        </w:rPr>
        <w:t>*</w:t>
      </w:r>
      <w:r w:rsidRPr="007645C2">
        <w:rPr>
          <w:rFonts w:ascii="Arial" w:eastAsia="MS Mincho" w:hAnsi="Arial"/>
          <w:b w:val="0"/>
        </w:rPr>
        <w:tab/>
      </w:r>
      <w:r w:rsidRPr="007645C2">
        <w:rPr>
          <w:rFonts w:ascii="Arial" w:eastAsia="MS Mincho" w:hAnsi="Arial"/>
          <w:b w:val="0"/>
        </w:rPr>
        <w:tab/>
        <w:t>*</w:t>
      </w:r>
      <w:r w:rsidRPr="007645C2">
        <w:rPr>
          <w:rFonts w:ascii="Arial" w:eastAsia="MS Mincho" w:hAnsi="Arial"/>
          <w:b w:val="0"/>
        </w:rPr>
        <w:tab/>
      </w:r>
      <w:r w:rsidRPr="007645C2">
        <w:rPr>
          <w:rFonts w:ascii="Arial" w:eastAsia="MS Mincho" w:hAnsi="Arial"/>
          <w:b w:val="0"/>
        </w:rPr>
        <w:tab/>
        <w:t>*</w:t>
      </w:r>
    </w:p>
    <w:p w14:paraId="0F76814D" w14:textId="4CBB8AE6" w:rsidR="006950FC" w:rsidRPr="007645C2" w:rsidRDefault="0020134B" w:rsidP="00585E4F">
      <w:pPr>
        <w:spacing w:before="120" w:after="120" w:line="240" w:lineRule="auto"/>
        <w:jc w:val="both"/>
        <w:rPr>
          <w:rFonts w:ascii="Arial" w:eastAsia="MS Mincho" w:hAnsi="Arial"/>
          <w:b w:val="0"/>
        </w:rPr>
      </w:pPr>
      <w:r w:rsidRPr="007645C2">
        <w:rPr>
          <w:rFonts w:ascii="Arial" w:eastAsia="MS Mincho" w:hAnsi="Arial"/>
          <w:b w:val="0"/>
        </w:rPr>
        <w:t>There are a number of reasons for programmatic changes which form the basis of this funding request (i.e. applying through ‘Tailored to Material Change’ application channel), related to the changes in the country epidemiological and health system context, funding landscape, international policies and guidance and other factors, including:</w:t>
      </w:r>
    </w:p>
    <w:p w14:paraId="3E783FF6" w14:textId="6B0DE735" w:rsidR="00623CB2" w:rsidRPr="007645C2" w:rsidRDefault="0020134B" w:rsidP="00585E4F">
      <w:pPr>
        <w:pStyle w:val="ListParagraph"/>
        <w:numPr>
          <w:ilvl w:val="0"/>
          <w:numId w:val="21"/>
        </w:numPr>
        <w:spacing w:before="120" w:after="120" w:line="240" w:lineRule="auto"/>
        <w:jc w:val="both"/>
        <w:rPr>
          <w:rFonts w:ascii="Arial" w:eastAsia="MS Mincho" w:hAnsi="Arial"/>
          <w:b w:val="0"/>
        </w:rPr>
      </w:pPr>
      <w:r w:rsidRPr="007645C2">
        <w:rPr>
          <w:rFonts w:ascii="Arial" w:eastAsia="MS Mincho" w:hAnsi="Arial"/>
          <w:b w:val="0"/>
        </w:rPr>
        <w:t xml:space="preserve">The reinforced political commitment of the Government of Kazakhstan, which adhered to the United Nations’ </w:t>
      </w:r>
      <w:r w:rsidRPr="007645C2">
        <w:rPr>
          <w:rFonts w:ascii="Arial" w:eastAsia="MS Mincho" w:hAnsi="Arial"/>
          <w:b w:val="0"/>
          <w:i/>
        </w:rPr>
        <w:t>Political declaration of the high-level meeting of the General Assembly on the fight against tuberculosis</w:t>
      </w:r>
      <w:r w:rsidR="00623CB2" w:rsidRPr="007645C2">
        <w:rPr>
          <w:rFonts w:ascii="Arial" w:eastAsia="MS Mincho" w:hAnsi="Arial"/>
          <w:b w:val="0"/>
          <w:i/>
        </w:rPr>
        <w:t>;</w:t>
      </w:r>
    </w:p>
    <w:p w14:paraId="4B6BD159" w14:textId="3752CB54" w:rsidR="00B92A6D" w:rsidRPr="007645C2" w:rsidRDefault="00B92A6D" w:rsidP="00585E4F">
      <w:pPr>
        <w:pStyle w:val="ListParagraph"/>
        <w:numPr>
          <w:ilvl w:val="0"/>
          <w:numId w:val="21"/>
        </w:numPr>
        <w:spacing w:before="120" w:after="120" w:line="240" w:lineRule="auto"/>
        <w:jc w:val="both"/>
        <w:rPr>
          <w:rFonts w:ascii="Arial" w:eastAsia="MS Mincho" w:hAnsi="Arial"/>
          <w:b w:val="0"/>
        </w:rPr>
      </w:pPr>
      <w:r w:rsidRPr="007645C2">
        <w:rPr>
          <w:rFonts w:ascii="Arial" w:eastAsia="MS Mincho" w:hAnsi="Arial"/>
          <w:b w:val="0"/>
        </w:rPr>
        <w:t>Evolution of TB epidemiological situation in the country, with overall positive trends and decreasing TB burden but emerging challenges related to extensive drug resistance;</w:t>
      </w:r>
    </w:p>
    <w:p w14:paraId="21812AF8" w14:textId="1D0FA69D" w:rsidR="00B92A6D" w:rsidRPr="007645C2" w:rsidRDefault="00B92A6D" w:rsidP="00585E4F">
      <w:pPr>
        <w:pStyle w:val="ListParagraph"/>
        <w:numPr>
          <w:ilvl w:val="0"/>
          <w:numId w:val="21"/>
        </w:numPr>
        <w:spacing w:before="120" w:after="120" w:line="240" w:lineRule="auto"/>
        <w:jc w:val="both"/>
        <w:rPr>
          <w:rFonts w:ascii="Arial" w:eastAsia="MS Mincho" w:hAnsi="Arial"/>
          <w:b w:val="0"/>
        </w:rPr>
      </w:pPr>
      <w:r w:rsidRPr="007645C2">
        <w:rPr>
          <w:rFonts w:ascii="Arial" w:eastAsia="MS Mincho" w:hAnsi="Arial"/>
          <w:b w:val="0"/>
        </w:rPr>
        <w:t xml:space="preserve">Important structural reforms in the health system in Kazakhstan, which are aimed at ensuring universal health coverage (UHC) of essential interventions, including TB </w:t>
      </w:r>
      <w:r w:rsidRPr="007645C2">
        <w:rPr>
          <w:rFonts w:ascii="Arial" w:eastAsia="MS Mincho" w:hAnsi="Arial"/>
          <w:b w:val="0"/>
        </w:rPr>
        <w:lastRenderedPageBreak/>
        <w:t>prevention and care, through establishing the single-payer system</w:t>
      </w:r>
      <w:r w:rsidR="0013566D" w:rsidRPr="007645C2">
        <w:rPr>
          <w:rFonts w:ascii="Arial" w:eastAsia="MS Mincho" w:hAnsi="Arial"/>
          <w:b w:val="0"/>
        </w:rPr>
        <w:t xml:space="preserve"> (see more in section 4.1), </w:t>
      </w:r>
      <w:r w:rsidRPr="007645C2">
        <w:rPr>
          <w:rFonts w:ascii="Arial" w:eastAsia="MS Mincho" w:hAnsi="Arial"/>
          <w:b w:val="0"/>
        </w:rPr>
        <w:t>optimization of health service delivery organization and management</w:t>
      </w:r>
      <w:r w:rsidR="0013566D" w:rsidRPr="007645C2">
        <w:rPr>
          <w:rFonts w:ascii="Arial" w:eastAsia="MS Mincho" w:hAnsi="Arial"/>
          <w:b w:val="0"/>
        </w:rPr>
        <w:t xml:space="preserve"> (including merging specialized TB units under common administrative at oblast level)</w:t>
      </w:r>
      <w:r w:rsidRPr="007645C2">
        <w:rPr>
          <w:rFonts w:ascii="Arial" w:eastAsia="MS Mincho" w:hAnsi="Arial"/>
          <w:b w:val="0"/>
        </w:rPr>
        <w:t>, and promoting efficiency, quality and innovations;</w:t>
      </w:r>
    </w:p>
    <w:p w14:paraId="74639968" w14:textId="5C1CD923" w:rsidR="00B92A6D" w:rsidRPr="007645C2" w:rsidRDefault="00B92A6D" w:rsidP="00585E4F">
      <w:pPr>
        <w:pStyle w:val="ListParagraph"/>
        <w:numPr>
          <w:ilvl w:val="0"/>
          <w:numId w:val="21"/>
        </w:numPr>
        <w:spacing w:before="120" w:after="120" w:line="240" w:lineRule="auto"/>
        <w:jc w:val="both"/>
        <w:rPr>
          <w:rFonts w:ascii="Arial" w:eastAsia="MS Mincho" w:hAnsi="Arial"/>
          <w:b w:val="0"/>
        </w:rPr>
      </w:pPr>
      <w:r w:rsidRPr="007645C2">
        <w:rPr>
          <w:rFonts w:ascii="Arial" w:eastAsia="MS Mincho" w:hAnsi="Arial"/>
          <w:b w:val="0"/>
        </w:rPr>
        <w:t>The updated international policies and guidance for ending TB, including the revised WHO recommendations for DR-TB management;</w:t>
      </w:r>
    </w:p>
    <w:p w14:paraId="2E36D599" w14:textId="4F972497" w:rsidR="00623CB2" w:rsidRPr="007645C2" w:rsidRDefault="00623CB2" w:rsidP="00585E4F">
      <w:pPr>
        <w:pStyle w:val="ListParagraph"/>
        <w:numPr>
          <w:ilvl w:val="0"/>
          <w:numId w:val="21"/>
        </w:numPr>
        <w:spacing w:before="120" w:after="120" w:line="240" w:lineRule="auto"/>
        <w:jc w:val="both"/>
        <w:rPr>
          <w:rFonts w:ascii="Arial" w:eastAsia="MS Mincho" w:hAnsi="Arial"/>
          <w:b w:val="0"/>
        </w:rPr>
      </w:pPr>
      <w:r w:rsidRPr="007645C2">
        <w:rPr>
          <w:rFonts w:ascii="Arial" w:eastAsia="MS Mincho" w:hAnsi="Arial"/>
          <w:b w:val="0"/>
        </w:rPr>
        <w:t>The changing funding landscape in TB, with the increased Government contributions and takeover and decreasing external funding support, including reduced allocations from the Global Fund;</w:t>
      </w:r>
    </w:p>
    <w:p w14:paraId="07FDFA82" w14:textId="7C779FBC" w:rsidR="009527D4" w:rsidRDefault="009527D4" w:rsidP="00585E4F">
      <w:pPr>
        <w:spacing w:after="120" w:line="240" w:lineRule="auto"/>
        <w:jc w:val="both"/>
        <w:rPr>
          <w:rFonts w:ascii="Arial" w:eastAsia="MS Mincho" w:hAnsi="Arial"/>
          <w:b w:val="0"/>
        </w:rPr>
      </w:pPr>
      <w:r w:rsidRPr="007645C2">
        <w:rPr>
          <w:rFonts w:ascii="Arial" w:eastAsia="MS Mincho" w:hAnsi="Arial"/>
          <w:b w:val="0"/>
        </w:rPr>
        <w:t>In addition to those above, the key</w:t>
      </w:r>
      <w:r w:rsidR="006950FC" w:rsidRPr="007645C2">
        <w:rPr>
          <w:rFonts w:ascii="Arial" w:eastAsia="MS Mincho" w:hAnsi="Arial"/>
          <w:b w:val="0"/>
        </w:rPr>
        <w:t xml:space="preserve"> changes to TGF program setup, which justify the application through ‘Tailored to Material Change’ channel, </w:t>
      </w:r>
      <w:proofErr w:type="gramStart"/>
      <w:r w:rsidRPr="007645C2">
        <w:rPr>
          <w:rFonts w:ascii="Arial" w:eastAsia="MS Mincho" w:hAnsi="Arial"/>
          <w:b w:val="0"/>
        </w:rPr>
        <w:t>are presented</w:t>
      </w:r>
      <w:proofErr w:type="gramEnd"/>
      <w:r w:rsidRPr="007645C2">
        <w:rPr>
          <w:rFonts w:ascii="Arial" w:eastAsia="MS Mincho" w:hAnsi="Arial"/>
          <w:b w:val="0"/>
        </w:rPr>
        <w:t xml:space="preserve"> in Section 2.1 below.</w:t>
      </w:r>
    </w:p>
    <w:p w14:paraId="1437F32C" w14:textId="77777777" w:rsidR="0013566D" w:rsidRPr="009527D4" w:rsidRDefault="0013566D" w:rsidP="00585E4F">
      <w:pPr>
        <w:spacing w:after="120" w:line="240" w:lineRule="auto"/>
        <w:jc w:val="both"/>
        <w:rPr>
          <w:rFonts w:ascii="Arial" w:eastAsia="MS Mincho" w:hAnsi="Arial"/>
          <w:b w:val="0"/>
        </w:rPr>
      </w:pP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932"/>
      </w:tblGrid>
      <w:tr w:rsidR="00C7583B" w:rsidRPr="0048135A" w14:paraId="75AD53A8" w14:textId="77777777" w:rsidTr="00833796">
        <w:trPr>
          <w:trHeight w:val="332"/>
        </w:trPr>
        <w:tc>
          <w:tcPr>
            <w:tcW w:w="8932" w:type="dxa"/>
            <w:shd w:val="clear" w:color="auto" w:fill="1F497D"/>
          </w:tcPr>
          <w:p w14:paraId="779DA419" w14:textId="671E89CF" w:rsidR="00C7583B" w:rsidRPr="0048135A" w:rsidRDefault="00C7583B" w:rsidP="00C7583B">
            <w:pPr>
              <w:spacing w:before="120" w:after="120" w:line="240" w:lineRule="auto"/>
              <w:jc w:val="both"/>
              <w:rPr>
                <w:rFonts w:ascii="Arial" w:hAnsi="Arial"/>
                <w:b w:val="0"/>
                <w:bCs/>
                <w:sz w:val="20"/>
                <w:szCs w:val="20"/>
              </w:rPr>
            </w:pPr>
            <w:r w:rsidRPr="0048135A">
              <w:rPr>
                <w:rFonts w:ascii="Arial" w:hAnsi="Arial"/>
                <w:bCs/>
                <w:color w:val="FFFFFF" w:themeColor="background1"/>
                <w:sz w:val="20"/>
                <w:szCs w:val="20"/>
              </w:rPr>
              <w:t>SECTION 2: FUNDING REQUEST</w:t>
            </w:r>
            <w:r w:rsidR="001D76CF" w:rsidRPr="0048135A">
              <w:rPr>
                <w:rFonts w:ascii="Arial" w:hAnsi="Arial"/>
                <w:bCs/>
                <w:color w:val="FFFFFF" w:themeColor="background1"/>
                <w:sz w:val="20"/>
                <w:szCs w:val="20"/>
              </w:rPr>
              <w:t xml:space="preserve"> (Within Allocation)</w:t>
            </w:r>
          </w:p>
        </w:tc>
      </w:tr>
      <w:tr w:rsidR="00C7583B" w:rsidRPr="0048135A" w14:paraId="693EE7B7" w14:textId="77777777" w:rsidTr="008D124F">
        <w:trPr>
          <w:trHeight w:val="332"/>
        </w:trPr>
        <w:tc>
          <w:tcPr>
            <w:tcW w:w="8932" w:type="dxa"/>
            <w:shd w:val="clear" w:color="auto" w:fill="F2F2F2" w:themeFill="background1" w:themeFillShade="F2"/>
          </w:tcPr>
          <w:p w14:paraId="5FB9EE07" w14:textId="2A42BF52" w:rsidR="00650CB0" w:rsidRPr="0048135A" w:rsidRDefault="00122C0A" w:rsidP="00650CB0">
            <w:pPr>
              <w:keepNext/>
              <w:keepLines/>
              <w:spacing w:before="120" w:after="120" w:line="240" w:lineRule="auto"/>
              <w:jc w:val="both"/>
              <w:rPr>
                <w:rFonts w:ascii="Arial" w:hAnsi="Arial"/>
                <w:b w:val="0"/>
                <w:bCs/>
                <w:iCs/>
                <w:sz w:val="20"/>
                <w:szCs w:val="20"/>
              </w:rPr>
            </w:pPr>
            <w:r w:rsidRPr="0048135A">
              <w:rPr>
                <w:rFonts w:ascii="Arial" w:hAnsi="Arial"/>
                <w:b w:val="0"/>
                <w:bCs/>
                <w:iCs/>
                <w:sz w:val="20"/>
                <w:szCs w:val="20"/>
              </w:rPr>
              <w:t>This section should de</w:t>
            </w:r>
            <w:r w:rsidR="00232DD8" w:rsidRPr="0048135A">
              <w:rPr>
                <w:rFonts w:ascii="Arial" w:hAnsi="Arial"/>
                <w:b w:val="0"/>
                <w:bCs/>
                <w:iCs/>
                <w:sz w:val="20"/>
                <w:szCs w:val="20"/>
              </w:rPr>
              <w:t>scribe</w:t>
            </w:r>
            <w:r w:rsidRPr="0048135A">
              <w:rPr>
                <w:rFonts w:ascii="Arial" w:hAnsi="Arial"/>
                <w:b w:val="0"/>
                <w:bCs/>
                <w:iCs/>
                <w:sz w:val="20"/>
                <w:szCs w:val="20"/>
              </w:rPr>
              <w:t xml:space="preserve"> and provide a rationale for the p</w:t>
            </w:r>
            <w:r w:rsidRPr="0048135A">
              <w:rPr>
                <w:rFonts w:ascii="Arial" w:hAnsi="Arial"/>
                <w:b w:val="0"/>
                <w:sz w:val="20"/>
                <w:szCs w:val="20"/>
              </w:rPr>
              <w:t>rogram elements proposed for this funding request.</w:t>
            </w:r>
            <w:r w:rsidRPr="0048135A">
              <w:rPr>
                <w:rFonts w:ascii="Arial" w:hAnsi="Arial"/>
                <w:sz w:val="20"/>
                <w:szCs w:val="20"/>
              </w:rPr>
              <w:t xml:space="preserve"> </w:t>
            </w:r>
            <w:r w:rsidR="00232DD8" w:rsidRPr="0048135A">
              <w:rPr>
                <w:rFonts w:ascii="Arial" w:hAnsi="Arial"/>
                <w:b w:val="0"/>
                <w:bCs/>
                <w:iCs/>
                <w:sz w:val="20"/>
                <w:szCs w:val="20"/>
              </w:rPr>
              <w:t>A</w:t>
            </w:r>
            <w:r w:rsidR="00650CB0" w:rsidRPr="0048135A">
              <w:rPr>
                <w:rFonts w:ascii="Arial" w:hAnsi="Arial"/>
                <w:b w:val="0"/>
                <w:bCs/>
                <w:iCs/>
                <w:sz w:val="20"/>
                <w:szCs w:val="20"/>
              </w:rPr>
              <w:t xml:space="preserve">ttach and refer to completed </w:t>
            </w:r>
            <w:r w:rsidR="00650CB0" w:rsidRPr="0048135A">
              <w:rPr>
                <w:rFonts w:ascii="Arial" w:hAnsi="Arial"/>
                <w:bCs/>
                <w:iCs/>
                <w:sz w:val="20"/>
                <w:szCs w:val="20"/>
              </w:rPr>
              <w:t>Programmatic Gap Table(s), Funding Landscape Table(s), Performance Framework and Budget.</w:t>
            </w:r>
            <w:r w:rsidR="00650CB0" w:rsidRPr="0048135A">
              <w:rPr>
                <w:rFonts w:ascii="Arial" w:hAnsi="Arial"/>
                <w:b w:val="0"/>
                <w:bCs/>
                <w:iCs/>
                <w:sz w:val="20"/>
                <w:szCs w:val="20"/>
              </w:rPr>
              <w:t xml:space="preserve"> </w:t>
            </w:r>
          </w:p>
          <w:p w14:paraId="156F488C" w14:textId="45C7E025" w:rsidR="00C7583B" w:rsidRPr="0048135A" w:rsidRDefault="00650CB0" w:rsidP="00232DD8">
            <w:pPr>
              <w:keepNext/>
              <w:keepLines/>
              <w:spacing w:before="120" w:after="120" w:line="240" w:lineRule="auto"/>
              <w:jc w:val="both"/>
              <w:rPr>
                <w:rFonts w:ascii="Arial" w:hAnsi="Arial"/>
                <w:b w:val="0"/>
                <w:bCs/>
                <w:iCs/>
                <w:sz w:val="20"/>
                <w:szCs w:val="20"/>
              </w:rPr>
            </w:pPr>
            <w:r w:rsidRPr="0048135A">
              <w:rPr>
                <w:rFonts w:ascii="Arial" w:hAnsi="Arial"/>
                <w:b w:val="0"/>
                <w:bCs/>
                <w:iCs/>
                <w:sz w:val="20"/>
                <w:szCs w:val="20"/>
              </w:rPr>
              <w:t xml:space="preserve">To respond, </w:t>
            </w:r>
            <w:r w:rsidR="001A43EA" w:rsidRPr="0048135A">
              <w:rPr>
                <w:rFonts w:ascii="Arial" w:hAnsi="Arial"/>
                <w:b w:val="0"/>
                <w:bCs/>
                <w:iCs/>
                <w:sz w:val="20"/>
                <w:szCs w:val="20"/>
              </w:rPr>
              <w:t>refer to additional</w:t>
            </w:r>
            <w:r w:rsidRPr="0048135A">
              <w:rPr>
                <w:rFonts w:ascii="Arial" w:hAnsi="Arial"/>
                <w:b w:val="0"/>
                <w:bCs/>
                <w:iCs/>
                <w:sz w:val="20"/>
                <w:szCs w:val="20"/>
              </w:rPr>
              <w:t xml:space="preserve"> guidance provided in the </w:t>
            </w:r>
            <w:r w:rsidRPr="0048135A">
              <w:rPr>
                <w:rFonts w:ascii="Arial" w:hAnsi="Arial"/>
                <w:b w:val="0"/>
                <w:bCs/>
                <w:i/>
                <w:iCs/>
                <w:sz w:val="20"/>
                <w:szCs w:val="20"/>
              </w:rPr>
              <w:t>Instructions</w:t>
            </w:r>
            <w:r w:rsidR="000D4A2D">
              <w:rPr>
                <w:rFonts w:ascii="Arial" w:hAnsi="Arial"/>
                <w:b w:val="0"/>
                <w:bCs/>
                <w:i/>
                <w:iCs/>
                <w:sz w:val="20"/>
                <w:szCs w:val="20"/>
              </w:rPr>
              <w:t>.</w:t>
            </w:r>
          </w:p>
        </w:tc>
      </w:tr>
    </w:tbl>
    <w:p w14:paraId="1D1A07EA" w14:textId="77777777" w:rsidR="00C7583B" w:rsidRPr="0048135A" w:rsidRDefault="00C7583B">
      <w:pPr>
        <w:spacing w:after="0" w:line="240" w:lineRule="auto"/>
        <w:rPr>
          <w:rFonts w:ascii="Arial" w:eastAsia="SimSun" w:hAnsi="Arial"/>
          <w:sz w:val="20"/>
          <w:szCs w:val="20"/>
          <w:lang w:eastAsia="zh-CN"/>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898"/>
      </w:tblGrid>
      <w:tr w:rsidR="00F35CD2" w:rsidRPr="0048135A" w14:paraId="3A341576" w14:textId="66EABCE6" w:rsidTr="0068659C">
        <w:trPr>
          <w:trHeight w:val="560"/>
        </w:trPr>
        <w:tc>
          <w:tcPr>
            <w:tcW w:w="8898" w:type="dxa"/>
            <w:shd w:val="clear" w:color="auto" w:fill="C6D9F1"/>
            <w:vAlign w:val="center"/>
          </w:tcPr>
          <w:p w14:paraId="0677BA55" w14:textId="12B97FB0" w:rsidR="00F35CD2" w:rsidRPr="0048135A" w:rsidRDefault="0048135A" w:rsidP="00833796">
            <w:pPr>
              <w:spacing w:after="0"/>
              <w:rPr>
                <w:rFonts w:ascii="Arial" w:hAnsi="Arial"/>
                <w:b w:val="0"/>
                <w:sz w:val="20"/>
                <w:szCs w:val="20"/>
              </w:rPr>
            </w:pPr>
            <w:r>
              <w:rPr>
                <w:rFonts w:ascii="Arial" w:hAnsi="Arial"/>
                <w:sz w:val="20"/>
                <w:szCs w:val="20"/>
              </w:rPr>
              <w:t xml:space="preserve">2.1 </w:t>
            </w:r>
            <w:r w:rsidR="00114136" w:rsidRPr="0048135A">
              <w:rPr>
                <w:rFonts w:ascii="Arial" w:hAnsi="Arial"/>
                <w:sz w:val="20"/>
                <w:szCs w:val="20"/>
              </w:rPr>
              <w:t>Funding request</w:t>
            </w:r>
          </w:p>
        </w:tc>
      </w:tr>
      <w:tr w:rsidR="00F35CD2" w:rsidRPr="0048135A" w14:paraId="73C39A84" w14:textId="77777777" w:rsidTr="008D124F">
        <w:trPr>
          <w:trHeight w:val="557"/>
        </w:trPr>
        <w:tc>
          <w:tcPr>
            <w:tcW w:w="8898" w:type="dxa"/>
            <w:shd w:val="clear" w:color="auto" w:fill="F2F2F2" w:themeFill="background1" w:themeFillShade="F2"/>
          </w:tcPr>
          <w:p w14:paraId="0D4A0216" w14:textId="3531B4C1" w:rsidR="00652D2D" w:rsidRPr="00833796" w:rsidRDefault="00606E59" w:rsidP="005B583C">
            <w:pPr>
              <w:spacing w:before="120" w:after="120" w:line="240" w:lineRule="auto"/>
              <w:jc w:val="both"/>
              <w:rPr>
                <w:rFonts w:ascii="Arial" w:hAnsi="Arial"/>
                <w:b w:val="0"/>
                <w:sz w:val="20"/>
                <w:szCs w:val="20"/>
              </w:rPr>
            </w:pPr>
            <w:r w:rsidRPr="00833796">
              <w:rPr>
                <w:rFonts w:ascii="Arial" w:hAnsi="Arial"/>
                <w:b w:val="0"/>
                <w:sz w:val="20"/>
                <w:szCs w:val="20"/>
              </w:rPr>
              <w:t xml:space="preserve">Describe the funding request </w:t>
            </w:r>
            <w:r w:rsidR="00C37E4F" w:rsidRPr="00833796">
              <w:rPr>
                <w:rFonts w:ascii="Arial" w:hAnsi="Arial"/>
                <w:b w:val="0"/>
                <w:sz w:val="20"/>
                <w:szCs w:val="20"/>
              </w:rPr>
              <w:t xml:space="preserve">for the disease program(s) </w:t>
            </w:r>
            <w:r w:rsidR="00D46702" w:rsidRPr="00833796">
              <w:rPr>
                <w:rFonts w:ascii="Arial" w:hAnsi="Arial"/>
                <w:b w:val="0"/>
                <w:sz w:val="20"/>
                <w:szCs w:val="20"/>
              </w:rPr>
              <w:t>by specifying the</w:t>
            </w:r>
            <w:r w:rsidRPr="00833796">
              <w:rPr>
                <w:rFonts w:ascii="Arial" w:hAnsi="Arial"/>
                <w:b w:val="0"/>
                <w:sz w:val="20"/>
                <w:szCs w:val="20"/>
              </w:rPr>
              <w:t xml:space="preserve"> changes</w:t>
            </w:r>
            <w:r w:rsidR="00A86F75" w:rsidRPr="00833796">
              <w:rPr>
                <w:rFonts w:ascii="Arial" w:hAnsi="Arial"/>
                <w:b w:val="0"/>
                <w:sz w:val="20"/>
                <w:szCs w:val="20"/>
              </w:rPr>
              <w:t xml:space="preserve"> to the current funded program</w:t>
            </w:r>
            <w:r w:rsidR="00A4189F" w:rsidRPr="00833796">
              <w:rPr>
                <w:rFonts w:ascii="Arial" w:hAnsi="Arial"/>
                <w:b w:val="0"/>
                <w:sz w:val="20"/>
                <w:szCs w:val="20"/>
              </w:rPr>
              <w:t>, taking into account</w:t>
            </w:r>
            <w:r w:rsidRPr="00833796">
              <w:rPr>
                <w:rFonts w:ascii="Arial" w:hAnsi="Arial"/>
                <w:b w:val="0"/>
                <w:sz w:val="20"/>
                <w:szCs w:val="20"/>
              </w:rPr>
              <w:t xml:space="preserve"> the existing </w:t>
            </w:r>
            <w:r w:rsidR="00B1344D" w:rsidRPr="00833796">
              <w:rPr>
                <w:rFonts w:ascii="Arial" w:hAnsi="Arial"/>
                <w:b w:val="0"/>
                <w:sz w:val="20"/>
                <w:szCs w:val="20"/>
              </w:rPr>
              <w:t>program</w:t>
            </w:r>
            <w:r w:rsidR="00B13AE8" w:rsidRPr="00833796">
              <w:rPr>
                <w:rFonts w:ascii="Arial" w:hAnsi="Arial"/>
                <w:b w:val="0"/>
                <w:sz w:val="20"/>
                <w:szCs w:val="20"/>
              </w:rPr>
              <w:t>matic</w:t>
            </w:r>
            <w:r w:rsidR="00B1344D" w:rsidRPr="00833796">
              <w:rPr>
                <w:rFonts w:ascii="Arial" w:hAnsi="Arial"/>
                <w:b w:val="0"/>
                <w:sz w:val="20"/>
                <w:szCs w:val="20"/>
              </w:rPr>
              <w:t xml:space="preserve"> and financial gaps that now need to </w:t>
            </w:r>
            <w:proofErr w:type="gramStart"/>
            <w:r w:rsidR="00B1344D" w:rsidRPr="00833796">
              <w:rPr>
                <w:rFonts w:ascii="Arial" w:hAnsi="Arial"/>
                <w:b w:val="0"/>
                <w:sz w:val="20"/>
                <w:szCs w:val="20"/>
              </w:rPr>
              <w:t>be addressed</w:t>
            </w:r>
            <w:proofErr w:type="gramEnd"/>
            <w:r w:rsidR="00652D2D" w:rsidRPr="00833796">
              <w:rPr>
                <w:rFonts w:ascii="Arial" w:hAnsi="Arial"/>
                <w:b w:val="0"/>
                <w:sz w:val="20"/>
                <w:szCs w:val="20"/>
              </w:rPr>
              <w:t>, and how the changes in certain program areas affect the scope/scale of the Global Fund investments</w:t>
            </w:r>
            <w:r w:rsidR="00C37E4F" w:rsidRPr="00833796">
              <w:rPr>
                <w:rFonts w:ascii="Arial" w:hAnsi="Arial"/>
                <w:b w:val="0"/>
                <w:sz w:val="20"/>
                <w:szCs w:val="20"/>
              </w:rPr>
              <w:t>.</w:t>
            </w:r>
          </w:p>
          <w:p w14:paraId="4A34D24A" w14:textId="4EF02109" w:rsidR="00B13AE8" w:rsidRPr="00833796" w:rsidRDefault="00652D2D" w:rsidP="005B583C">
            <w:pPr>
              <w:spacing w:before="120" w:after="120" w:line="240" w:lineRule="auto"/>
              <w:jc w:val="both"/>
              <w:rPr>
                <w:rFonts w:ascii="Arial" w:hAnsi="Arial"/>
                <w:b w:val="0"/>
                <w:sz w:val="20"/>
                <w:szCs w:val="20"/>
              </w:rPr>
            </w:pPr>
            <w:r w:rsidRPr="00833796">
              <w:rPr>
                <w:rFonts w:ascii="Arial" w:hAnsi="Arial"/>
                <w:b w:val="0"/>
                <w:sz w:val="20"/>
                <w:szCs w:val="20"/>
              </w:rPr>
              <w:t>Additionally, o</w:t>
            </w:r>
            <w:r w:rsidR="00B13AE8" w:rsidRPr="00833796">
              <w:rPr>
                <w:rFonts w:ascii="Arial" w:hAnsi="Arial"/>
                <w:b w:val="0"/>
                <w:sz w:val="20"/>
                <w:szCs w:val="20"/>
              </w:rPr>
              <w:t>utline in particular:</w:t>
            </w:r>
          </w:p>
          <w:p w14:paraId="2FA7F127" w14:textId="7D476562" w:rsidR="00B13AE8" w:rsidRPr="00833796" w:rsidRDefault="00C37E4F" w:rsidP="005B583C">
            <w:pPr>
              <w:pStyle w:val="ListParagraph"/>
              <w:numPr>
                <w:ilvl w:val="0"/>
                <w:numId w:val="8"/>
              </w:numPr>
              <w:spacing w:before="120" w:after="120" w:line="240" w:lineRule="auto"/>
              <w:jc w:val="both"/>
              <w:rPr>
                <w:rFonts w:ascii="Arial" w:hAnsi="Arial"/>
                <w:b w:val="0"/>
                <w:sz w:val="20"/>
                <w:szCs w:val="20"/>
              </w:rPr>
            </w:pPr>
            <w:r w:rsidRPr="00833796">
              <w:rPr>
                <w:rFonts w:ascii="Arial" w:hAnsi="Arial"/>
                <w:b w:val="0"/>
                <w:sz w:val="20"/>
                <w:szCs w:val="20"/>
              </w:rPr>
              <w:t>T</w:t>
            </w:r>
            <w:r w:rsidR="00F35CD2" w:rsidRPr="00833796">
              <w:rPr>
                <w:rFonts w:ascii="Arial" w:hAnsi="Arial"/>
                <w:b w:val="0"/>
                <w:sz w:val="20"/>
                <w:szCs w:val="20"/>
              </w:rPr>
              <w:t>he changes to the (</w:t>
            </w:r>
            <w:proofErr w:type="spellStart"/>
            <w:r w:rsidR="00F35CD2" w:rsidRPr="00833796">
              <w:rPr>
                <w:rFonts w:ascii="Arial" w:hAnsi="Arial"/>
                <w:b w:val="0"/>
                <w:sz w:val="20"/>
                <w:szCs w:val="20"/>
              </w:rPr>
              <w:t>i</w:t>
            </w:r>
            <w:proofErr w:type="spellEnd"/>
            <w:r w:rsidR="00F35CD2" w:rsidRPr="00833796">
              <w:rPr>
                <w:rFonts w:ascii="Arial" w:hAnsi="Arial"/>
                <w:b w:val="0"/>
                <w:sz w:val="20"/>
                <w:szCs w:val="20"/>
              </w:rPr>
              <w:t>) Performance Framework such as impact on targets, geographic coverage, or the diversity/quality of the service packages, (ii) budget</w:t>
            </w:r>
          </w:p>
          <w:p w14:paraId="0B8A48FF" w14:textId="77777777" w:rsidR="00B13AE8" w:rsidRPr="00833796" w:rsidRDefault="00B13AE8" w:rsidP="005B583C">
            <w:pPr>
              <w:pStyle w:val="ListParagraph"/>
              <w:spacing w:before="120" w:after="120" w:line="240" w:lineRule="auto"/>
              <w:jc w:val="both"/>
              <w:rPr>
                <w:rFonts w:ascii="Arial" w:hAnsi="Arial"/>
                <w:b w:val="0"/>
                <w:sz w:val="20"/>
                <w:szCs w:val="20"/>
              </w:rPr>
            </w:pPr>
          </w:p>
          <w:p w14:paraId="6876729C" w14:textId="7D1B9F54" w:rsidR="004F51C6" w:rsidRPr="00833796" w:rsidRDefault="00C37E4F" w:rsidP="005B583C">
            <w:pPr>
              <w:pStyle w:val="ListParagraph"/>
              <w:numPr>
                <w:ilvl w:val="0"/>
                <w:numId w:val="8"/>
              </w:numPr>
              <w:spacing w:before="120" w:after="120" w:line="240" w:lineRule="auto"/>
              <w:jc w:val="both"/>
              <w:rPr>
                <w:rFonts w:ascii="Arial" w:hAnsi="Arial"/>
                <w:b w:val="0"/>
                <w:sz w:val="20"/>
                <w:szCs w:val="20"/>
              </w:rPr>
            </w:pPr>
            <w:r w:rsidRPr="00833796">
              <w:rPr>
                <w:rFonts w:ascii="Arial" w:hAnsi="Arial"/>
                <w:b w:val="0"/>
                <w:sz w:val="20"/>
                <w:szCs w:val="20"/>
              </w:rPr>
              <w:t>H</w:t>
            </w:r>
            <w:r w:rsidR="00F35CD2" w:rsidRPr="00833796">
              <w:rPr>
                <w:rFonts w:ascii="Arial" w:hAnsi="Arial"/>
                <w:b w:val="0"/>
                <w:sz w:val="20"/>
                <w:szCs w:val="20"/>
              </w:rPr>
              <w:t>ow the propo</w:t>
            </w:r>
            <w:r w:rsidR="00BF12A2" w:rsidRPr="00833796">
              <w:rPr>
                <w:rFonts w:ascii="Arial" w:hAnsi="Arial"/>
                <w:b w:val="0"/>
                <w:sz w:val="20"/>
                <w:szCs w:val="20"/>
              </w:rPr>
              <w:t xml:space="preserve">sed </w:t>
            </w:r>
            <w:r w:rsidRPr="00833796">
              <w:rPr>
                <w:rFonts w:ascii="Arial" w:hAnsi="Arial"/>
                <w:b w:val="0"/>
                <w:sz w:val="20"/>
                <w:szCs w:val="20"/>
              </w:rPr>
              <w:t>revisions</w:t>
            </w:r>
            <w:r w:rsidR="002A7DE9" w:rsidRPr="00833796">
              <w:rPr>
                <w:rFonts w:ascii="Arial" w:hAnsi="Arial"/>
                <w:b w:val="0"/>
                <w:sz w:val="20"/>
                <w:szCs w:val="20"/>
              </w:rPr>
              <w:t xml:space="preserve"> </w:t>
            </w:r>
            <w:r w:rsidR="00BF12A2" w:rsidRPr="00833796">
              <w:rPr>
                <w:rFonts w:ascii="Arial" w:hAnsi="Arial"/>
                <w:b w:val="0"/>
                <w:sz w:val="20"/>
                <w:szCs w:val="20"/>
              </w:rPr>
              <w:t>will ensure</w:t>
            </w:r>
            <w:r w:rsidR="00114136" w:rsidRPr="00833796">
              <w:rPr>
                <w:rFonts w:ascii="Arial" w:hAnsi="Arial"/>
                <w:b w:val="0"/>
                <w:sz w:val="20"/>
                <w:szCs w:val="20"/>
              </w:rPr>
              <w:t>:</w:t>
            </w:r>
          </w:p>
          <w:p w14:paraId="2D2D4C78" w14:textId="2D2568CE" w:rsidR="00B13AE8" w:rsidRPr="00833796" w:rsidRDefault="00F35CD2" w:rsidP="005B583C">
            <w:pPr>
              <w:pStyle w:val="ListParagraph"/>
              <w:numPr>
                <w:ilvl w:val="1"/>
                <w:numId w:val="4"/>
              </w:numPr>
              <w:spacing w:before="120" w:after="120" w:line="240" w:lineRule="auto"/>
              <w:jc w:val="both"/>
              <w:rPr>
                <w:rFonts w:ascii="Arial" w:hAnsi="Arial"/>
                <w:b w:val="0"/>
                <w:sz w:val="20"/>
                <w:szCs w:val="20"/>
              </w:rPr>
            </w:pPr>
            <w:r w:rsidRPr="00833796">
              <w:rPr>
                <w:rFonts w:ascii="Arial" w:hAnsi="Arial"/>
                <w:b w:val="0"/>
                <w:sz w:val="20"/>
                <w:szCs w:val="20"/>
              </w:rPr>
              <w:t>con</w:t>
            </w:r>
            <w:r w:rsidR="00114136" w:rsidRPr="00833796">
              <w:rPr>
                <w:rFonts w:ascii="Arial" w:hAnsi="Arial"/>
                <w:b w:val="0"/>
                <w:sz w:val="20"/>
                <w:szCs w:val="20"/>
              </w:rPr>
              <w:t>tinued scale up where feasible;</w:t>
            </w:r>
          </w:p>
          <w:p w14:paraId="4AB3926C" w14:textId="0DB4E516" w:rsidR="002A7DE9" w:rsidRPr="00833796" w:rsidRDefault="00F35CD2" w:rsidP="005B583C">
            <w:pPr>
              <w:pStyle w:val="ListParagraph"/>
              <w:numPr>
                <w:ilvl w:val="1"/>
                <w:numId w:val="4"/>
              </w:numPr>
              <w:spacing w:before="120" w:after="120" w:line="240" w:lineRule="auto"/>
              <w:jc w:val="both"/>
              <w:rPr>
                <w:rFonts w:ascii="Arial" w:hAnsi="Arial"/>
                <w:b w:val="0"/>
                <w:sz w:val="20"/>
                <w:szCs w:val="20"/>
              </w:rPr>
            </w:pPr>
            <w:r w:rsidRPr="00833796">
              <w:rPr>
                <w:rFonts w:ascii="Arial" w:hAnsi="Arial"/>
                <w:b w:val="0"/>
                <w:sz w:val="20"/>
                <w:szCs w:val="20"/>
              </w:rPr>
              <w:t>effective and efficient use of Global Fund investmen</w:t>
            </w:r>
            <w:r w:rsidR="00B1344D" w:rsidRPr="00833796">
              <w:rPr>
                <w:rFonts w:ascii="Arial" w:hAnsi="Arial"/>
                <w:b w:val="0"/>
                <w:sz w:val="20"/>
                <w:szCs w:val="20"/>
              </w:rPr>
              <w:t>ts</w:t>
            </w:r>
            <w:r w:rsidR="002D639F" w:rsidRPr="00833796">
              <w:rPr>
                <w:rFonts w:ascii="Arial" w:hAnsi="Arial"/>
                <w:b w:val="0"/>
                <w:sz w:val="20"/>
                <w:szCs w:val="20"/>
              </w:rPr>
              <w:t>;</w:t>
            </w:r>
          </w:p>
          <w:p w14:paraId="3CCD7385" w14:textId="731DF5BD" w:rsidR="00C37E4F" w:rsidRPr="0048135A" w:rsidRDefault="00C37E4F" w:rsidP="005B583C">
            <w:pPr>
              <w:pStyle w:val="ListParagraph"/>
              <w:numPr>
                <w:ilvl w:val="1"/>
                <w:numId w:val="4"/>
              </w:numPr>
              <w:spacing w:before="120" w:after="120" w:line="240" w:lineRule="auto"/>
              <w:jc w:val="both"/>
              <w:rPr>
                <w:rFonts w:ascii="Arial" w:hAnsi="Arial"/>
                <w:b w:val="0"/>
                <w:sz w:val="20"/>
                <w:szCs w:val="20"/>
              </w:rPr>
            </w:pPr>
            <w:r w:rsidRPr="00833796">
              <w:rPr>
                <w:rFonts w:ascii="Arial" w:hAnsi="Arial"/>
                <w:b w:val="0"/>
                <w:sz w:val="20"/>
                <w:szCs w:val="20"/>
              </w:rPr>
              <w:t>maxim</w:t>
            </w:r>
            <w:r w:rsidR="002D639F" w:rsidRPr="00833796">
              <w:rPr>
                <w:rFonts w:ascii="Arial" w:hAnsi="Arial"/>
                <w:b w:val="0"/>
                <w:sz w:val="20"/>
                <w:szCs w:val="20"/>
              </w:rPr>
              <w:t>um</w:t>
            </w:r>
            <w:r w:rsidR="00B1344D" w:rsidRPr="00833796">
              <w:rPr>
                <w:rFonts w:ascii="Arial" w:hAnsi="Arial"/>
                <w:b w:val="0"/>
                <w:sz w:val="20"/>
                <w:szCs w:val="20"/>
              </w:rPr>
              <w:t xml:space="preserve"> </w:t>
            </w:r>
            <w:r w:rsidR="00F35CD2" w:rsidRPr="00833796">
              <w:rPr>
                <w:rFonts w:ascii="Arial" w:hAnsi="Arial"/>
                <w:b w:val="0"/>
                <w:sz w:val="20"/>
                <w:szCs w:val="20"/>
              </w:rPr>
              <w:t xml:space="preserve">impact </w:t>
            </w:r>
            <w:r w:rsidR="00F25AC5" w:rsidRPr="00833796">
              <w:rPr>
                <w:rFonts w:ascii="Arial" w:hAnsi="Arial"/>
                <w:b w:val="0"/>
                <w:sz w:val="20"/>
                <w:szCs w:val="20"/>
              </w:rPr>
              <w:t>for ending epidemics</w:t>
            </w:r>
            <w:r w:rsidR="00114136" w:rsidRPr="00833796">
              <w:rPr>
                <w:rFonts w:ascii="Arial" w:hAnsi="Arial"/>
                <w:b w:val="0"/>
                <w:sz w:val="20"/>
                <w:szCs w:val="20"/>
              </w:rPr>
              <w:t xml:space="preserve"> HIV/AIDS</w:t>
            </w:r>
            <w:r w:rsidR="00114136" w:rsidRPr="0048135A">
              <w:rPr>
                <w:rFonts w:ascii="Arial" w:hAnsi="Arial"/>
                <w:b w:val="0"/>
                <w:sz w:val="20"/>
                <w:szCs w:val="20"/>
              </w:rPr>
              <w:t>, TB and malaria</w:t>
            </w:r>
            <w:r w:rsidR="00F35CD2" w:rsidRPr="0048135A">
              <w:rPr>
                <w:rFonts w:ascii="Arial" w:hAnsi="Arial"/>
                <w:b w:val="0"/>
                <w:sz w:val="20"/>
                <w:szCs w:val="20"/>
              </w:rPr>
              <w:t>;</w:t>
            </w:r>
          </w:p>
          <w:p w14:paraId="6D3CC852" w14:textId="63E8F7E1" w:rsidR="00B13AE8" w:rsidRPr="0048135A" w:rsidRDefault="00B13AE8" w:rsidP="005B583C">
            <w:pPr>
              <w:pStyle w:val="ListParagraph"/>
              <w:spacing w:before="120" w:after="120" w:line="240" w:lineRule="auto"/>
              <w:ind w:left="1440"/>
              <w:jc w:val="both"/>
              <w:rPr>
                <w:rFonts w:ascii="Arial" w:hAnsi="Arial"/>
                <w:b w:val="0"/>
                <w:sz w:val="20"/>
                <w:szCs w:val="20"/>
              </w:rPr>
            </w:pPr>
          </w:p>
          <w:p w14:paraId="2F442123" w14:textId="3AF151D7" w:rsidR="00732047" w:rsidRPr="0048135A" w:rsidRDefault="00243BCC" w:rsidP="005B583C">
            <w:pPr>
              <w:pStyle w:val="ListParagraph"/>
              <w:numPr>
                <w:ilvl w:val="0"/>
                <w:numId w:val="8"/>
              </w:numPr>
              <w:spacing w:before="120" w:after="120" w:line="240" w:lineRule="auto"/>
              <w:jc w:val="both"/>
              <w:rPr>
                <w:rFonts w:ascii="Arial" w:hAnsi="Arial"/>
                <w:b w:val="0"/>
                <w:sz w:val="20"/>
                <w:szCs w:val="20"/>
              </w:rPr>
            </w:pPr>
            <w:r w:rsidRPr="0048135A">
              <w:rPr>
                <w:rFonts w:ascii="Arial" w:hAnsi="Arial"/>
                <w:b w:val="0"/>
                <w:sz w:val="20"/>
                <w:szCs w:val="20"/>
              </w:rPr>
              <w:t>H</w:t>
            </w:r>
            <w:r w:rsidR="00652D2D" w:rsidRPr="0048135A">
              <w:rPr>
                <w:rFonts w:ascii="Arial" w:hAnsi="Arial"/>
                <w:b w:val="0"/>
                <w:sz w:val="20"/>
                <w:szCs w:val="20"/>
              </w:rPr>
              <w:t xml:space="preserve">ow the </w:t>
            </w:r>
            <w:r w:rsidR="00C37E4F" w:rsidRPr="0048135A">
              <w:rPr>
                <w:rFonts w:ascii="Arial" w:hAnsi="Arial"/>
                <w:b w:val="0"/>
                <w:sz w:val="20"/>
                <w:szCs w:val="20"/>
              </w:rPr>
              <w:t xml:space="preserve">proposed </w:t>
            </w:r>
            <w:r w:rsidR="00652D2D" w:rsidRPr="0048135A">
              <w:rPr>
                <w:rFonts w:ascii="Arial" w:hAnsi="Arial"/>
                <w:b w:val="0"/>
                <w:sz w:val="20"/>
                <w:szCs w:val="20"/>
              </w:rPr>
              <w:t>investment ensures appropriate focus on</w:t>
            </w:r>
            <w:r w:rsidR="00652D2D" w:rsidRPr="0048135A">
              <w:rPr>
                <w:rFonts w:ascii="Arial" w:hAnsi="Arial"/>
                <w:sz w:val="20"/>
                <w:szCs w:val="20"/>
              </w:rPr>
              <w:t xml:space="preserve"> </w:t>
            </w:r>
            <w:r w:rsidR="00652D2D" w:rsidRPr="0048135A">
              <w:rPr>
                <w:rFonts w:ascii="Arial" w:hAnsi="Arial"/>
                <w:b w:val="0"/>
                <w:sz w:val="20"/>
                <w:szCs w:val="20"/>
              </w:rPr>
              <w:t xml:space="preserve">building resilient and sustainable systems for health, </w:t>
            </w:r>
            <w:r w:rsidR="00F35CD2" w:rsidRPr="0048135A">
              <w:rPr>
                <w:rFonts w:ascii="Arial" w:hAnsi="Arial"/>
                <w:b w:val="0"/>
                <w:sz w:val="20"/>
                <w:szCs w:val="20"/>
              </w:rPr>
              <w:t xml:space="preserve">and key </w:t>
            </w:r>
            <w:r w:rsidR="00B1344D" w:rsidRPr="0048135A">
              <w:rPr>
                <w:rFonts w:ascii="Arial" w:hAnsi="Arial"/>
                <w:b w:val="0"/>
                <w:sz w:val="20"/>
                <w:szCs w:val="20"/>
              </w:rPr>
              <w:t xml:space="preserve">and vulnerable </w:t>
            </w:r>
            <w:r w:rsidR="00F35CD2" w:rsidRPr="0048135A">
              <w:rPr>
                <w:rFonts w:ascii="Arial" w:hAnsi="Arial"/>
                <w:b w:val="0"/>
                <w:sz w:val="20"/>
                <w:szCs w:val="20"/>
              </w:rPr>
              <w:t>population programs</w:t>
            </w:r>
            <w:r w:rsidR="003967BB" w:rsidRPr="0048135A">
              <w:rPr>
                <w:rFonts w:ascii="Arial" w:hAnsi="Arial"/>
                <w:b w:val="0"/>
                <w:sz w:val="20"/>
                <w:szCs w:val="20"/>
              </w:rPr>
              <w:t xml:space="preserve"> as applicable</w:t>
            </w:r>
            <w:r w:rsidR="00652D2D" w:rsidRPr="0048135A">
              <w:rPr>
                <w:rFonts w:ascii="Arial" w:hAnsi="Arial"/>
                <w:b w:val="0"/>
                <w:sz w:val="20"/>
                <w:szCs w:val="20"/>
              </w:rPr>
              <w:t>.</w:t>
            </w:r>
          </w:p>
          <w:p w14:paraId="68DAE538" w14:textId="77777777" w:rsidR="00B45D3D" w:rsidRPr="0048135A" w:rsidRDefault="00732047" w:rsidP="005B583C">
            <w:pPr>
              <w:spacing w:before="120" w:after="120" w:line="240" w:lineRule="auto"/>
              <w:ind w:left="29"/>
              <w:rPr>
                <w:rFonts w:ascii="Arial" w:hAnsi="Arial"/>
                <w:b w:val="0"/>
                <w:sz w:val="20"/>
                <w:szCs w:val="20"/>
              </w:rPr>
            </w:pPr>
            <w:r w:rsidRPr="0048135A">
              <w:rPr>
                <w:rFonts w:ascii="Arial" w:hAnsi="Arial"/>
                <w:b w:val="0"/>
                <w:sz w:val="20"/>
                <w:szCs w:val="20"/>
              </w:rPr>
              <w:t xml:space="preserve">For joint applications: ensure the answer appropriately reflects the separate disease programs in addition to cross-cutting modules where appropriate, and </w:t>
            </w:r>
            <w:r w:rsidRPr="00833796">
              <w:rPr>
                <w:rFonts w:ascii="Arial" w:hAnsi="Arial"/>
                <w:b w:val="0"/>
                <w:sz w:val="20"/>
                <w:szCs w:val="20"/>
              </w:rPr>
              <w:t>expected coordination and resulting efficiencies and impact achieved from the joint programming.</w:t>
            </w:r>
          </w:p>
          <w:p w14:paraId="43F39C65" w14:textId="5D7B1A72" w:rsidR="003967BB" w:rsidRPr="00585E4F" w:rsidRDefault="00B45D3D" w:rsidP="005B583C">
            <w:pPr>
              <w:spacing w:before="120" w:after="120" w:line="240" w:lineRule="auto"/>
              <w:ind w:left="29"/>
              <w:rPr>
                <w:rFonts w:ascii="Arial" w:hAnsi="Arial"/>
                <w:sz w:val="20"/>
                <w:szCs w:val="20"/>
              </w:rPr>
            </w:pPr>
            <w:r w:rsidRPr="00833796">
              <w:rPr>
                <w:rFonts w:ascii="Arial" w:hAnsi="Arial"/>
                <w:b w:val="0"/>
                <w:sz w:val="20"/>
                <w:szCs w:val="20"/>
              </w:rPr>
              <w:t>Ensure also that that the funding request meets the focus of application requirement</w:t>
            </w:r>
            <w:r w:rsidRPr="00833796">
              <w:rPr>
                <w:rFonts w:ascii="Arial" w:hAnsi="Arial"/>
                <w:b w:val="0"/>
                <w:bCs/>
                <w:i/>
                <w:sz w:val="20"/>
                <w:szCs w:val="20"/>
                <w:vertAlign w:val="superscript"/>
              </w:rPr>
              <w:footnoteReference w:id="9"/>
            </w:r>
            <w:r w:rsidRPr="00833796">
              <w:rPr>
                <w:rFonts w:ascii="Arial" w:hAnsi="Arial"/>
                <w:b w:val="0"/>
                <w:sz w:val="20"/>
                <w:szCs w:val="20"/>
              </w:rPr>
              <w:t xml:space="preserve"> as outlined in the allocation letter</w:t>
            </w:r>
          </w:p>
        </w:tc>
      </w:tr>
    </w:tbl>
    <w:p w14:paraId="6698B470" w14:textId="77777777" w:rsidR="00FD420E" w:rsidRPr="00FD420E" w:rsidRDefault="00FD420E" w:rsidP="00FD420E">
      <w:pPr>
        <w:spacing w:after="120" w:line="240" w:lineRule="auto"/>
        <w:jc w:val="both"/>
        <w:rPr>
          <w:rFonts w:ascii="Arial" w:hAnsi="Arial"/>
          <w:b w:val="0"/>
          <w:color w:val="FF0000"/>
          <w:sz w:val="8"/>
          <w:szCs w:val="8"/>
        </w:rPr>
      </w:pPr>
    </w:p>
    <w:p w14:paraId="7A672797" w14:textId="3E2683BD" w:rsidR="00FD420E" w:rsidRPr="009527D4" w:rsidRDefault="00912980" w:rsidP="00585E4F">
      <w:pPr>
        <w:spacing w:after="120" w:line="240" w:lineRule="auto"/>
        <w:jc w:val="both"/>
        <w:rPr>
          <w:rFonts w:ascii="Arial" w:hAnsi="Arial"/>
          <w:b w:val="0"/>
        </w:rPr>
      </w:pPr>
      <w:r w:rsidRPr="009527D4">
        <w:rPr>
          <w:rFonts w:ascii="Arial" w:hAnsi="Arial"/>
          <w:b w:val="0"/>
        </w:rPr>
        <w:t>In December 2016, K</w:t>
      </w:r>
      <w:r w:rsidR="0005725B" w:rsidRPr="009527D4">
        <w:rPr>
          <w:rFonts w:ascii="Arial" w:hAnsi="Arial"/>
          <w:b w:val="0"/>
        </w:rPr>
        <w:t xml:space="preserve">azakhstan </w:t>
      </w:r>
      <w:proofErr w:type="gramStart"/>
      <w:r w:rsidR="0005725B" w:rsidRPr="009527D4">
        <w:rPr>
          <w:rFonts w:ascii="Arial" w:hAnsi="Arial"/>
          <w:b w:val="0"/>
        </w:rPr>
        <w:t>was invited</w:t>
      </w:r>
      <w:proofErr w:type="gramEnd"/>
      <w:r w:rsidR="0005725B" w:rsidRPr="009527D4">
        <w:rPr>
          <w:rFonts w:ascii="Arial" w:hAnsi="Arial"/>
          <w:b w:val="0"/>
        </w:rPr>
        <w:t xml:space="preserve"> by the Global Fund to submit the TB application for 2017-2019 allocation cycle. Given the fact that the implementation of the current TB grant </w:t>
      </w:r>
      <w:proofErr w:type="gramStart"/>
      <w:r w:rsidR="0005725B" w:rsidRPr="009527D4">
        <w:rPr>
          <w:rFonts w:ascii="Arial" w:hAnsi="Arial"/>
          <w:b w:val="0"/>
        </w:rPr>
        <w:t>was delayed</w:t>
      </w:r>
      <w:proofErr w:type="gramEnd"/>
      <w:r w:rsidR="0005725B" w:rsidRPr="009527D4">
        <w:rPr>
          <w:rFonts w:ascii="Arial" w:hAnsi="Arial"/>
          <w:b w:val="0"/>
        </w:rPr>
        <w:t xml:space="preserve"> (start date 01 January 2017), the Country Team and the CCM agreed later that the country would submit the </w:t>
      </w:r>
      <w:r w:rsidR="00FD420E" w:rsidRPr="009527D4">
        <w:rPr>
          <w:rFonts w:ascii="Arial" w:hAnsi="Arial"/>
          <w:b w:val="0"/>
        </w:rPr>
        <w:t>proposal</w:t>
      </w:r>
      <w:r w:rsidR="0005725B" w:rsidRPr="009527D4">
        <w:rPr>
          <w:rFonts w:ascii="Arial" w:hAnsi="Arial"/>
          <w:b w:val="0"/>
        </w:rPr>
        <w:t xml:space="preserve"> in Q1-2019, using </w:t>
      </w:r>
      <w:r w:rsidR="00FD420E" w:rsidRPr="009527D4">
        <w:rPr>
          <w:rFonts w:ascii="Arial" w:hAnsi="Arial"/>
          <w:b w:val="0"/>
        </w:rPr>
        <w:t>‘Tailored to Material Change’ channel.</w:t>
      </w:r>
    </w:p>
    <w:p w14:paraId="540A3C57" w14:textId="493F046C" w:rsidR="00874806" w:rsidRPr="007645C2" w:rsidRDefault="008E4D9E" w:rsidP="00585E4F">
      <w:pPr>
        <w:spacing w:after="120" w:line="240" w:lineRule="auto"/>
        <w:jc w:val="both"/>
        <w:rPr>
          <w:rFonts w:ascii="Arial" w:hAnsi="Arial"/>
          <w:b w:val="0"/>
        </w:rPr>
      </w:pPr>
      <w:r w:rsidRPr="007645C2">
        <w:rPr>
          <w:rFonts w:ascii="Arial" w:hAnsi="Arial"/>
          <w:b w:val="0"/>
        </w:rPr>
        <w:lastRenderedPageBreak/>
        <w:t>Th</w:t>
      </w:r>
      <w:r w:rsidR="00FD420E" w:rsidRPr="007645C2">
        <w:rPr>
          <w:rFonts w:ascii="Arial" w:hAnsi="Arial"/>
          <w:b w:val="0"/>
        </w:rPr>
        <w:t xml:space="preserve">e proposal </w:t>
      </w:r>
      <w:proofErr w:type="gramStart"/>
      <w:r w:rsidR="00FD420E" w:rsidRPr="007645C2">
        <w:rPr>
          <w:rFonts w:ascii="Arial" w:hAnsi="Arial"/>
          <w:b w:val="0"/>
        </w:rPr>
        <w:t>was developed</w:t>
      </w:r>
      <w:proofErr w:type="gramEnd"/>
      <w:r w:rsidR="00FD420E" w:rsidRPr="007645C2">
        <w:rPr>
          <w:rFonts w:ascii="Arial" w:hAnsi="Arial"/>
          <w:b w:val="0"/>
        </w:rPr>
        <w:t xml:space="preserve"> using a transparent and inclusive process with participation of national stakeholders and international partners active in TB field. It reflects the priorities laid down </w:t>
      </w:r>
      <w:proofErr w:type="gramStart"/>
      <w:r w:rsidR="00FD420E" w:rsidRPr="007645C2">
        <w:rPr>
          <w:rFonts w:ascii="Arial" w:hAnsi="Arial"/>
          <w:b w:val="0"/>
        </w:rPr>
        <w:t>in the key national strategies, including the National TB Strategic Plan 2014-2020, as well as in the international TB policies and guidance (in particular, new WHO DR-TB guidelines)</w:t>
      </w:r>
      <w:proofErr w:type="gramEnd"/>
      <w:r w:rsidR="00FD420E" w:rsidRPr="007645C2">
        <w:rPr>
          <w:rFonts w:ascii="Arial" w:hAnsi="Arial"/>
          <w:b w:val="0"/>
        </w:rPr>
        <w:t xml:space="preserve">. The application takes proper account of </w:t>
      </w:r>
      <w:r w:rsidRPr="007645C2">
        <w:rPr>
          <w:rFonts w:ascii="Arial" w:hAnsi="Arial"/>
          <w:b w:val="0"/>
        </w:rPr>
        <w:t xml:space="preserve">lessons learned </w:t>
      </w:r>
      <w:r w:rsidR="00FD420E" w:rsidRPr="007645C2">
        <w:rPr>
          <w:rFonts w:ascii="Arial" w:hAnsi="Arial"/>
          <w:b w:val="0"/>
        </w:rPr>
        <w:t>during the implementation of the current TGF TB grant</w:t>
      </w:r>
      <w:r w:rsidR="00444197" w:rsidRPr="007645C2">
        <w:rPr>
          <w:rFonts w:ascii="Arial" w:hAnsi="Arial"/>
          <w:b w:val="0"/>
        </w:rPr>
        <w:t xml:space="preserve">, recommendations of the WHO </w:t>
      </w:r>
      <w:r w:rsidR="0013566D" w:rsidRPr="007645C2">
        <w:rPr>
          <w:rFonts w:ascii="Arial" w:hAnsi="Arial"/>
          <w:b w:val="0"/>
        </w:rPr>
        <w:t xml:space="preserve">NTP </w:t>
      </w:r>
      <w:r w:rsidR="00444197" w:rsidRPr="007645C2">
        <w:rPr>
          <w:rFonts w:ascii="Arial" w:hAnsi="Arial"/>
          <w:b w:val="0"/>
        </w:rPr>
        <w:t xml:space="preserve">review mission </w:t>
      </w:r>
      <w:r w:rsidR="0013566D" w:rsidRPr="007645C2">
        <w:rPr>
          <w:rFonts w:ascii="Arial" w:hAnsi="Arial"/>
          <w:b w:val="0"/>
        </w:rPr>
        <w:t xml:space="preserve">to Kazakhstan in </w:t>
      </w:r>
      <w:r w:rsidR="00444197" w:rsidRPr="007645C2">
        <w:rPr>
          <w:rFonts w:ascii="Arial" w:hAnsi="Arial"/>
          <w:b w:val="0"/>
        </w:rPr>
        <w:t>Ju</w:t>
      </w:r>
      <w:r w:rsidR="0013566D" w:rsidRPr="007645C2">
        <w:rPr>
          <w:rFonts w:ascii="Arial" w:hAnsi="Arial"/>
          <w:b w:val="0"/>
        </w:rPr>
        <w:t>ly</w:t>
      </w:r>
      <w:r w:rsidR="00444197" w:rsidRPr="007645C2">
        <w:rPr>
          <w:rFonts w:ascii="Arial" w:hAnsi="Arial"/>
          <w:b w:val="0"/>
        </w:rPr>
        <w:t xml:space="preserve"> 2018, priorities </w:t>
      </w:r>
      <w:r w:rsidR="0013566D" w:rsidRPr="007645C2">
        <w:rPr>
          <w:rFonts w:ascii="Arial" w:hAnsi="Arial"/>
          <w:b w:val="0"/>
        </w:rPr>
        <w:t xml:space="preserve">developed for </w:t>
      </w:r>
      <w:r w:rsidR="00444197" w:rsidRPr="007645C2">
        <w:rPr>
          <w:rFonts w:ascii="Arial" w:hAnsi="Arial"/>
          <w:b w:val="0"/>
        </w:rPr>
        <w:t xml:space="preserve">the Transition Plan 2019-2022, and the </w:t>
      </w:r>
      <w:r w:rsidR="00481E0A" w:rsidRPr="007645C2">
        <w:rPr>
          <w:rFonts w:ascii="Arial" w:hAnsi="Arial"/>
          <w:b w:val="0"/>
        </w:rPr>
        <w:t xml:space="preserve">interventions to </w:t>
      </w:r>
      <w:proofErr w:type="gramStart"/>
      <w:r w:rsidR="00481E0A" w:rsidRPr="007645C2">
        <w:rPr>
          <w:rFonts w:ascii="Arial" w:hAnsi="Arial"/>
          <w:b w:val="0"/>
        </w:rPr>
        <w:t>be supported</w:t>
      </w:r>
      <w:proofErr w:type="gramEnd"/>
      <w:r w:rsidR="00481E0A" w:rsidRPr="007645C2">
        <w:rPr>
          <w:rFonts w:ascii="Arial" w:hAnsi="Arial"/>
          <w:b w:val="0"/>
        </w:rPr>
        <w:t xml:space="preserve"> by TGF </w:t>
      </w:r>
      <w:r w:rsidR="00444197" w:rsidRPr="007645C2">
        <w:rPr>
          <w:rFonts w:ascii="Arial" w:hAnsi="Arial"/>
          <w:b w:val="0"/>
        </w:rPr>
        <w:t xml:space="preserve">Regional </w:t>
      </w:r>
      <w:r w:rsidR="00481E0A" w:rsidRPr="007645C2">
        <w:rPr>
          <w:rFonts w:ascii="Arial" w:hAnsi="Arial"/>
          <w:b w:val="0"/>
        </w:rPr>
        <w:t>project ‘</w:t>
      </w:r>
      <w:r w:rsidR="00444197" w:rsidRPr="007645C2">
        <w:rPr>
          <w:rFonts w:ascii="Arial" w:hAnsi="Arial"/>
          <w:b w:val="0"/>
        </w:rPr>
        <w:t>TB-REP 2.0</w:t>
      </w:r>
      <w:r w:rsidR="00481E0A" w:rsidRPr="007645C2">
        <w:rPr>
          <w:rFonts w:ascii="Arial" w:hAnsi="Arial"/>
          <w:b w:val="0"/>
        </w:rPr>
        <w:t>’</w:t>
      </w:r>
      <w:r w:rsidR="00647105" w:rsidRPr="007645C2">
        <w:rPr>
          <w:rFonts w:ascii="Arial" w:hAnsi="Arial"/>
          <w:b w:val="0"/>
        </w:rPr>
        <w:t xml:space="preserve">. A comprehensive priority setting exercise </w:t>
      </w:r>
      <w:proofErr w:type="gramStart"/>
      <w:r w:rsidR="00647105" w:rsidRPr="007645C2">
        <w:rPr>
          <w:rFonts w:ascii="Arial" w:hAnsi="Arial"/>
          <w:b w:val="0"/>
        </w:rPr>
        <w:t>was conducted</w:t>
      </w:r>
      <w:proofErr w:type="gramEnd"/>
      <w:r w:rsidR="00647105" w:rsidRPr="007645C2">
        <w:rPr>
          <w:rFonts w:ascii="Arial" w:hAnsi="Arial"/>
          <w:b w:val="0"/>
        </w:rPr>
        <w:t xml:space="preserve"> for designing the interventions, </w:t>
      </w:r>
      <w:r w:rsidR="009527D4" w:rsidRPr="007645C2">
        <w:rPr>
          <w:rFonts w:ascii="Arial" w:hAnsi="Arial"/>
          <w:b w:val="0"/>
        </w:rPr>
        <w:t>considering</w:t>
      </w:r>
      <w:r w:rsidR="00647105" w:rsidRPr="007645C2">
        <w:rPr>
          <w:rFonts w:ascii="Arial" w:hAnsi="Arial"/>
          <w:b w:val="0"/>
        </w:rPr>
        <w:t xml:space="preserve"> the allocated amount and co-financing by the Government and partners.</w:t>
      </w:r>
    </w:p>
    <w:p w14:paraId="6EFF187C" w14:textId="2FA5EEE0" w:rsidR="009C04F3" w:rsidRPr="007645C2" w:rsidRDefault="005A6A4A" w:rsidP="00585E4F">
      <w:pPr>
        <w:spacing w:after="120" w:line="240" w:lineRule="auto"/>
        <w:jc w:val="both"/>
        <w:rPr>
          <w:rFonts w:ascii="Arial" w:hAnsi="Arial"/>
          <w:b w:val="0"/>
        </w:rPr>
      </w:pPr>
      <w:r w:rsidRPr="007645C2">
        <w:rPr>
          <w:rFonts w:ascii="Arial" w:eastAsia="MS Mincho" w:hAnsi="Arial"/>
          <w:b w:val="0"/>
        </w:rPr>
        <w:t xml:space="preserve">The main changes to </w:t>
      </w:r>
      <w:r w:rsidR="00874806" w:rsidRPr="007645C2">
        <w:rPr>
          <w:rFonts w:ascii="Arial" w:eastAsia="MS Mincho" w:hAnsi="Arial"/>
          <w:b w:val="0"/>
        </w:rPr>
        <w:t xml:space="preserve">TGF </w:t>
      </w:r>
      <w:r w:rsidRPr="007645C2">
        <w:rPr>
          <w:rFonts w:ascii="Arial" w:eastAsia="MS Mincho" w:hAnsi="Arial"/>
          <w:b w:val="0"/>
        </w:rPr>
        <w:t xml:space="preserve">program setup, which justify the application through ‘Tailored to Material Change’ channel, in addition to those presented in Section 1.2 above, </w:t>
      </w:r>
      <w:proofErr w:type="gramStart"/>
      <w:r w:rsidRPr="007645C2">
        <w:rPr>
          <w:rFonts w:ascii="Arial" w:eastAsia="MS Mincho" w:hAnsi="Arial"/>
          <w:b w:val="0"/>
        </w:rPr>
        <w:t>are summarized</w:t>
      </w:r>
      <w:proofErr w:type="gramEnd"/>
      <w:r w:rsidRPr="007645C2">
        <w:rPr>
          <w:rFonts w:ascii="Arial" w:eastAsia="MS Mincho" w:hAnsi="Arial"/>
          <w:b w:val="0"/>
        </w:rPr>
        <w:t xml:space="preserve"> below:</w:t>
      </w:r>
    </w:p>
    <w:p w14:paraId="0A5EB970" w14:textId="77777777" w:rsidR="007D0F2F" w:rsidRPr="007645C2" w:rsidRDefault="005A6A4A" w:rsidP="007D0F2F">
      <w:pPr>
        <w:pStyle w:val="ListParagraph"/>
        <w:numPr>
          <w:ilvl w:val="0"/>
          <w:numId w:val="19"/>
        </w:numPr>
        <w:spacing w:before="120" w:after="120" w:line="240" w:lineRule="auto"/>
        <w:jc w:val="both"/>
        <w:rPr>
          <w:rFonts w:ascii="Arial" w:eastAsia="MS Mincho" w:hAnsi="Arial"/>
          <w:b w:val="0"/>
        </w:rPr>
      </w:pPr>
      <w:r w:rsidRPr="007645C2">
        <w:rPr>
          <w:rFonts w:ascii="Arial" w:eastAsia="MS Mincho" w:hAnsi="Arial"/>
          <w:b w:val="0"/>
        </w:rPr>
        <w:t>The amount of funding for Kazakhstan in 2017-2019</w:t>
      </w:r>
      <w:r w:rsidR="00693687" w:rsidRPr="007645C2">
        <w:rPr>
          <w:rFonts w:ascii="Arial" w:eastAsia="MS Mincho" w:hAnsi="Arial"/>
          <w:b w:val="0"/>
        </w:rPr>
        <w:t>, compared to previous allocation,</w:t>
      </w:r>
      <w:r w:rsidRPr="007645C2">
        <w:rPr>
          <w:rFonts w:ascii="Arial" w:eastAsia="MS Mincho" w:hAnsi="Arial"/>
          <w:b w:val="0"/>
        </w:rPr>
        <w:t xml:space="preserve"> </w:t>
      </w:r>
      <w:proofErr w:type="gramStart"/>
      <w:r w:rsidRPr="007645C2">
        <w:rPr>
          <w:rFonts w:ascii="Arial" w:eastAsia="MS Mincho" w:hAnsi="Arial"/>
          <w:b w:val="0"/>
        </w:rPr>
        <w:t>was reduced</w:t>
      </w:r>
      <w:proofErr w:type="gramEnd"/>
      <w:r w:rsidRPr="007645C2">
        <w:rPr>
          <w:rFonts w:ascii="Arial" w:eastAsia="MS Mincho" w:hAnsi="Arial"/>
          <w:b w:val="0"/>
        </w:rPr>
        <w:t xml:space="preserve"> </w:t>
      </w:r>
      <w:r w:rsidR="00693687" w:rsidRPr="007645C2">
        <w:rPr>
          <w:rFonts w:ascii="Arial" w:eastAsia="MS Mincho" w:hAnsi="Arial"/>
          <w:b w:val="0"/>
        </w:rPr>
        <w:t xml:space="preserve">drastically </w:t>
      </w:r>
      <w:r w:rsidRPr="007645C2">
        <w:rPr>
          <w:rFonts w:ascii="Arial" w:eastAsia="MS Mincho" w:hAnsi="Arial"/>
          <w:b w:val="0"/>
        </w:rPr>
        <w:t>by TGF</w:t>
      </w:r>
      <w:r w:rsidR="00693687" w:rsidRPr="007645C2">
        <w:rPr>
          <w:rFonts w:ascii="Arial" w:eastAsia="MS Mincho" w:hAnsi="Arial"/>
          <w:b w:val="0"/>
        </w:rPr>
        <w:t xml:space="preserve"> (for TB, by 77%), leading to reduction of scope and strict prioritization. Thus, only high priority interventions are included in this application, such as where the state is not able to take over or requires phased transition during the coming years</w:t>
      </w:r>
      <w:r w:rsidR="00384D20" w:rsidRPr="007645C2">
        <w:rPr>
          <w:rFonts w:ascii="Arial" w:eastAsia="MS Mincho" w:hAnsi="Arial"/>
          <w:b w:val="0"/>
        </w:rPr>
        <w:t>.</w:t>
      </w:r>
    </w:p>
    <w:p w14:paraId="5D828977" w14:textId="770D73BF" w:rsidR="00384D20" w:rsidRPr="007645C2" w:rsidRDefault="009C04F3" w:rsidP="007D0F2F">
      <w:pPr>
        <w:pStyle w:val="ListParagraph"/>
        <w:numPr>
          <w:ilvl w:val="0"/>
          <w:numId w:val="19"/>
        </w:numPr>
        <w:spacing w:before="120" w:after="120" w:line="240" w:lineRule="auto"/>
        <w:jc w:val="both"/>
        <w:rPr>
          <w:rFonts w:ascii="Arial" w:eastAsia="MS Mincho" w:hAnsi="Arial"/>
          <w:b w:val="0"/>
        </w:rPr>
      </w:pPr>
      <w:r w:rsidRPr="007645C2">
        <w:rPr>
          <w:rFonts w:ascii="Arial" w:eastAsia="MS Mincho" w:hAnsi="Arial"/>
          <w:b w:val="0"/>
        </w:rPr>
        <w:t>T</w:t>
      </w:r>
      <w:r w:rsidR="00693687" w:rsidRPr="007645C2">
        <w:rPr>
          <w:rFonts w:ascii="Arial" w:eastAsia="MS Mincho" w:hAnsi="Arial"/>
          <w:b w:val="0"/>
        </w:rPr>
        <w:t xml:space="preserve">he scope of procurement through TGF was substantially reduced given the increasing Government’s </w:t>
      </w:r>
      <w:r w:rsidR="00384D20" w:rsidRPr="007645C2">
        <w:rPr>
          <w:rFonts w:ascii="Arial" w:eastAsia="MS Mincho" w:hAnsi="Arial"/>
          <w:b w:val="0"/>
        </w:rPr>
        <w:t xml:space="preserve">co-financing and takeover, including procurement of TB drugs and diagnostics from the international sources (GDF) starting 2018. Procurement </w:t>
      </w:r>
      <w:r w:rsidR="00E41F36" w:rsidRPr="007645C2">
        <w:rPr>
          <w:rFonts w:ascii="Arial" w:eastAsia="MS Mincho" w:hAnsi="Arial"/>
          <w:b w:val="0"/>
        </w:rPr>
        <w:t xml:space="preserve">through </w:t>
      </w:r>
      <w:r w:rsidR="00481E0A" w:rsidRPr="007645C2">
        <w:rPr>
          <w:rFonts w:ascii="Arial" w:eastAsia="MS Mincho" w:hAnsi="Arial"/>
          <w:b w:val="0"/>
        </w:rPr>
        <w:t xml:space="preserve">TGF’s new </w:t>
      </w:r>
      <w:r w:rsidR="00E41F36" w:rsidRPr="007645C2">
        <w:rPr>
          <w:rFonts w:ascii="Arial" w:eastAsia="MS Mincho" w:hAnsi="Arial"/>
          <w:b w:val="0"/>
        </w:rPr>
        <w:t xml:space="preserve">grant </w:t>
      </w:r>
      <w:r w:rsidR="00481E0A" w:rsidRPr="007645C2">
        <w:rPr>
          <w:rFonts w:ascii="Arial" w:eastAsia="MS Mincho" w:hAnsi="Arial"/>
          <w:b w:val="0"/>
        </w:rPr>
        <w:t>will be</w:t>
      </w:r>
      <w:r w:rsidR="00384D20" w:rsidRPr="007645C2">
        <w:rPr>
          <w:rFonts w:ascii="Arial" w:eastAsia="MS Mincho" w:hAnsi="Arial"/>
          <w:b w:val="0"/>
        </w:rPr>
        <w:t xml:space="preserve"> limited to rapid diagnostics and drugs for M/XDR treatment in prisons only, and only during the first 1-2 years of the new grant, </w:t>
      </w:r>
      <w:r w:rsidR="00ED1097" w:rsidRPr="007645C2">
        <w:rPr>
          <w:rFonts w:ascii="Arial" w:eastAsia="MS Mincho" w:hAnsi="Arial"/>
          <w:b w:val="0"/>
        </w:rPr>
        <w:t xml:space="preserve">with further takeover by the Government. </w:t>
      </w:r>
      <w:r w:rsidR="00B70E33" w:rsidRPr="007645C2">
        <w:rPr>
          <w:rFonts w:ascii="Arial" w:eastAsia="MS Mincho" w:hAnsi="Arial"/>
          <w:b w:val="0"/>
        </w:rPr>
        <w:t xml:space="preserve">At the same time, the procurement specifications </w:t>
      </w:r>
      <w:proofErr w:type="gramStart"/>
      <w:r w:rsidR="00B70E33" w:rsidRPr="007645C2">
        <w:rPr>
          <w:rFonts w:ascii="Arial" w:eastAsia="MS Mincho" w:hAnsi="Arial"/>
          <w:b w:val="0"/>
        </w:rPr>
        <w:t>were adjusted</w:t>
      </w:r>
      <w:proofErr w:type="gramEnd"/>
      <w:r w:rsidR="00B70E33" w:rsidRPr="007645C2">
        <w:rPr>
          <w:rFonts w:ascii="Arial" w:eastAsia="MS Mincho" w:hAnsi="Arial"/>
          <w:b w:val="0"/>
        </w:rPr>
        <w:t xml:space="preserve"> to the recent changes in WHO guidance for DR-TB diagnosis and treatment.</w:t>
      </w:r>
    </w:p>
    <w:p w14:paraId="4E760FD8" w14:textId="77777777" w:rsidR="00384D20" w:rsidRPr="007645C2" w:rsidRDefault="00384D20" w:rsidP="00585E4F">
      <w:pPr>
        <w:pStyle w:val="ListParagraph"/>
        <w:numPr>
          <w:ilvl w:val="0"/>
          <w:numId w:val="10"/>
        </w:numPr>
        <w:spacing w:before="120" w:after="120" w:line="240" w:lineRule="auto"/>
        <w:jc w:val="both"/>
        <w:rPr>
          <w:rFonts w:ascii="Arial" w:eastAsia="MS Mincho" w:hAnsi="Arial"/>
          <w:b w:val="0"/>
        </w:rPr>
      </w:pPr>
      <w:r w:rsidRPr="007645C2">
        <w:rPr>
          <w:rFonts w:ascii="Arial" w:eastAsia="MS Mincho" w:hAnsi="Arial"/>
          <w:b w:val="0"/>
        </w:rPr>
        <w:t>Similarly, the proposal does not include provision of adherence incentives to the patients given the increasing share of the state (regional budgets).</w:t>
      </w:r>
    </w:p>
    <w:p w14:paraId="40A606F0" w14:textId="77777777" w:rsidR="00384D20" w:rsidRPr="007645C2" w:rsidRDefault="00384D20" w:rsidP="00585E4F">
      <w:pPr>
        <w:pStyle w:val="ListParagraph"/>
        <w:numPr>
          <w:ilvl w:val="0"/>
          <w:numId w:val="10"/>
        </w:numPr>
        <w:spacing w:before="120" w:after="120" w:line="240" w:lineRule="auto"/>
        <w:jc w:val="both"/>
        <w:rPr>
          <w:rFonts w:ascii="Arial" w:eastAsia="MS Mincho" w:hAnsi="Arial"/>
          <w:b w:val="0"/>
        </w:rPr>
      </w:pPr>
      <w:proofErr w:type="gramStart"/>
      <w:r w:rsidRPr="007645C2">
        <w:rPr>
          <w:rFonts w:ascii="Arial" w:eastAsia="MS Mincho" w:hAnsi="Arial"/>
          <w:b w:val="0"/>
        </w:rPr>
        <w:t xml:space="preserve">TGF support to demonstration projects on </w:t>
      </w:r>
      <w:proofErr w:type="spellStart"/>
      <w:r w:rsidRPr="007645C2">
        <w:rPr>
          <w:rFonts w:ascii="Arial" w:eastAsia="MS Mincho" w:hAnsi="Arial"/>
          <w:b w:val="0"/>
        </w:rPr>
        <w:t>Xpert</w:t>
      </w:r>
      <w:proofErr w:type="spellEnd"/>
      <w:r w:rsidRPr="007645C2">
        <w:rPr>
          <w:rFonts w:ascii="Arial" w:eastAsia="MS Mincho" w:hAnsi="Arial"/>
          <w:b w:val="0"/>
        </w:rPr>
        <w:t xml:space="preserve"> rollout at district level and outpatient DR-TB treatment in three regions is discontinued as these activities are proving to be effective (for example, the proportion of MDR cases on full outpatient treatment has increased in these regions, over one year of implementation, from 20% to 55%), and the Government will uphold these interventions using domestic resources.</w:t>
      </w:r>
      <w:proofErr w:type="gramEnd"/>
    </w:p>
    <w:p w14:paraId="6DD26C1C" w14:textId="280D8A8E" w:rsidR="00A14930" w:rsidRPr="007645C2" w:rsidRDefault="004F3E70" w:rsidP="00585E4F">
      <w:pPr>
        <w:pStyle w:val="ListParagraph"/>
        <w:numPr>
          <w:ilvl w:val="0"/>
          <w:numId w:val="10"/>
        </w:numPr>
        <w:spacing w:before="120" w:after="120" w:line="240" w:lineRule="auto"/>
        <w:jc w:val="both"/>
        <w:rPr>
          <w:rFonts w:ascii="Arial" w:eastAsia="MS Mincho" w:hAnsi="Arial"/>
          <w:b w:val="0"/>
        </w:rPr>
      </w:pPr>
      <w:r w:rsidRPr="007645C2">
        <w:rPr>
          <w:rFonts w:ascii="Arial" w:eastAsia="MS Mincho" w:hAnsi="Arial"/>
          <w:b w:val="0"/>
        </w:rPr>
        <w:t xml:space="preserve">Given the good </w:t>
      </w:r>
      <w:r w:rsidR="00A14930" w:rsidRPr="007645C2">
        <w:rPr>
          <w:rFonts w:ascii="Arial" w:eastAsia="MS Mincho" w:hAnsi="Arial"/>
          <w:b w:val="0"/>
        </w:rPr>
        <w:t>acceptance by service providers and high demand from beneficiaries, the coverage of NGO p</w:t>
      </w:r>
      <w:r w:rsidR="00BF5B90" w:rsidRPr="007645C2">
        <w:rPr>
          <w:rFonts w:ascii="Arial" w:eastAsia="MS Mincho" w:hAnsi="Arial"/>
          <w:b w:val="0"/>
        </w:rPr>
        <w:t xml:space="preserve">rojects was extended from </w:t>
      </w:r>
      <w:r w:rsidR="00481E0A" w:rsidRPr="007645C2">
        <w:rPr>
          <w:rFonts w:ascii="Arial" w:eastAsia="MS Mincho" w:hAnsi="Arial"/>
          <w:b w:val="0"/>
        </w:rPr>
        <w:t xml:space="preserve">initial </w:t>
      </w:r>
      <w:proofErr w:type="gramStart"/>
      <w:r w:rsidR="00BF5B90" w:rsidRPr="007645C2">
        <w:rPr>
          <w:rFonts w:ascii="Arial" w:eastAsia="MS Mincho" w:hAnsi="Arial"/>
          <w:b w:val="0"/>
        </w:rPr>
        <w:t>4</w:t>
      </w:r>
      <w:proofErr w:type="gramEnd"/>
      <w:r w:rsidR="00BF5B90" w:rsidRPr="007645C2">
        <w:rPr>
          <w:rFonts w:ascii="Arial" w:eastAsia="MS Mincho" w:hAnsi="Arial"/>
          <w:b w:val="0"/>
        </w:rPr>
        <w:t xml:space="preserve"> </w:t>
      </w:r>
      <w:r w:rsidR="00481E0A" w:rsidRPr="007645C2">
        <w:rPr>
          <w:rFonts w:ascii="Arial" w:eastAsia="MS Mincho" w:hAnsi="Arial"/>
          <w:b w:val="0"/>
        </w:rPr>
        <w:t xml:space="preserve">regions </w:t>
      </w:r>
      <w:r w:rsidR="00BF5B90" w:rsidRPr="007645C2">
        <w:rPr>
          <w:rFonts w:ascii="Arial" w:eastAsia="MS Mincho" w:hAnsi="Arial"/>
          <w:b w:val="0"/>
        </w:rPr>
        <w:t>to 9</w:t>
      </w:r>
      <w:r w:rsidR="00A14930" w:rsidRPr="007645C2">
        <w:rPr>
          <w:rFonts w:ascii="Arial" w:eastAsia="MS Mincho" w:hAnsi="Arial"/>
          <w:b w:val="0"/>
        </w:rPr>
        <w:t xml:space="preserve"> regions</w:t>
      </w:r>
      <w:r w:rsidR="00481E0A" w:rsidRPr="007645C2">
        <w:rPr>
          <w:rFonts w:ascii="Arial" w:eastAsia="MS Mincho" w:hAnsi="Arial"/>
          <w:b w:val="0"/>
        </w:rPr>
        <w:t xml:space="preserve"> in 2018 </w:t>
      </w:r>
      <w:r w:rsidR="00BF5B90" w:rsidRPr="007645C2">
        <w:rPr>
          <w:rFonts w:ascii="Arial" w:eastAsia="MS Mincho" w:hAnsi="Arial"/>
          <w:b w:val="0"/>
        </w:rPr>
        <w:t>and will be extended to 12 regions in 2019</w:t>
      </w:r>
      <w:r w:rsidR="00A14930" w:rsidRPr="007645C2">
        <w:rPr>
          <w:rFonts w:ascii="Arial" w:eastAsia="MS Mincho" w:hAnsi="Arial"/>
          <w:b w:val="0"/>
        </w:rPr>
        <w:t xml:space="preserve">. In addition, the setup of grants </w:t>
      </w:r>
      <w:proofErr w:type="gramStart"/>
      <w:r w:rsidR="00A14930" w:rsidRPr="007645C2">
        <w:rPr>
          <w:rFonts w:ascii="Arial" w:eastAsia="MS Mincho" w:hAnsi="Arial"/>
          <w:b w:val="0"/>
        </w:rPr>
        <w:t>was changed</w:t>
      </w:r>
      <w:proofErr w:type="gramEnd"/>
      <w:r w:rsidR="00A14930" w:rsidRPr="007645C2">
        <w:rPr>
          <w:rFonts w:ascii="Arial" w:eastAsia="MS Mincho" w:hAnsi="Arial"/>
          <w:b w:val="0"/>
        </w:rPr>
        <w:t xml:space="preserve"> to accommodate for a comprehensive approach covering the needs of vulnerable and at-risk populations</w:t>
      </w:r>
      <w:r w:rsidR="00BF5B90" w:rsidRPr="007645C2">
        <w:rPr>
          <w:rFonts w:ascii="Arial" w:eastAsia="MS Mincho" w:hAnsi="Arial"/>
          <w:b w:val="0"/>
        </w:rPr>
        <w:t xml:space="preserve"> (</w:t>
      </w:r>
      <w:r w:rsidR="00481E0A" w:rsidRPr="007645C2">
        <w:rPr>
          <w:rFonts w:ascii="Arial" w:eastAsia="MS Mincho" w:hAnsi="Arial"/>
          <w:b w:val="0"/>
        </w:rPr>
        <w:t>PLHIV</w:t>
      </w:r>
      <w:r w:rsidR="00BF5B90" w:rsidRPr="007645C2">
        <w:rPr>
          <w:rFonts w:ascii="Arial" w:eastAsia="MS Mincho" w:hAnsi="Arial"/>
          <w:b w:val="0"/>
        </w:rPr>
        <w:t xml:space="preserve">, </w:t>
      </w:r>
      <w:r w:rsidR="00481E0A" w:rsidRPr="007645C2">
        <w:rPr>
          <w:rFonts w:ascii="Arial" w:eastAsia="MS Mincho" w:hAnsi="Arial"/>
          <w:b w:val="0"/>
        </w:rPr>
        <w:t xml:space="preserve">PWID, </w:t>
      </w:r>
      <w:r w:rsidR="00BF5B90" w:rsidRPr="007645C2">
        <w:rPr>
          <w:rFonts w:ascii="Arial" w:eastAsia="MS Mincho" w:hAnsi="Arial"/>
          <w:b w:val="0"/>
        </w:rPr>
        <w:t>homeless people, prisoners and ex-prisoners</w:t>
      </w:r>
      <w:r w:rsidR="00481E0A" w:rsidRPr="007645C2">
        <w:rPr>
          <w:rFonts w:ascii="Arial" w:eastAsia="MS Mincho" w:hAnsi="Arial"/>
          <w:b w:val="0"/>
        </w:rPr>
        <w:t>)</w:t>
      </w:r>
      <w:r w:rsidR="00A14930" w:rsidRPr="007645C2">
        <w:rPr>
          <w:rFonts w:ascii="Arial" w:eastAsia="MS Mincho" w:hAnsi="Arial"/>
          <w:b w:val="0"/>
        </w:rPr>
        <w:t xml:space="preserve"> in each area. It </w:t>
      </w:r>
      <w:proofErr w:type="gramStart"/>
      <w:r w:rsidR="00A14930" w:rsidRPr="007645C2">
        <w:rPr>
          <w:rFonts w:ascii="Arial" w:eastAsia="MS Mincho" w:hAnsi="Arial"/>
          <w:b w:val="0"/>
        </w:rPr>
        <w:t>is nevertheless planned</w:t>
      </w:r>
      <w:proofErr w:type="gramEnd"/>
      <w:r w:rsidR="00A14930" w:rsidRPr="007645C2">
        <w:rPr>
          <w:rFonts w:ascii="Arial" w:eastAsia="MS Mincho" w:hAnsi="Arial"/>
          <w:b w:val="0"/>
        </w:rPr>
        <w:t xml:space="preserve"> that the local governments will increase their</w:t>
      </w:r>
      <w:r w:rsidR="00E04D3C" w:rsidRPr="007645C2">
        <w:rPr>
          <w:rFonts w:ascii="Arial" w:eastAsia="MS Mincho" w:hAnsi="Arial"/>
          <w:b w:val="0"/>
        </w:rPr>
        <w:t xml:space="preserve"> share in co-financing and take </w:t>
      </w:r>
      <w:r w:rsidR="00A14930" w:rsidRPr="007645C2">
        <w:rPr>
          <w:rFonts w:ascii="Arial" w:eastAsia="MS Mincho" w:hAnsi="Arial"/>
          <w:b w:val="0"/>
        </w:rPr>
        <w:t xml:space="preserve">over </w:t>
      </w:r>
      <w:r w:rsidR="00E04D3C" w:rsidRPr="007645C2">
        <w:rPr>
          <w:rFonts w:ascii="Arial" w:eastAsia="MS Mincho" w:hAnsi="Arial"/>
          <w:b w:val="0"/>
        </w:rPr>
        <w:t>50</w:t>
      </w:r>
      <w:r w:rsidR="00A14930" w:rsidRPr="007645C2">
        <w:rPr>
          <w:rFonts w:ascii="Arial" w:eastAsia="MS Mincho" w:hAnsi="Arial"/>
          <w:b w:val="0"/>
        </w:rPr>
        <w:t>% of costs by the end of the project in 202</w:t>
      </w:r>
      <w:r w:rsidR="00E04D3C" w:rsidRPr="007645C2">
        <w:rPr>
          <w:rFonts w:ascii="Arial" w:eastAsia="MS Mincho" w:hAnsi="Arial"/>
          <w:b w:val="0"/>
        </w:rPr>
        <w:t>2</w:t>
      </w:r>
      <w:r w:rsidR="00A14930" w:rsidRPr="007645C2">
        <w:rPr>
          <w:rFonts w:ascii="Arial" w:eastAsia="MS Mincho" w:hAnsi="Arial"/>
          <w:b w:val="0"/>
        </w:rPr>
        <w:t>.</w:t>
      </w:r>
    </w:p>
    <w:p w14:paraId="0B71E5BA" w14:textId="6CCDCEAE" w:rsidR="00A14930" w:rsidRPr="007645C2" w:rsidRDefault="00A14930" w:rsidP="00585E4F">
      <w:pPr>
        <w:pStyle w:val="ListParagraph"/>
        <w:numPr>
          <w:ilvl w:val="0"/>
          <w:numId w:val="10"/>
        </w:numPr>
        <w:spacing w:before="120" w:after="120" w:line="240" w:lineRule="auto"/>
        <w:jc w:val="both"/>
        <w:rPr>
          <w:rFonts w:ascii="Arial" w:eastAsia="MS Mincho" w:hAnsi="Arial"/>
          <w:b w:val="0"/>
          <w:color w:val="00B050"/>
        </w:rPr>
      </w:pPr>
      <w:r w:rsidRPr="007645C2">
        <w:rPr>
          <w:rFonts w:ascii="Arial" w:eastAsia="MS Mincho" w:hAnsi="Arial"/>
          <w:b w:val="0"/>
        </w:rPr>
        <w:t>The component on TB and DR-TB among migrants</w:t>
      </w:r>
      <w:r w:rsidR="004F3D67" w:rsidRPr="007645C2">
        <w:rPr>
          <w:rFonts w:ascii="Arial" w:eastAsia="MS Mincho" w:hAnsi="Arial"/>
          <w:b w:val="0"/>
        </w:rPr>
        <w:t>, as a separate objective,</w:t>
      </w:r>
      <w:r w:rsidRPr="007645C2">
        <w:rPr>
          <w:rFonts w:ascii="Arial" w:eastAsia="MS Mincho" w:hAnsi="Arial"/>
          <w:b w:val="0"/>
        </w:rPr>
        <w:t xml:space="preserve"> will be discontinued </w:t>
      </w:r>
      <w:proofErr w:type="gramStart"/>
      <w:r w:rsidRPr="007645C2">
        <w:rPr>
          <w:rFonts w:ascii="Arial" w:eastAsia="MS Mincho" w:hAnsi="Arial"/>
          <w:b w:val="0"/>
        </w:rPr>
        <w:t>due to the fact that</w:t>
      </w:r>
      <w:proofErr w:type="gramEnd"/>
      <w:r w:rsidRPr="007645C2">
        <w:rPr>
          <w:rFonts w:ascii="Arial" w:eastAsia="MS Mincho" w:hAnsi="Arial"/>
          <w:b w:val="0"/>
        </w:rPr>
        <w:t xml:space="preserve"> it largely achieved the expected results. </w:t>
      </w:r>
      <w:r w:rsidR="0012010E" w:rsidRPr="007645C2">
        <w:rPr>
          <w:rFonts w:ascii="Arial" w:eastAsia="MS Mincho" w:hAnsi="Arial"/>
          <w:b w:val="0"/>
        </w:rPr>
        <w:t xml:space="preserve">At the same time, </w:t>
      </w:r>
      <w:r w:rsidR="00481E0A" w:rsidRPr="007645C2">
        <w:rPr>
          <w:rFonts w:ascii="Arial" w:eastAsia="MS Mincho" w:hAnsi="Arial"/>
          <w:b w:val="0"/>
        </w:rPr>
        <w:t xml:space="preserve">targeted interventions </w:t>
      </w:r>
      <w:r w:rsidR="0012010E" w:rsidRPr="007645C2">
        <w:rPr>
          <w:rFonts w:ascii="Arial" w:eastAsia="MS Mincho" w:hAnsi="Arial"/>
          <w:b w:val="0"/>
        </w:rPr>
        <w:t xml:space="preserve">for migrants </w:t>
      </w:r>
      <w:proofErr w:type="gramStart"/>
      <w:r w:rsidR="0012010E" w:rsidRPr="007645C2">
        <w:rPr>
          <w:rFonts w:ascii="Arial" w:eastAsia="MS Mincho" w:hAnsi="Arial"/>
          <w:b w:val="0"/>
        </w:rPr>
        <w:t>will be supported</w:t>
      </w:r>
      <w:proofErr w:type="gramEnd"/>
      <w:r w:rsidR="0012010E" w:rsidRPr="007645C2">
        <w:rPr>
          <w:rFonts w:ascii="Arial" w:eastAsia="MS Mincho" w:hAnsi="Arial"/>
          <w:b w:val="0"/>
        </w:rPr>
        <w:t xml:space="preserve"> through the NGO </w:t>
      </w:r>
      <w:r w:rsidR="002D6544" w:rsidRPr="007645C2">
        <w:rPr>
          <w:rFonts w:ascii="Arial" w:eastAsia="MS Mincho" w:hAnsi="Arial"/>
          <w:b w:val="0"/>
        </w:rPr>
        <w:t>grants</w:t>
      </w:r>
      <w:r w:rsidR="00481E0A" w:rsidRPr="007645C2">
        <w:rPr>
          <w:rFonts w:ascii="Arial" w:eastAsia="MS Mincho" w:hAnsi="Arial"/>
          <w:b w:val="0"/>
        </w:rPr>
        <w:t>’</w:t>
      </w:r>
      <w:r w:rsidR="002D6544" w:rsidRPr="007645C2">
        <w:rPr>
          <w:rFonts w:ascii="Arial" w:eastAsia="MS Mincho" w:hAnsi="Arial"/>
          <w:b w:val="0"/>
        </w:rPr>
        <w:t xml:space="preserve"> </w:t>
      </w:r>
      <w:r w:rsidR="0012010E" w:rsidRPr="007645C2">
        <w:rPr>
          <w:rFonts w:ascii="Arial" w:eastAsia="MS Mincho" w:hAnsi="Arial"/>
          <w:b w:val="0"/>
        </w:rPr>
        <w:t>program.</w:t>
      </w:r>
    </w:p>
    <w:p w14:paraId="4F95AA65" w14:textId="5554496F" w:rsidR="00B70E33" w:rsidRPr="007645C2" w:rsidRDefault="00A14930" w:rsidP="00585E4F">
      <w:pPr>
        <w:pStyle w:val="ListParagraph"/>
        <w:numPr>
          <w:ilvl w:val="0"/>
          <w:numId w:val="10"/>
        </w:numPr>
        <w:spacing w:before="120" w:after="120" w:line="240" w:lineRule="auto"/>
        <w:jc w:val="both"/>
        <w:rPr>
          <w:rFonts w:ascii="Arial" w:eastAsia="MS Mincho" w:hAnsi="Arial"/>
          <w:b w:val="0"/>
        </w:rPr>
      </w:pPr>
      <w:r w:rsidRPr="007645C2">
        <w:rPr>
          <w:rFonts w:ascii="Arial" w:eastAsia="MS Mincho" w:hAnsi="Arial"/>
          <w:b w:val="0"/>
        </w:rPr>
        <w:t xml:space="preserve">Due to funding constraints and reduced scope of interventions (e.g. reduced procurement), the grant management and administration </w:t>
      </w:r>
      <w:r w:rsidR="009527D4" w:rsidRPr="007645C2">
        <w:rPr>
          <w:rFonts w:ascii="Arial" w:eastAsia="MS Mincho" w:hAnsi="Arial"/>
          <w:b w:val="0"/>
        </w:rPr>
        <w:t>arrangements</w:t>
      </w:r>
      <w:r w:rsidRPr="007645C2">
        <w:rPr>
          <w:rFonts w:ascii="Arial" w:eastAsia="MS Mincho" w:hAnsi="Arial"/>
          <w:b w:val="0"/>
        </w:rPr>
        <w:t xml:space="preserve"> will be simplified and optimized</w:t>
      </w:r>
      <w:r w:rsidR="00BE6530" w:rsidRPr="007645C2">
        <w:rPr>
          <w:rFonts w:ascii="Arial" w:eastAsia="MS Mincho" w:hAnsi="Arial"/>
          <w:b w:val="0"/>
        </w:rPr>
        <w:t xml:space="preserve">, i.e. </w:t>
      </w:r>
      <w:r w:rsidR="00B70E33" w:rsidRPr="007645C2">
        <w:rPr>
          <w:rFonts w:ascii="Arial" w:eastAsia="MS Mincho" w:hAnsi="Arial"/>
          <w:b w:val="0"/>
        </w:rPr>
        <w:t>no sub-recipients, less staff effort and other efficiency gains are foreseen in the upcoming project.</w:t>
      </w:r>
    </w:p>
    <w:p w14:paraId="672E8781" w14:textId="77777777" w:rsidR="00FA6072" w:rsidRPr="009527D4" w:rsidRDefault="008C1223" w:rsidP="00585E4F">
      <w:pPr>
        <w:spacing w:after="120" w:line="240" w:lineRule="auto"/>
        <w:jc w:val="both"/>
        <w:rPr>
          <w:rFonts w:ascii="Arial" w:hAnsi="Arial"/>
          <w:b w:val="0"/>
        </w:rPr>
      </w:pPr>
      <w:r w:rsidRPr="009527D4">
        <w:rPr>
          <w:rFonts w:ascii="Arial" w:hAnsi="Arial"/>
          <w:b w:val="0"/>
        </w:rPr>
        <w:t xml:space="preserve">The funding request meets the TGF counterpart financing requirements outlined in the allocation letter; please refer to Section 4.1 of this form for details. It </w:t>
      </w:r>
      <w:proofErr w:type="gramStart"/>
      <w:r w:rsidRPr="009527D4">
        <w:rPr>
          <w:rFonts w:ascii="Arial" w:hAnsi="Arial"/>
          <w:b w:val="0"/>
        </w:rPr>
        <w:t>is deemed</w:t>
      </w:r>
      <w:proofErr w:type="gramEnd"/>
      <w:r w:rsidRPr="009527D4">
        <w:rPr>
          <w:rFonts w:ascii="Arial" w:hAnsi="Arial"/>
          <w:b w:val="0"/>
        </w:rPr>
        <w:t xml:space="preserve"> that the proposal is compliant with the requirement of </w:t>
      </w:r>
      <w:r w:rsidR="00FA6072" w:rsidRPr="009527D4">
        <w:rPr>
          <w:rFonts w:ascii="Arial" w:hAnsi="Arial"/>
          <w:b w:val="0"/>
        </w:rPr>
        <w:t xml:space="preserve">a 100% focus on underserved and most-at-risk populations and highest-impact interventions. </w:t>
      </w:r>
    </w:p>
    <w:p w14:paraId="00F01284" w14:textId="4F335F6A" w:rsidR="00FA6072" w:rsidRPr="007645C2" w:rsidRDefault="00FA6072" w:rsidP="00585E4F">
      <w:pPr>
        <w:spacing w:after="120" w:line="240" w:lineRule="auto"/>
        <w:jc w:val="both"/>
        <w:rPr>
          <w:rFonts w:ascii="Arial" w:hAnsi="Arial"/>
          <w:b w:val="0"/>
        </w:rPr>
      </w:pPr>
      <w:r w:rsidRPr="009527D4">
        <w:rPr>
          <w:rFonts w:ascii="Arial" w:hAnsi="Arial"/>
          <w:b w:val="0"/>
        </w:rPr>
        <w:t xml:space="preserve">As classified by WHO, Kazakhstan belongs to the list of high burden </w:t>
      </w:r>
      <w:r w:rsidRPr="007645C2">
        <w:rPr>
          <w:rFonts w:ascii="Arial" w:hAnsi="Arial"/>
          <w:b w:val="0"/>
        </w:rPr>
        <w:t xml:space="preserve">MDR-TB countries in the world. The activities in this application aim at supporting special groups </w:t>
      </w:r>
      <w:r w:rsidR="0097589E" w:rsidRPr="007645C2">
        <w:rPr>
          <w:rFonts w:ascii="Arial" w:hAnsi="Arial"/>
          <w:b w:val="0"/>
        </w:rPr>
        <w:t>(</w:t>
      </w:r>
      <w:r w:rsidR="00481E0A" w:rsidRPr="007645C2">
        <w:rPr>
          <w:rFonts w:ascii="Arial" w:hAnsi="Arial"/>
          <w:b w:val="0"/>
        </w:rPr>
        <w:t xml:space="preserve">PLHIV, PWID, </w:t>
      </w:r>
      <w:r w:rsidR="0097589E" w:rsidRPr="007645C2">
        <w:rPr>
          <w:rFonts w:ascii="Arial" w:hAnsi="Arial"/>
          <w:b w:val="0"/>
        </w:rPr>
        <w:lastRenderedPageBreak/>
        <w:t>homeless people, prisoners and ex-prisoners, migrants</w:t>
      </w:r>
      <w:r w:rsidR="00481E0A" w:rsidRPr="007645C2">
        <w:rPr>
          <w:rFonts w:ascii="Arial" w:hAnsi="Arial"/>
          <w:b w:val="0"/>
        </w:rPr>
        <w:t>)</w:t>
      </w:r>
      <w:r w:rsidR="0097589E" w:rsidRPr="007645C2">
        <w:rPr>
          <w:rFonts w:ascii="Arial" w:hAnsi="Arial"/>
          <w:b w:val="0"/>
          <w:color w:val="00B050"/>
        </w:rPr>
        <w:t xml:space="preserve"> </w:t>
      </w:r>
      <w:r w:rsidRPr="007645C2">
        <w:rPr>
          <w:rFonts w:ascii="Arial" w:hAnsi="Arial"/>
          <w:b w:val="0"/>
        </w:rPr>
        <w:t xml:space="preserve">or specific interventions, i.e. those for DR-TB diagnosis, treatment and support. DR-TB patients, out which the majority are present with M/XDR-TB forms, are especially prone to service barriers and are likely, if not provided with an appropriate support to receive the needed package of care, to incur catastrophic financial expenditures and indirect losses. It is therefore considered that all, or almost all, DR-TB patients fall under TGF categorization of ‘underserved population segments’ likely to be deferred access to modern diagnosis, quality treatment and adherence support, and being, therefore, at high risk of DR-TB amplification and interrupting therapy, with the resulting treatment failure and death. </w:t>
      </w:r>
    </w:p>
    <w:p w14:paraId="6346EEE3" w14:textId="7634A936" w:rsidR="00F72BC4" w:rsidRPr="007645C2" w:rsidRDefault="00FA6072" w:rsidP="00585E4F">
      <w:pPr>
        <w:spacing w:after="120" w:line="240" w:lineRule="auto"/>
        <w:jc w:val="both"/>
        <w:rPr>
          <w:rFonts w:ascii="Arial" w:hAnsi="Arial"/>
          <w:b w:val="0"/>
        </w:rPr>
      </w:pPr>
      <w:r w:rsidRPr="007645C2">
        <w:rPr>
          <w:rFonts w:ascii="Arial" w:hAnsi="Arial"/>
          <w:b w:val="0"/>
        </w:rPr>
        <w:t>At the same time, the proposal includes the high-impact interventions, such as rolling out modern molecular diagnostic technologies (</w:t>
      </w:r>
      <w:proofErr w:type="spellStart"/>
      <w:r w:rsidRPr="007645C2">
        <w:rPr>
          <w:rFonts w:ascii="Arial" w:hAnsi="Arial"/>
          <w:b w:val="0"/>
        </w:rPr>
        <w:t>Xpert</w:t>
      </w:r>
      <w:proofErr w:type="spellEnd"/>
      <w:r w:rsidRPr="007645C2">
        <w:rPr>
          <w:rFonts w:ascii="Arial" w:hAnsi="Arial"/>
          <w:b w:val="0"/>
        </w:rPr>
        <w:t xml:space="preserve"> MTB/RIF) to the lowest service delivery level with the scope of rapid diagnosis of TB and rifampicin resistance, scaling up DST and treatment with new WHO-recommended DR-TB regimens in prisons. Achieving full coverage of country needs, including penitentiary sector, will have an important impact on the service performance, which, in turn, will contribute to the alleviation of the overall burden of TB and DR-TB.</w:t>
      </w:r>
      <w:r w:rsidR="00F72BC4" w:rsidRPr="007645C2">
        <w:rPr>
          <w:rFonts w:ascii="Arial" w:hAnsi="Arial"/>
          <w:b w:val="0"/>
        </w:rPr>
        <w:t xml:space="preserve"> Intervention 2.3 </w:t>
      </w:r>
      <w:r w:rsidRPr="007645C2">
        <w:rPr>
          <w:rFonts w:ascii="Arial" w:hAnsi="Arial"/>
          <w:b w:val="0"/>
        </w:rPr>
        <w:t>includes specific interventions</w:t>
      </w:r>
      <w:r w:rsidR="00F72BC4" w:rsidRPr="007645C2">
        <w:rPr>
          <w:rFonts w:ascii="Arial" w:hAnsi="Arial"/>
          <w:b w:val="0"/>
        </w:rPr>
        <w:t xml:space="preserve"> aiming </w:t>
      </w:r>
      <w:r w:rsidRPr="007645C2">
        <w:rPr>
          <w:rFonts w:ascii="Arial" w:hAnsi="Arial"/>
          <w:b w:val="0"/>
        </w:rPr>
        <w:t xml:space="preserve">at increasing access and improving quality of </w:t>
      </w:r>
      <w:r w:rsidR="00F72BC4" w:rsidRPr="007645C2">
        <w:rPr>
          <w:rFonts w:ascii="Arial" w:hAnsi="Arial"/>
          <w:b w:val="0"/>
        </w:rPr>
        <w:t xml:space="preserve">care </w:t>
      </w:r>
      <w:r w:rsidRPr="007645C2">
        <w:rPr>
          <w:rFonts w:ascii="Arial" w:hAnsi="Arial"/>
          <w:b w:val="0"/>
        </w:rPr>
        <w:t>among the vulnerable and at-risk population groups</w:t>
      </w:r>
      <w:r w:rsidR="00F72BC4" w:rsidRPr="007645C2">
        <w:rPr>
          <w:rFonts w:ascii="Arial" w:hAnsi="Arial"/>
          <w:b w:val="0"/>
        </w:rPr>
        <w:t xml:space="preserve">, which </w:t>
      </w:r>
      <w:proofErr w:type="gramStart"/>
      <w:r w:rsidRPr="007645C2">
        <w:rPr>
          <w:rFonts w:ascii="Arial" w:hAnsi="Arial"/>
          <w:b w:val="0"/>
        </w:rPr>
        <w:t>are considered</w:t>
      </w:r>
      <w:proofErr w:type="gramEnd"/>
      <w:r w:rsidRPr="007645C2">
        <w:rPr>
          <w:rFonts w:ascii="Arial" w:hAnsi="Arial"/>
          <w:b w:val="0"/>
        </w:rPr>
        <w:t xml:space="preserve"> as having limited access to care</w:t>
      </w:r>
      <w:r w:rsidR="00F72BC4" w:rsidRPr="007645C2">
        <w:rPr>
          <w:rFonts w:ascii="Arial" w:hAnsi="Arial"/>
          <w:b w:val="0"/>
        </w:rPr>
        <w:t xml:space="preserve">. TGF support </w:t>
      </w:r>
      <w:proofErr w:type="gramStart"/>
      <w:r w:rsidR="00F72BC4" w:rsidRPr="007645C2">
        <w:rPr>
          <w:rFonts w:ascii="Arial" w:hAnsi="Arial"/>
          <w:b w:val="0"/>
        </w:rPr>
        <w:t>will be used</w:t>
      </w:r>
      <w:proofErr w:type="gramEnd"/>
      <w:r w:rsidR="00F72BC4" w:rsidRPr="007645C2">
        <w:rPr>
          <w:rFonts w:ascii="Arial" w:hAnsi="Arial"/>
          <w:b w:val="0"/>
        </w:rPr>
        <w:t xml:space="preserve"> to scale up the </w:t>
      </w:r>
      <w:r w:rsidRPr="007645C2">
        <w:rPr>
          <w:rFonts w:ascii="Arial" w:hAnsi="Arial"/>
          <w:b w:val="0"/>
        </w:rPr>
        <w:t>uptake of successful practices by the local authorities</w:t>
      </w:r>
      <w:r w:rsidR="00F72BC4" w:rsidRPr="007645C2">
        <w:rPr>
          <w:rFonts w:ascii="Arial" w:hAnsi="Arial"/>
          <w:b w:val="0"/>
        </w:rPr>
        <w:t xml:space="preserve"> </w:t>
      </w:r>
      <w:r w:rsidRPr="007645C2">
        <w:rPr>
          <w:rFonts w:ascii="Arial" w:hAnsi="Arial"/>
          <w:b w:val="0"/>
        </w:rPr>
        <w:t xml:space="preserve">through sustainable involvement of civil society organizations and </w:t>
      </w:r>
      <w:r w:rsidR="00F72BC4" w:rsidRPr="007645C2">
        <w:rPr>
          <w:rFonts w:ascii="Arial" w:hAnsi="Arial"/>
          <w:b w:val="0"/>
        </w:rPr>
        <w:t>broader local coalitions to end TB.</w:t>
      </w:r>
    </w:p>
    <w:p w14:paraId="59ED8DC9" w14:textId="77777777" w:rsidR="00F72BC4" w:rsidRPr="007645C2" w:rsidRDefault="00FA6072" w:rsidP="00585E4F">
      <w:pPr>
        <w:spacing w:after="120" w:line="240" w:lineRule="auto"/>
        <w:jc w:val="both"/>
        <w:rPr>
          <w:rFonts w:ascii="Arial" w:hAnsi="Arial"/>
          <w:b w:val="0"/>
        </w:rPr>
      </w:pPr>
      <w:r w:rsidRPr="007645C2">
        <w:rPr>
          <w:rFonts w:ascii="Arial" w:hAnsi="Arial"/>
          <w:b w:val="0"/>
        </w:rPr>
        <w:t xml:space="preserve">The activities aimed at improvement of regulatory and normative framework, as well as those for capacity building at different levels, </w:t>
      </w:r>
      <w:proofErr w:type="gramStart"/>
      <w:r w:rsidRPr="007645C2">
        <w:rPr>
          <w:rFonts w:ascii="Arial" w:hAnsi="Arial"/>
          <w:b w:val="0"/>
        </w:rPr>
        <w:t>are seen</w:t>
      </w:r>
      <w:proofErr w:type="gramEnd"/>
      <w:r w:rsidRPr="007645C2">
        <w:rPr>
          <w:rFonts w:ascii="Arial" w:hAnsi="Arial"/>
          <w:b w:val="0"/>
        </w:rPr>
        <w:t xml:space="preserve"> as fully legible in the above context. The CCM therefore considers that the TGF requirements regarding the focus on key populations and/or high-impact interventions </w:t>
      </w:r>
      <w:proofErr w:type="gramStart"/>
      <w:r w:rsidRPr="007645C2">
        <w:rPr>
          <w:rFonts w:ascii="Arial" w:hAnsi="Arial"/>
          <w:b w:val="0"/>
        </w:rPr>
        <w:t>have been fully met</w:t>
      </w:r>
      <w:proofErr w:type="gramEnd"/>
      <w:r w:rsidRPr="007645C2">
        <w:rPr>
          <w:rFonts w:ascii="Arial" w:hAnsi="Arial"/>
          <w:b w:val="0"/>
        </w:rPr>
        <w:t xml:space="preserve"> in this application.</w:t>
      </w:r>
    </w:p>
    <w:p w14:paraId="18587261" w14:textId="66EC2C04" w:rsidR="00FA6072" w:rsidRPr="007645C2" w:rsidRDefault="00F72BC4" w:rsidP="00585E4F">
      <w:pPr>
        <w:spacing w:before="120" w:after="120" w:line="240" w:lineRule="auto"/>
        <w:jc w:val="both"/>
        <w:rPr>
          <w:rFonts w:ascii="Arial" w:hAnsi="Arial"/>
          <w:b w:val="0"/>
        </w:rPr>
      </w:pPr>
      <w:r w:rsidRPr="007645C2">
        <w:rPr>
          <w:rFonts w:ascii="Arial" w:hAnsi="Arial"/>
          <w:b w:val="0"/>
        </w:rPr>
        <w:t>The project retains appropriate focus on</w:t>
      </w:r>
      <w:r w:rsidRPr="007645C2">
        <w:rPr>
          <w:rFonts w:ascii="Arial" w:hAnsi="Arial"/>
        </w:rPr>
        <w:t xml:space="preserve"> </w:t>
      </w:r>
      <w:r w:rsidRPr="007645C2">
        <w:rPr>
          <w:rFonts w:ascii="Arial" w:hAnsi="Arial"/>
          <w:b w:val="0"/>
        </w:rPr>
        <w:t>building resilient and sustainable systems for health (see Objective 1 below); the investments in RSSH have appropriate scope and budget share in the grant (1</w:t>
      </w:r>
      <w:r w:rsidR="000B48C0" w:rsidRPr="007645C2">
        <w:rPr>
          <w:rFonts w:ascii="Arial" w:hAnsi="Arial"/>
          <w:b w:val="0"/>
        </w:rPr>
        <w:t>3</w:t>
      </w:r>
      <w:r w:rsidRPr="007645C2">
        <w:rPr>
          <w:rFonts w:ascii="Arial" w:hAnsi="Arial"/>
          <w:b w:val="0"/>
        </w:rPr>
        <w:t>.</w:t>
      </w:r>
      <w:r w:rsidR="000B48C0" w:rsidRPr="007645C2">
        <w:rPr>
          <w:rFonts w:ascii="Arial" w:hAnsi="Arial"/>
          <w:b w:val="0"/>
        </w:rPr>
        <w:t>6</w:t>
      </w:r>
      <w:r w:rsidRPr="007645C2">
        <w:rPr>
          <w:rFonts w:ascii="Arial" w:hAnsi="Arial"/>
          <w:b w:val="0"/>
        </w:rPr>
        <w:t>% of the within-allocation budget).</w:t>
      </w:r>
    </w:p>
    <w:p w14:paraId="0046E5A3" w14:textId="69B37D71" w:rsidR="008E4D9E" w:rsidRPr="007645C2" w:rsidRDefault="00647105" w:rsidP="00585E4F">
      <w:pPr>
        <w:spacing w:after="120" w:line="240" w:lineRule="auto"/>
        <w:jc w:val="both"/>
        <w:rPr>
          <w:rFonts w:ascii="Arial" w:hAnsi="Arial"/>
          <w:b w:val="0"/>
        </w:rPr>
      </w:pPr>
      <w:r w:rsidRPr="007645C2">
        <w:rPr>
          <w:rFonts w:ascii="Arial" w:hAnsi="Arial"/>
          <w:b w:val="0"/>
        </w:rPr>
        <w:t xml:space="preserve">The </w:t>
      </w:r>
      <w:r w:rsidR="008E4D9E" w:rsidRPr="007645C2">
        <w:rPr>
          <w:rFonts w:ascii="Arial" w:hAnsi="Arial"/>
          <w:i/>
        </w:rPr>
        <w:t>Goal</w:t>
      </w:r>
      <w:r w:rsidRPr="007645C2">
        <w:rPr>
          <w:rFonts w:ascii="Arial" w:hAnsi="Arial"/>
          <w:b w:val="0"/>
        </w:rPr>
        <w:t xml:space="preserve"> of the project </w:t>
      </w:r>
      <w:proofErr w:type="gramStart"/>
      <w:r w:rsidRPr="007645C2">
        <w:rPr>
          <w:rFonts w:ascii="Arial" w:hAnsi="Arial"/>
          <w:b w:val="0"/>
        </w:rPr>
        <w:t>is</w:t>
      </w:r>
      <w:r w:rsidR="008E4D9E" w:rsidRPr="007645C2">
        <w:rPr>
          <w:rFonts w:ascii="Arial" w:hAnsi="Arial"/>
          <w:b w:val="0"/>
        </w:rPr>
        <w:t>:</w:t>
      </w:r>
      <w:proofErr w:type="gramEnd"/>
      <w:r w:rsidR="008E4D9E" w:rsidRPr="007645C2">
        <w:rPr>
          <w:rFonts w:ascii="Arial" w:hAnsi="Arial"/>
          <w:b w:val="0"/>
        </w:rPr>
        <w:t xml:space="preserve"> </w:t>
      </w:r>
      <w:r w:rsidR="008E4D9E" w:rsidRPr="007645C2">
        <w:rPr>
          <w:rFonts w:ascii="Arial" w:hAnsi="Arial"/>
        </w:rPr>
        <w:t>Effective responses to drug-resistant tuberculosis in Kazakhstan sustained through people-centered and evidence-based approaches, including those for vulnerable and at-risk populations</w:t>
      </w:r>
      <w:r w:rsidRPr="007645C2">
        <w:rPr>
          <w:rFonts w:ascii="Arial" w:hAnsi="Arial"/>
        </w:rPr>
        <w:t xml:space="preserve">. </w:t>
      </w:r>
      <w:r w:rsidR="008E4D9E" w:rsidRPr="007645C2">
        <w:rPr>
          <w:rFonts w:ascii="Arial" w:hAnsi="Arial"/>
          <w:b w:val="0"/>
        </w:rPr>
        <w:t xml:space="preserve">The proposal is structured around </w:t>
      </w:r>
      <w:proofErr w:type="gramStart"/>
      <w:r w:rsidR="008E4D9E" w:rsidRPr="007645C2">
        <w:rPr>
          <w:rFonts w:ascii="Arial" w:hAnsi="Arial"/>
          <w:b w:val="0"/>
        </w:rPr>
        <w:t>2</w:t>
      </w:r>
      <w:proofErr w:type="gramEnd"/>
      <w:r w:rsidR="008E4D9E" w:rsidRPr="007645C2">
        <w:rPr>
          <w:rFonts w:ascii="Arial" w:hAnsi="Arial"/>
          <w:b w:val="0"/>
        </w:rPr>
        <w:t xml:space="preserve"> </w:t>
      </w:r>
      <w:r w:rsidRPr="007645C2">
        <w:rPr>
          <w:rFonts w:ascii="Arial" w:hAnsi="Arial"/>
          <w:b w:val="0"/>
        </w:rPr>
        <w:t>main Objectives, 4 modules and 7</w:t>
      </w:r>
      <w:r w:rsidR="008E4D9E" w:rsidRPr="007645C2">
        <w:rPr>
          <w:rFonts w:ascii="Arial" w:hAnsi="Arial"/>
          <w:b w:val="0"/>
        </w:rPr>
        <w:t xml:space="preserve"> Interventions</w:t>
      </w:r>
      <w:r w:rsidRPr="007645C2">
        <w:rPr>
          <w:rFonts w:ascii="Arial" w:hAnsi="Arial"/>
          <w:b w:val="0"/>
        </w:rPr>
        <w:t>,</w:t>
      </w:r>
      <w:r w:rsidR="008E4D9E" w:rsidRPr="007645C2">
        <w:rPr>
          <w:rFonts w:ascii="Arial" w:hAnsi="Arial"/>
          <w:b w:val="0"/>
        </w:rPr>
        <w:t xml:space="preserve"> including grant management, as presented below:</w:t>
      </w:r>
    </w:p>
    <w:p w14:paraId="355E8BC7" w14:textId="45AE0301" w:rsidR="00AA07F3" w:rsidRPr="007645C2" w:rsidRDefault="00647105" w:rsidP="00585E4F">
      <w:pPr>
        <w:spacing w:after="120" w:line="240" w:lineRule="auto"/>
        <w:jc w:val="center"/>
        <w:rPr>
          <w:rFonts w:ascii="Arial" w:hAnsi="Arial"/>
          <w:sz w:val="20"/>
          <w:szCs w:val="20"/>
        </w:rPr>
      </w:pPr>
      <w:r w:rsidRPr="007645C2">
        <w:rPr>
          <w:rFonts w:ascii="Arial" w:hAnsi="Arial"/>
          <w:sz w:val="20"/>
          <w:szCs w:val="20"/>
        </w:rPr>
        <w:t>Table</w:t>
      </w:r>
      <w:r w:rsidR="00FC697A" w:rsidRPr="007645C2">
        <w:rPr>
          <w:rFonts w:ascii="Arial" w:hAnsi="Arial"/>
          <w:sz w:val="20"/>
          <w:szCs w:val="20"/>
        </w:rPr>
        <w:t xml:space="preserve"> 2</w:t>
      </w:r>
      <w:r w:rsidRPr="007645C2">
        <w:rPr>
          <w:rFonts w:ascii="Arial" w:hAnsi="Arial"/>
          <w:sz w:val="20"/>
          <w:szCs w:val="20"/>
        </w:rPr>
        <w:t>. The project structure: Objectives, Modules, Interventions</w:t>
      </w:r>
    </w:p>
    <w:tbl>
      <w:tblPr>
        <w:tblStyle w:val="TableGrid"/>
        <w:tblW w:w="0" w:type="auto"/>
        <w:tblLook w:val="04A0" w:firstRow="1" w:lastRow="0" w:firstColumn="1" w:lastColumn="0" w:noHBand="0" w:noVBand="1"/>
      </w:tblPr>
      <w:tblGrid>
        <w:gridCol w:w="3005"/>
        <w:gridCol w:w="2660"/>
        <w:gridCol w:w="3351"/>
      </w:tblGrid>
      <w:tr w:rsidR="008E4D9E" w:rsidRPr="007645C2" w14:paraId="0E6C14CB" w14:textId="77777777" w:rsidTr="00585E4F">
        <w:tc>
          <w:tcPr>
            <w:tcW w:w="3005" w:type="dxa"/>
            <w:shd w:val="clear" w:color="auto" w:fill="auto"/>
          </w:tcPr>
          <w:p w14:paraId="6C7F6F34" w14:textId="548E7B4F" w:rsidR="008E4D9E" w:rsidRPr="007645C2" w:rsidRDefault="008E4D9E" w:rsidP="00585E4F">
            <w:pPr>
              <w:spacing w:before="60" w:after="60" w:line="240" w:lineRule="auto"/>
              <w:jc w:val="center"/>
              <w:rPr>
                <w:rFonts w:ascii="Arial" w:hAnsi="Arial"/>
                <w:b w:val="0"/>
                <w:i/>
              </w:rPr>
            </w:pPr>
            <w:r w:rsidRPr="007645C2">
              <w:rPr>
                <w:rFonts w:ascii="Arial" w:hAnsi="Arial"/>
                <w:b w:val="0"/>
                <w:i/>
              </w:rPr>
              <w:t>Objective</w:t>
            </w:r>
          </w:p>
        </w:tc>
        <w:tc>
          <w:tcPr>
            <w:tcW w:w="2660" w:type="dxa"/>
            <w:shd w:val="clear" w:color="auto" w:fill="auto"/>
          </w:tcPr>
          <w:p w14:paraId="6FDA1EB1" w14:textId="0045E57E" w:rsidR="008E4D9E" w:rsidRPr="007645C2" w:rsidRDefault="008E4D9E" w:rsidP="00585E4F">
            <w:pPr>
              <w:spacing w:before="60" w:after="60" w:line="240" w:lineRule="auto"/>
              <w:jc w:val="center"/>
              <w:rPr>
                <w:rFonts w:ascii="Arial" w:hAnsi="Arial"/>
                <w:b w:val="0"/>
                <w:i/>
              </w:rPr>
            </w:pPr>
            <w:r w:rsidRPr="007645C2">
              <w:rPr>
                <w:rFonts w:ascii="Arial" w:hAnsi="Arial"/>
                <w:b w:val="0"/>
                <w:i/>
              </w:rPr>
              <w:t>Module</w:t>
            </w:r>
          </w:p>
        </w:tc>
        <w:tc>
          <w:tcPr>
            <w:tcW w:w="3351" w:type="dxa"/>
            <w:shd w:val="clear" w:color="auto" w:fill="auto"/>
          </w:tcPr>
          <w:p w14:paraId="1DD84F6F" w14:textId="3E1FC62E" w:rsidR="008E4D9E" w:rsidRPr="007645C2" w:rsidRDefault="008E4D9E" w:rsidP="00585E4F">
            <w:pPr>
              <w:spacing w:before="60" w:after="60" w:line="240" w:lineRule="auto"/>
              <w:jc w:val="center"/>
              <w:rPr>
                <w:rFonts w:ascii="Arial" w:hAnsi="Arial"/>
                <w:b w:val="0"/>
                <w:i/>
              </w:rPr>
            </w:pPr>
            <w:r w:rsidRPr="007645C2">
              <w:rPr>
                <w:rFonts w:ascii="Arial" w:hAnsi="Arial"/>
                <w:b w:val="0"/>
                <w:i/>
              </w:rPr>
              <w:t>Intervention</w:t>
            </w:r>
          </w:p>
        </w:tc>
      </w:tr>
      <w:tr w:rsidR="00AA07F3" w:rsidRPr="007645C2" w14:paraId="1735A274" w14:textId="77777777" w:rsidTr="00585E4F">
        <w:tc>
          <w:tcPr>
            <w:tcW w:w="3005" w:type="dxa"/>
            <w:vMerge w:val="restart"/>
            <w:shd w:val="clear" w:color="auto" w:fill="auto"/>
          </w:tcPr>
          <w:p w14:paraId="1D14F4A7" w14:textId="7F890119" w:rsidR="00AD59E9" w:rsidRPr="007645C2" w:rsidRDefault="00AA07F3" w:rsidP="00AD59E9">
            <w:pPr>
              <w:spacing w:before="60" w:after="60" w:line="240" w:lineRule="auto"/>
              <w:rPr>
                <w:rFonts w:ascii="Arial" w:hAnsi="Arial"/>
                <w:b w:val="0"/>
              </w:rPr>
            </w:pPr>
            <w:r w:rsidRPr="007645C2">
              <w:rPr>
                <w:rFonts w:ascii="Arial" w:hAnsi="Arial"/>
                <w:b w:val="0"/>
              </w:rPr>
              <w:t xml:space="preserve">Objective 1. </w:t>
            </w:r>
            <w:r w:rsidR="00AD59E9" w:rsidRPr="007645C2">
              <w:rPr>
                <w:rFonts w:ascii="Arial" w:hAnsi="Arial"/>
                <w:b w:val="0"/>
              </w:rPr>
              <w:t>To ensure comprehensive and sustainable health system responses to DR-TB challenge</w:t>
            </w:r>
          </w:p>
        </w:tc>
        <w:tc>
          <w:tcPr>
            <w:tcW w:w="2660" w:type="dxa"/>
            <w:shd w:val="clear" w:color="auto" w:fill="auto"/>
          </w:tcPr>
          <w:p w14:paraId="47FA7466" w14:textId="22C5D261" w:rsidR="00AA07F3" w:rsidRPr="007645C2" w:rsidRDefault="00AA07F3" w:rsidP="00585E4F">
            <w:pPr>
              <w:spacing w:before="60" w:after="60" w:line="240" w:lineRule="auto"/>
              <w:rPr>
                <w:rFonts w:ascii="Arial" w:hAnsi="Arial"/>
                <w:b w:val="0"/>
              </w:rPr>
            </w:pPr>
            <w:r w:rsidRPr="007645C2">
              <w:rPr>
                <w:rFonts w:ascii="Arial" w:hAnsi="Arial"/>
                <w:b w:val="0"/>
              </w:rPr>
              <w:t>Module: RSSH: Integrated service delivery and quality improvement</w:t>
            </w:r>
          </w:p>
        </w:tc>
        <w:tc>
          <w:tcPr>
            <w:tcW w:w="3351" w:type="dxa"/>
            <w:shd w:val="clear" w:color="auto" w:fill="auto"/>
          </w:tcPr>
          <w:p w14:paraId="6E503CB3" w14:textId="010D7823" w:rsidR="00AA07F3" w:rsidRPr="007645C2" w:rsidRDefault="00AA07F3" w:rsidP="00585E4F">
            <w:pPr>
              <w:spacing w:before="60" w:after="60" w:line="240" w:lineRule="auto"/>
              <w:rPr>
                <w:rFonts w:ascii="Arial" w:hAnsi="Arial"/>
                <w:b w:val="0"/>
              </w:rPr>
            </w:pPr>
            <w:r w:rsidRPr="007645C2">
              <w:rPr>
                <w:rFonts w:ascii="Arial" w:hAnsi="Arial"/>
                <w:b w:val="0"/>
              </w:rPr>
              <w:t>Intervention 1.1. Supportive policy and programmatic environment</w:t>
            </w:r>
          </w:p>
        </w:tc>
      </w:tr>
      <w:tr w:rsidR="00AA07F3" w:rsidRPr="007645C2" w14:paraId="74888733" w14:textId="77777777" w:rsidTr="00585E4F">
        <w:tc>
          <w:tcPr>
            <w:tcW w:w="3005" w:type="dxa"/>
            <w:vMerge/>
            <w:shd w:val="clear" w:color="auto" w:fill="auto"/>
          </w:tcPr>
          <w:p w14:paraId="50BC2EDA" w14:textId="77777777" w:rsidR="00AA07F3" w:rsidRPr="007645C2" w:rsidRDefault="00AA07F3" w:rsidP="00585E4F">
            <w:pPr>
              <w:spacing w:before="60" w:after="60" w:line="240" w:lineRule="auto"/>
              <w:rPr>
                <w:rFonts w:ascii="Arial" w:hAnsi="Arial"/>
                <w:b w:val="0"/>
              </w:rPr>
            </w:pPr>
          </w:p>
        </w:tc>
        <w:tc>
          <w:tcPr>
            <w:tcW w:w="2660" w:type="dxa"/>
            <w:shd w:val="clear" w:color="auto" w:fill="auto"/>
          </w:tcPr>
          <w:p w14:paraId="5E5E5435" w14:textId="0643BC7E" w:rsidR="00AA07F3" w:rsidRPr="007645C2" w:rsidRDefault="00AA07F3" w:rsidP="00585E4F">
            <w:pPr>
              <w:spacing w:before="60" w:after="60" w:line="240" w:lineRule="auto"/>
              <w:rPr>
                <w:rFonts w:ascii="Arial" w:hAnsi="Arial"/>
                <w:b w:val="0"/>
              </w:rPr>
            </w:pPr>
            <w:r w:rsidRPr="007645C2">
              <w:rPr>
                <w:rFonts w:ascii="Arial" w:hAnsi="Arial"/>
                <w:b w:val="0"/>
              </w:rPr>
              <w:t>Module: RSSH: Health management information systems and M&amp;E</w:t>
            </w:r>
          </w:p>
        </w:tc>
        <w:tc>
          <w:tcPr>
            <w:tcW w:w="3351" w:type="dxa"/>
            <w:shd w:val="clear" w:color="auto" w:fill="auto"/>
          </w:tcPr>
          <w:p w14:paraId="63D16E7C" w14:textId="041DC81A" w:rsidR="00AA07F3" w:rsidRPr="007645C2" w:rsidRDefault="00AA07F3" w:rsidP="00585E4F">
            <w:pPr>
              <w:spacing w:before="60" w:after="60" w:line="240" w:lineRule="auto"/>
              <w:rPr>
                <w:rFonts w:ascii="Arial" w:hAnsi="Arial"/>
                <w:b w:val="0"/>
              </w:rPr>
            </w:pPr>
            <w:r w:rsidRPr="007645C2">
              <w:rPr>
                <w:rFonts w:ascii="Arial" w:hAnsi="Arial"/>
                <w:b w:val="0"/>
              </w:rPr>
              <w:t xml:space="preserve">Intervention 1.2. Program and data quality </w:t>
            </w:r>
            <w:r w:rsidRPr="007645C2">
              <w:rPr>
                <w:rFonts w:ascii="Arial" w:hAnsi="Arial"/>
                <w:b w:val="0"/>
              </w:rPr>
              <w:tab/>
            </w:r>
          </w:p>
        </w:tc>
      </w:tr>
      <w:tr w:rsidR="00AA07F3" w:rsidRPr="007645C2" w14:paraId="34954D2C" w14:textId="77777777" w:rsidTr="00585E4F">
        <w:tc>
          <w:tcPr>
            <w:tcW w:w="3005" w:type="dxa"/>
            <w:vMerge w:val="restart"/>
            <w:shd w:val="clear" w:color="auto" w:fill="auto"/>
          </w:tcPr>
          <w:p w14:paraId="49FC4257" w14:textId="741B2D90" w:rsidR="00AA07F3" w:rsidRPr="007645C2" w:rsidRDefault="00AA07F3" w:rsidP="00AD59E9">
            <w:pPr>
              <w:spacing w:before="60" w:after="60" w:line="240" w:lineRule="auto"/>
              <w:rPr>
                <w:rFonts w:ascii="Arial" w:hAnsi="Arial"/>
                <w:b w:val="0"/>
              </w:rPr>
            </w:pPr>
            <w:r w:rsidRPr="007645C2">
              <w:rPr>
                <w:rFonts w:ascii="Arial" w:hAnsi="Arial"/>
                <w:b w:val="0"/>
              </w:rPr>
              <w:t xml:space="preserve">Objective 2. </w:t>
            </w:r>
            <w:r w:rsidR="00AD59E9" w:rsidRPr="007645C2">
              <w:rPr>
                <w:rFonts w:ascii="Arial" w:hAnsi="Arial"/>
                <w:b w:val="0"/>
              </w:rPr>
              <w:t>To sustain universal access to quality and people-centered DR-TB diagnosis, treatment and prevention</w:t>
            </w:r>
          </w:p>
        </w:tc>
        <w:tc>
          <w:tcPr>
            <w:tcW w:w="2660" w:type="dxa"/>
            <w:vMerge w:val="restart"/>
            <w:shd w:val="clear" w:color="auto" w:fill="auto"/>
          </w:tcPr>
          <w:p w14:paraId="6D89F0C6" w14:textId="45CA9832" w:rsidR="00AA07F3" w:rsidRPr="007645C2" w:rsidRDefault="00AA07F3" w:rsidP="00585E4F">
            <w:pPr>
              <w:spacing w:before="60" w:after="60" w:line="240" w:lineRule="auto"/>
              <w:rPr>
                <w:rFonts w:ascii="Arial" w:hAnsi="Arial"/>
                <w:b w:val="0"/>
              </w:rPr>
            </w:pPr>
            <w:r w:rsidRPr="007645C2">
              <w:rPr>
                <w:rFonts w:ascii="Arial" w:hAnsi="Arial"/>
                <w:b w:val="0"/>
              </w:rPr>
              <w:t>Module: Multidrug-resistant tuberculosis (MDR-TB)</w:t>
            </w:r>
            <w:r w:rsidRPr="007645C2">
              <w:rPr>
                <w:rFonts w:ascii="Arial" w:hAnsi="Arial"/>
                <w:b w:val="0"/>
              </w:rPr>
              <w:tab/>
            </w:r>
          </w:p>
        </w:tc>
        <w:tc>
          <w:tcPr>
            <w:tcW w:w="3351" w:type="dxa"/>
            <w:shd w:val="clear" w:color="auto" w:fill="auto"/>
          </w:tcPr>
          <w:p w14:paraId="5FE6CEB8" w14:textId="047F8A08" w:rsidR="00AA07F3" w:rsidRPr="007645C2" w:rsidRDefault="00AA07F3" w:rsidP="00585E4F">
            <w:pPr>
              <w:spacing w:before="60" w:after="60" w:line="240" w:lineRule="auto"/>
              <w:rPr>
                <w:rFonts w:ascii="Arial" w:hAnsi="Arial"/>
                <w:b w:val="0"/>
              </w:rPr>
            </w:pPr>
            <w:r w:rsidRPr="007645C2">
              <w:rPr>
                <w:rFonts w:ascii="Arial" w:hAnsi="Arial"/>
                <w:b w:val="0"/>
              </w:rPr>
              <w:t>Intervention 2.1.  Case detection and diagnosis: MDR-TB</w:t>
            </w:r>
          </w:p>
        </w:tc>
      </w:tr>
      <w:tr w:rsidR="00AA07F3" w:rsidRPr="007645C2" w14:paraId="5159F03A" w14:textId="77777777" w:rsidTr="00585E4F">
        <w:tc>
          <w:tcPr>
            <w:tcW w:w="3005" w:type="dxa"/>
            <w:vMerge/>
            <w:shd w:val="clear" w:color="auto" w:fill="auto"/>
          </w:tcPr>
          <w:p w14:paraId="5EBE7324" w14:textId="77777777" w:rsidR="00AA07F3" w:rsidRPr="007645C2" w:rsidRDefault="00AA07F3" w:rsidP="00585E4F">
            <w:pPr>
              <w:spacing w:before="60" w:after="60" w:line="240" w:lineRule="auto"/>
              <w:rPr>
                <w:rFonts w:ascii="Arial" w:hAnsi="Arial"/>
                <w:b w:val="0"/>
              </w:rPr>
            </w:pPr>
          </w:p>
        </w:tc>
        <w:tc>
          <w:tcPr>
            <w:tcW w:w="2660" w:type="dxa"/>
            <w:vMerge/>
            <w:shd w:val="clear" w:color="auto" w:fill="auto"/>
          </w:tcPr>
          <w:p w14:paraId="4B5403F8" w14:textId="77777777" w:rsidR="00AA07F3" w:rsidRPr="007645C2" w:rsidRDefault="00AA07F3" w:rsidP="00585E4F">
            <w:pPr>
              <w:spacing w:before="60" w:after="60" w:line="240" w:lineRule="auto"/>
              <w:rPr>
                <w:rFonts w:ascii="Arial" w:hAnsi="Arial"/>
                <w:b w:val="0"/>
              </w:rPr>
            </w:pPr>
          </w:p>
        </w:tc>
        <w:tc>
          <w:tcPr>
            <w:tcW w:w="3351" w:type="dxa"/>
            <w:shd w:val="clear" w:color="auto" w:fill="auto"/>
          </w:tcPr>
          <w:p w14:paraId="71291D67" w14:textId="35D5B98A" w:rsidR="00AA07F3" w:rsidRPr="007645C2" w:rsidRDefault="00AA07F3" w:rsidP="00585E4F">
            <w:pPr>
              <w:spacing w:before="60" w:after="60" w:line="240" w:lineRule="auto"/>
              <w:rPr>
                <w:rFonts w:ascii="Arial" w:hAnsi="Arial"/>
                <w:b w:val="0"/>
              </w:rPr>
            </w:pPr>
            <w:r w:rsidRPr="007645C2">
              <w:rPr>
                <w:rFonts w:ascii="Arial" w:hAnsi="Arial"/>
                <w:b w:val="0"/>
              </w:rPr>
              <w:t>Intervention 2.2. Treatment: MDR-TB</w:t>
            </w:r>
          </w:p>
        </w:tc>
      </w:tr>
      <w:tr w:rsidR="00AA07F3" w:rsidRPr="007645C2" w14:paraId="261E6F63" w14:textId="77777777" w:rsidTr="00585E4F">
        <w:tc>
          <w:tcPr>
            <w:tcW w:w="3005" w:type="dxa"/>
            <w:vMerge/>
            <w:shd w:val="clear" w:color="auto" w:fill="auto"/>
          </w:tcPr>
          <w:p w14:paraId="0261CBFF" w14:textId="77777777" w:rsidR="00AA07F3" w:rsidRPr="007645C2" w:rsidRDefault="00AA07F3" w:rsidP="00585E4F">
            <w:pPr>
              <w:spacing w:before="60" w:after="60" w:line="240" w:lineRule="auto"/>
              <w:rPr>
                <w:rFonts w:ascii="Arial" w:hAnsi="Arial"/>
                <w:b w:val="0"/>
              </w:rPr>
            </w:pPr>
          </w:p>
        </w:tc>
        <w:tc>
          <w:tcPr>
            <w:tcW w:w="2660" w:type="dxa"/>
            <w:vMerge/>
            <w:shd w:val="clear" w:color="auto" w:fill="auto"/>
          </w:tcPr>
          <w:p w14:paraId="7CDBB0D4" w14:textId="77777777" w:rsidR="00AA07F3" w:rsidRPr="007645C2" w:rsidRDefault="00AA07F3" w:rsidP="00585E4F">
            <w:pPr>
              <w:spacing w:before="60" w:after="60" w:line="240" w:lineRule="auto"/>
              <w:rPr>
                <w:rFonts w:ascii="Arial" w:hAnsi="Arial"/>
                <w:b w:val="0"/>
              </w:rPr>
            </w:pPr>
          </w:p>
        </w:tc>
        <w:tc>
          <w:tcPr>
            <w:tcW w:w="3351" w:type="dxa"/>
            <w:shd w:val="clear" w:color="auto" w:fill="auto"/>
          </w:tcPr>
          <w:p w14:paraId="131BA1E4" w14:textId="39A48541" w:rsidR="00AA07F3" w:rsidRPr="007645C2" w:rsidRDefault="00AA07F3" w:rsidP="00585E4F">
            <w:pPr>
              <w:spacing w:before="60" w:after="60" w:line="240" w:lineRule="auto"/>
              <w:rPr>
                <w:rFonts w:ascii="Arial" w:hAnsi="Arial"/>
                <w:b w:val="0"/>
              </w:rPr>
            </w:pPr>
            <w:r w:rsidRPr="007645C2">
              <w:rPr>
                <w:rFonts w:ascii="Arial" w:hAnsi="Arial"/>
                <w:b w:val="0"/>
              </w:rPr>
              <w:t xml:space="preserve">Intervention 2.3. Community care delivery: MDR   </w:t>
            </w:r>
          </w:p>
        </w:tc>
      </w:tr>
      <w:tr w:rsidR="00AA07F3" w:rsidRPr="007645C2" w14:paraId="46FD9224" w14:textId="77777777" w:rsidTr="00585E4F">
        <w:tc>
          <w:tcPr>
            <w:tcW w:w="3005" w:type="dxa"/>
            <w:vMerge/>
            <w:shd w:val="clear" w:color="auto" w:fill="auto"/>
          </w:tcPr>
          <w:p w14:paraId="78A3EE58" w14:textId="77777777" w:rsidR="00AA07F3" w:rsidRPr="007645C2" w:rsidRDefault="00AA07F3" w:rsidP="00585E4F">
            <w:pPr>
              <w:spacing w:before="60" w:after="60" w:line="240" w:lineRule="auto"/>
              <w:rPr>
                <w:rFonts w:ascii="Arial" w:hAnsi="Arial"/>
                <w:b w:val="0"/>
              </w:rPr>
            </w:pPr>
          </w:p>
        </w:tc>
        <w:tc>
          <w:tcPr>
            <w:tcW w:w="2660" w:type="dxa"/>
            <w:vMerge/>
            <w:shd w:val="clear" w:color="auto" w:fill="auto"/>
          </w:tcPr>
          <w:p w14:paraId="43FBADD0" w14:textId="77777777" w:rsidR="00AA07F3" w:rsidRPr="007645C2" w:rsidRDefault="00AA07F3" w:rsidP="00585E4F">
            <w:pPr>
              <w:spacing w:before="60" w:after="60" w:line="240" w:lineRule="auto"/>
              <w:rPr>
                <w:rFonts w:ascii="Arial" w:hAnsi="Arial"/>
                <w:b w:val="0"/>
              </w:rPr>
            </w:pPr>
          </w:p>
        </w:tc>
        <w:tc>
          <w:tcPr>
            <w:tcW w:w="3351" w:type="dxa"/>
            <w:shd w:val="clear" w:color="auto" w:fill="auto"/>
          </w:tcPr>
          <w:p w14:paraId="2947EA8B" w14:textId="2325E9AD" w:rsidR="00AA07F3" w:rsidRPr="007645C2" w:rsidRDefault="00AA07F3" w:rsidP="00585E4F">
            <w:pPr>
              <w:spacing w:before="60" w:after="60" w:line="240" w:lineRule="auto"/>
              <w:rPr>
                <w:rFonts w:ascii="Arial" w:hAnsi="Arial"/>
                <w:b w:val="0"/>
              </w:rPr>
            </w:pPr>
            <w:r w:rsidRPr="007645C2">
              <w:rPr>
                <w:rFonts w:ascii="Arial" w:hAnsi="Arial"/>
                <w:b w:val="0"/>
              </w:rPr>
              <w:t>Intervention 2.4. Other MDR-TB interventions</w:t>
            </w:r>
          </w:p>
        </w:tc>
      </w:tr>
      <w:tr w:rsidR="00AA07F3" w:rsidRPr="009527D4" w14:paraId="5C3F0257" w14:textId="77777777" w:rsidTr="00585E4F">
        <w:tc>
          <w:tcPr>
            <w:tcW w:w="3005" w:type="dxa"/>
            <w:shd w:val="clear" w:color="auto" w:fill="auto"/>
          </w:tcPr>
          <w:p w14:paraId="3188FB11" w14:textId="3A671C4C" w:rsidR="00AA07F3" w:rsidRPr="007645C2" w:rsidRDefault="00AA07F3" w:rsidP="00585E4F">
            <w:pPr>
              <w:spacing w:before="60" w:after="60" w:line="240" w:lineRule="auto"/>
              <w:rPr>
                <w:rFonts w:ascii="Arial" w:hAnsi="Arial"/>
                <w:b w:val="0"/>
              </w:rPr>
            </w:pPr>
            <w:r w:rsidRPr="007645C2">
              <w:rPr>
                <w:rFonts w:ascii="Arial" w:hAnsi="Arial"/>
                <w:b w:val="0"/>
              </w:rPr>
              <w:lastRenderedPageBreak/>
              <w:t>3. Grant management</w:t>
            </w:r>
          </w:p>
        </w:tc>
        <w:tc>
          <w:tcPr>
            <w:tcW w:w="2660" w:type="dxa"/>
            <w:shd w:val="clear" w:color="auto" w:fill="auto"/>
          </w:tcPr>
          <w:p w14:paraId="6F147A1D" w14:textId="1194B344" w:rsidR="00AA07F3" w:rsidRPr="007645C2" w:rsidRDefault="00AA07F3" w:rsidP="00585E4F">
            <w:pPr>
              <w:spacing w:before="60" w:after="60" w:line="240" w:lineRule="auto"/>
              <w:rPr>
                <w:rFonts w:ascii="Arial" w:hAnsi="Arial"/>
                <w:b w:val="0"/>
              </w:rPr>
            </w:pPr>
            <w:r w:rsidRPr="007645C2">
              <w:rPr>
                <w:rFonts w:ascii="Arial" w:hAnsi="Arial"/>
                <w:b w:val="0"/>
              </w:rPr>
              <w:t>Module: Program management</w:t>
            </w:r>
          </w:p>
        </w:tc>
        <w:tc>
          <w:tcPr>
            <w:tcW w:w="3351" w:type="dxa"/>
            <w:shd w:val="clear" w:color="auto" w:fill="auto"/>
          </w:tcPr>
          <w:p w14:paraId="7F9D9A8D" w14:textId="1EBE53AA" w:rsidR="00AA07F3" w:rsidRPr="009527D4" w:rsidRDefault="00AA07F3" w:rsidP="00585E4F">
            <w:pPr>
              <w:spacing w:before="60" w:after="60" w:line="240" w:lineRule="auto"/>
              <w:rPr>
                <w:rFonts w:ascii="Arial" w:hAnsi="Arial"/>
                <w:b w:val="0"/>
              </w:rPr>
            </w:pPr>
            <w:r w:rsidRPr="007645C2">
              <w:rPr>
                <w:rFonts w:ascii="Arial" w:hAnsi="Arial"/>
                <w:b w:val="0"/>
              </w:rPr>
              <w:t>Intervention 3.1. Grant Management</w:t>
            </w:r>
          </w:p>
        </w:tc>
      </w:tr>
    </w:tbl>
    <w:p w14:paraId="3FD034A5" w14:textId="77777777" w:rsidR="00CD11D2" w:rsidRPr="009527D4" w:rsidRDefault="00CD11D2" w:rsidP="00585E4F">
      <w:pPr>
        <w:spacing w:after="120" w:line="240" w:lineRule="auto"/>
        <w:jc w:val="both"/>
        <w:rPr>
          <w:rFonts w:ascii="Arial" w:hAnsi="Arial"/>
          <w:b w:val="0"/>
          <w:color w:val="FF0000"/>
          <w:sz w:val="8"/>
          <w:szCs w:val="8"/>
        </w:rPr>
      </w:pPr>
    </w:p>
    <w:p w14:paraId="49246621" w14:textId="006D9521" w:rsidR="009C04F3" w:rsidRPr="009527D4" w:rsidRDefault="009C04F3" w:rsidP="00585E4F">
      <w:pPr>
        <w:spacing w:after="120" w:line="240" w:lineRule="auto"/>
        <w:jc w:val="both"/>
        <w:rPr>
          <w:rFonts w:ascii="Arial" w:hAnsi="Arial"/>
          <w:b w:val="0"/>
        </w:rPr>
      </w:pPr>
      <w:r w:rsidRPr="009527D4">
        <w:rPr>
          <w:rFonts w:ascii="Arial" w:hAnsi="Arial"/>
          <w:b w:val="0"/>
        </w:rPr>
        <w:t>Since resistance to anti-TB drugs represents the major challenge to effective TB control in the country, the majority</w:t>
      </w:r>
      <w:r w:rsidR="00BB4E99">
        <w:rPr>
          <w:rFonts w:ascii="Arial" w:hAnsi="Arial"/>
          <w:b w:val="0"/>
        </w:rPr>
        <w:t xml:space="preserve"> </w:t>
      </w:r>
      <w:r w:rsidRPr="009527D4">
        <w:rPr>
          <w:rFonts w:ascii="Arial" w:hAnsi="Arial"/>
          <w:b w:val="0"/>
        </w:rPr>
        <w:t xml:space="preserve">of the project interventions are included under ‘MDR-TB’ module; </w:t>
      </w:r>
      <w:proofErr w:type="gramStart"/>
      <w:r w:rsidRPr="009527D4">
        <w:rPr>
          <w:rFonts w:ascii="Arial" w:hAnsi="Arial"/>
          <w:b w:val="0"/>
        </w:rPr>
        <w:t>funding-wise</w:t>
      </w:r>
      <w:proofErr w:type="gramEnd"/>
      <w:r w:rsidRPr="009527D4">
        <w:rPr>
          <w:rFonts w:ascii="Arial" w:hAnsi="Arial"/>
          <w:b w:val="0"/>
        </w:rPr>
        <w:t xml:space="preserve">, they account </w:t>
      </w:r>
      <w:r w:rsidRPr="003E19E9">
        <w:rPr>
          <w:rFonts w:ascii="Arial" w:hAnsi="Arial"/>
          <w:b w:val="0"/>
        </w:rPr>
        <w:t>for 7</w:t>
      </w:r>
      <w:r w:rsidR="000B48C0" w:rsidRPr="003E19E9">
        <w:rPr>
          <w:rFonts w:ascii="Arial" w:hAnsi="Arial"/>
          <w:b w:val="0"/>
        </w:rPr>
        <w:t>4.6</w:t>
      </w:r>
      <w:r w:rsidRPr="003E19E9">
        <w:rPr>
          <w:rFonts w:ascii="Arial" w:hAnsi="Arial"/>
          <w:b w:val="0"/>
        </w:rPr>
        <w:t>% of the</w:t>
      </w:r>
      <w:r w:rsidRPr="009527D4">
        <w:rPr>
          <w:rFonts w:ascii="Arial" w:hAnsi="Arial"/>
          <w:b w:val="0"/>
        </w:rPr>
        <w:t xml:space="preserve"> within-allocation budget. At the same time, several important activities under RSSH modules are also included.</w:t>
      </w:r>
    </w:p>
    <w:p w14:paraId="0FD971D6" w14:textId="77777777" w:rsidR="00581146" w:rsidRPr="009527D4" w:rsidRDefault="00A40A7C" w:rsidP="00585E4F">
      <w:pPr>
        <w:spacing w:after="120" w:line="240" w:lineRule="auto"/>
        <w:jc w:val="both"/>
        <w:rPr>
          <w:rFonts w:ascii="Arial" w:hAnsi="Arial"/>
          <w:b w:val="0"/>
        </w:rPr>
      </w:pPr>
      <w:r w:rsidRPr="009527D4">
        <w:rPr>
          <w:rFonts w:ascii="Arial" w:hAnsi="Arial"/>
          <w:b w:val="0"/>
        </w:rPr>
        <w:t xml:space="preserve">A brief description of proposed </w:t>
      </w:r>
      <w:r w:rsidR="00581146" w:rsidRPr="009527D4">
        <w:rPr>
          <w:rFonts w:ascii="Arial" w:hAnsi="Arial"/>
          <w:b w:val="0"/>
        </w:rPr>
        <w:t xml:space="preserve">activities </w:t>
      </w:r>
      <w:r w:rsidRPr="009527D4">
        <w:rPr>
          <w:rFonts w:ascii="Arial" w:hAnsi="Arial"/>
          <w:b w:val="0"/>
        </w:rPr>
        <w:t xml:space="preserve">by each Objective </w:t>
      </w:r>
      <w:r w:rsidR="00581146" w:rsidRPr="009527D4">
        <w:rPr>
          <w:rFonts w:ascii="Arial" w:hAnsi="Arial"/>
          <w:b w:val="0"/>
        </w:rPr>
        <w:t xml:space="preserve">and Intervention </w:t>
      </w:r>
      <w:proofErr w:type="gramStart"/>
      <w:r w:rsidRPr="009527D4">
        <w:rPr>
          <w:rFonts w:ascii="Arial" w:hAnsi="Arial"/>
          <w:b w:val="0"/>
        </w:rPr>
        <w:t>is given</w:t>
      </w:r>
      <w:proofErr w:type="gramEnd"/>
      <w:r w:rsidRPr="009527D4">
        <w:rPr>
          <w:rFonts w:ascii="Arial" w:hAnsi="Arial"/>
          <w:b w:val="0"/>
        </w:rPr>
        <w:t xml:space="preserve"> below</w:t>
      </w:r>
      <w:r w:rsidR="00581146" w:rsidRPr="009527D4">
        <w:rPr>
          <w:rFonts w:ascii="Arial" w:hAnsi="Arial"/>
          <w:b w:val="0"/>
        </w:rPr>
        <w:t>.</w:t>
      </w:r>
    </w:p>
    <w:p w14:paraId="06F0C3AD" w14:textId="3C5A6921" w:rsidR="0081038E" w:rsidRPr="009527D4" w:rsidRDefault="00581146" w:rsidP="00585E4F">
      <w:pPr>
        <w:spacing w:after="120" w:line="240" w:lineRule="auto"/>
        <w:ind w:left="1440" w:hanging="1440"/>
        <w:jc w:val="both"/>
        <w:rPr>
          <w:rFonts w:ascii="Arial" w:hAnsi="Arial"/>
        </w:rPr>
      </w:pPr>
      <w:r w:rsidRPr="009527D4">
        <w:rPr>
          <w:rFonts w:ascii="Arial" w:hAnsi="Arial"/>
        </w:rPr>
        <w:t xml:space="preserve">Objective </w:t>
      </w:r>
      <w:proofErr w:type="gramStart"/>
      <w:r w:rsidRPr="009527D4">
        <w:rPr>
          <w:rFonts w:ascii="Arial" w:hAnsi="Arial"/>
        </w:rPr>
        <w:t>1</w:t>
      </w:r>
      <w:proofErr w:type="gramEnd"/>
      <w:r w:rsidRPr="009527D4">
        <w:rPr>
          <w:rFonts w:ascii="Arial" w:hAnsi="Arial"/>
        </w:rPr>
        <w:t>.</w:t>
      </w:r>
      <w:r w:rsidRPr="009527D4">
        <w:rPr>
          <w:rFonts w:ascii="Arial" w:hAnsi="Arial"/>
        </w:rPr>
        <w:tab/>
      </w:r>
      <w:r w:rsidR="0081038E" w:rsidRPr="009527D4">
        <w:rPr>
          <w:rFonts w:ascii="Arial" w:hAnsi="Arial"/>
        </w:rPr>
        <w:t xml:space="preserve">To </w:t>
      </w:r>
      <w:r w:rsidR="009413DD" w:rsidRPr="009527D4">
        <w:rPr>
          <w:rFonts w:ascii="Arial" w:hAnsi="Arial"/>
        </w:rPr>
        <w:t xml:space="preserve">ensure comprehensive and sustainable health system responses </w:t>
      </w:r>
      <w:r w:rsidR="00D45C19" w:rsidRPr="009527D4">
        <w:rPr>
          <w:rFonts w:ascii="Arial" w:hAnsi="Arial"/>
        </w:rPr>
        <w:t>to DR-TB</w:t>
      </w:r>
      <w:r w:rsidR="009413DD" w:rsidRPr="009527D4">
        <w:rPr>
          <w:rFonts w:ascii="Arial" w:hAnsi="Arial"/>
        </w:rPr>
        <w:t xml:space="preserve"> challenge</w:t>
      </w:r>
    </w:p>
    <w:p w14:paraId="4C73F1F7" w14:textId="4F462214" w:rsidR="00346099" w:rsidRPr="009527D4" w:rsidRDefault="00346099" w:rsidP="00585E4F">
      <w:pPr>
        <w:spacing w:after="120" w:line="240" w:lineRule="auto"/>
        <w:jc w:val="both"/>
        <w:rPr>
          <w:rFonts w:ascii="Arial" w:hAnsi="Arial"/>
          <w:b w:val="0"/>
        </w:rPr>
      </w:pPr>
      <w:r w:rsidRPr="009527D4">
        <w:rPr>
          <w:rFonts w:ascii="Arial" w:hAnsi="Arial"/>
          <w:b w:val="0"/>
        </w:rPr>
        <w:t xml:space="preserve">The activities under this </w:t>
      </w:r>
      <w:r w:rsidR="007A4046" w:rsidRPr="009527D4">
        <w:rPr>
          <w:rFonts w:ascii="Arial" w:hAnsi="Arial"/>
          <w:b w:val="0"/>
        </w:rPr>
        <w:t>Objective</w:t>
      </w:r>
      <w:r w:rsidRPr="009527D4">
        <w:rPr>
          <w:rFonts w:ascii="Arial" w:hAnsi="Arial"/>
          <w:b w:val="0"/>
        </w:rPr>
        <w:t xml:space="preserve"> support high-level advocacy and </w:t>
      </w:r>
      <w:proofErr w:type="spellStart"/>
      <w:r w:rsidRPr="009527D4">
        <w:rPr>
          <w:rFonts w:ascii="Arial" w:hAnsi="Arial"/>
          <w:b w:val="0"/>
        </w:rPr>
        <w:t>intersectoral</w:t>
      </w:r>
      <w:proofErr w:type="spellEnd"/>
      <w:r w:rsidRPr="009527D4">
        <w:rPr>
          <w:rFonts w:ascii="Arial" w:hAnsi="Arial"/>
          <w:b w:val="0"/>
        </w:rPr>
        <w:t xml:space="preserve"> coordination for upholding commitments to End TB, building capacities for strengthening the health system for implementation of people-centered approaches in TB care</w:t>
      </w:r>
      <w:r w:rsidR="00285653" w:rsidRPr="009527D4">
        <w:rPr>
          <w:rFonts w:ascii="Arial" w:hAnsi="Arial"/>
          <w:b w:val="0"/>
        </w:rPr>
        <w:t xml:space="preserve">, strengthening </w:t>
      </w:r>
      <w:r w:rsidR="007A4046" w:rsidRPr="009527D4">
        <w:rPr>
          <w:rFonts w:ascii="Arial" w:hAnsi="Arial"/>
          <w:b w:val="0"/>
        </w:rPr>
        <w:t xml:space="preserve">monitoring and evaluation </w:t>
      </w:r>
      <w:r w:rsidR="00285653" w:rsidRPr="009527D4">
        <w:rPr>
          <w:rFonts w:ascii="Arial" w:hAnsi="Arial"/>
          <w:b w:val="0"/>
        </w:rPr>
        <w:t>of the national TB program</w:t>
      </w:r>
      <w:r w:rsidR="007A4046" w:rsidRPr="009527D4">
        <w:rPr>
          <w:rFonts w:ascii="Arial" w:hAnsi="Arial"/>
          <w:b w:val="0"/>
        </w:rPr>
        <w:t>, and developing evidence for decision making</w:t>
      </w:r>
      <w:r w:rsidR="00285653" w:rsidRPr="009527D4">
        <w:rPr>
          <w:rFonts w:ascii="Arial" w:hAnsi="Arial"/>
          <w:b w:val="0"/>
        </w:rPr>
        <w:t>.</w:t>
      </w:r>
    </w:p>
    <w:p w14:paraId="5C6F0043" w14:textId="77777777" w:rsidR="00346099" w:rsidRPr="009527D4" w:rsidRDefault="00346099" w:rsidP="00585E4F">
      <w:pPr>
        <w:spacing w:after="120" w:line="240" w:lineRule="auto"/>
        <w:jc w:val="both"/>
        <w:rPr>
          <w:rFonts w:ascii="Arial" w:hAnsi="Arial"/>
          <w:b w:val="0"/>
          <w:u w:val="single"/>
        </w:rPr>
      </w:pPr>
      <w:r w:rsidRPr="009527D4">
        <w:rPr>
          <w:rFonts w:ascii="Arial" w:hAnsi="Arial"/>
          <w:b w:val="0"/>
          <w:u w:val="single"/>
        </w:rPr>
        <w:t>Intervention 1.1. Supportive policy and programmatic environment</w:t>
      </w:r>
    </w:p>
    <w:p w14:paraId="5D8F6FD4" w14:textId="0894E834" w:rsidR="0081038E" w:rsidRPr="009527D4" w:rsidRDefault="0081038E" w:rsidP="00585E4F">
      <w:pPr>
        <w:spacing w:after="120" w:line="240" w:lineRule="auto"/>
        <w:jc w:val="both"/>
        <w:rPr>
          <w:rFonts w:ascii="Arial" w:hAnsi="Arial"/>
          <w:b w:val="0"/>
          <w:i/>
        </w:rPr>
      </w:pPr>
      <w:r w:rsidRPr="009527D4">
        <w:rPr>
          <w:rFonts w:ascii="Arial" w:hAnsi="Arial"/>
          <w:b w:val="0"/>
          <w:i/>
        </w:rPr>
        <w:t>Module:</w:t>
      </w:r>
      <w:r w:rsidR="00285653" w:rsidRPr="009527D4">
        <w:rPr>
          <w:rFonts w:ascii="Arial" w:hAnsi="Arial"/>
          <w:b w:val="0"/>
          <w:i/>
        </w:rPr>
        <w:tab/>
        <w:t xml:space="preserve"> </w:t>
      </w:r>
      <w:r w:rsidRPr="009527D4">
        <w:rPr>
          <w:rFonts w:ascii="Arial" w:hAnsi="Arial"/>
          <w:b w:val="0"/>
          <w:i/>
        </w:rPr>
        <w:t>RSSH</w:t>
      </w:r>
      <w:r w:rsidR="00285653" w:rsidRPr="009527D4">
        <w:rPr>
          <w:rFonts w:ascii="Arial" w:hAnsi="Arial"/>
          <w:b w:val="0"/>
          <w:i/>
        </w:rPr>
        <w:t xml:space="preserve"> – </w:t>
      </w:r>
      <w:r w:rsidR="00581146" w:rsidRPr="009527D4">
        <w:rPr>
          <w:rFonts w:ascii="Arial" w:hAnsi="Arial"/>
          <w:b w:val="0"/>
          <w:i/>
        </w:rPr>
        <w:t>i</w:t>
      </w:r>
      <w:r w:rsidRPr="009527D4">
        <w:rPr>
          <w:rFonts w:ascii="Arial" w:hAnsi="Arial"/>
          <w:b w:val="0"/>
          <w:i/>
        </w:rPr>
        <w:t>ntegrated service delivery and quality improvement</w:t>
      </w:r>
      <w:r w:rsidRPr="009527D4">
        <w:rPr>
          <w:rFonts w:ascii="Arial" w:hAnsi="Arial"/>
          <w:b w:val="0"/>
          <w:i/>
        </w:rPr>
        <w:tab/>
      </w:r>
      <w:r w:rsidRPr="009527D4">
        <w:rPr>
          <w:rFonts w:ascii="Arial" w:hAnsi="Arial"/>
          <w:b w:val="0"/>
          <w:i/>
        </w:rPr>
        <w:tab/>
      </w:r>
    </w:p>
    <w:p w14:paraId="4279A42A" w14:textId="250FEDC3" w:rsidR="001E390D" w:rsidRPr="009527D4" w:rsidRDefault="0081038E" w:rsidP="00585E4F">
      <w:pPr>
        <w:spacing w:after="120" w:line="240" w:lineRule="auto"/>
        <w:jc w:val="both"/>
        <w:rPr>
          <w:rFonts w:ascii="Arial" w:hAnsi="Arial"/>
          <w:b w:val="0"/>
        </w:rPr>
      </w:pPr>
      <w:r w:rsidRPr="009527D4">
        <w:rPr>
          <w:rFonts w:ascii="Arial" w:hAnsi="Arial"/>
          <w:b w:val="0"/>
        </w:rPr>
        <w:t xml:space="preserve">The </w:t>
      </w:r>
      <w:proofErr w:type="spellStart"/>
      <w:r w:rsidRPr="009527D4">
        <w:rPr>
          <w:rFonts w:ascii="Arial" w:hAnsi="Arial"/>
          <w:b w:val="0"/>
        </w:rPr>
        <w:t>multisectoral</w:t>
      </w:r>
      <w:proofErr w:type="spellEnd"/>
      <w:r w:rsidRPr="009527D4">
        <w:rPr>
          <w:rFonts w:ascii="Arial" w:hAnsi="Arial"/>
          <w:b w:val="0"/>
        </w:rPr>
        <w:t xml:space="preserve"> working group</w:t>
      </w:r>
      <w:r w:rsidR="00581146" w:rsidRPr="009527D4">
        <w:rPr>
          <w:rFonts w:ascii="Arial" w:hAnsi="Arial"/>
          <w:b w:val="0"/>
        </w:rPr>
        <w:t>,</w:t>
      </w:r>
      <w:r w:rsidRPr="009527D4">
        <w:rPr>
          <w:rFonts w:ascii="Arial" w:hAnsi="Arial"/>
          <w:b w:val="0"/>
        </w:rPr>
        <w:t xml:space="preserve"> established under previous grant</w:t>
      </w:r>
      <w:r w:rsidR="00581146" w:rsidRPr="009527D4">
        <w:rPr>
          <w:rFonts w:ascii="Arial" w:hAnsi="Arial"/>
          <w:b w:val="0"/>
        </w:rPr>
        <w:t xml:space="preserve">, will be further supported to </w:t>
      </w:r>
      <w:r w:rsidRPr="009527D4">
        <w:rPr>
          <w:rFonts w:ascii="Arial" w:hAnsi="Arial"/>
          <w:b w:val="0"/>
        </w:rPr>
        <w:t>perform high-level advocacy</w:t>
      </w:r>
      <w:r w:rsidR="00581146" w:rsidRPr="009527D4">
        <w:rPr>
          <w:rFonts w:ascii="Arial" w:hAnsi="Arial"/>
          <w:b w:val="0"/>
        </w:rPr>
        <w:t xml:space="preserve"> and </w:t>
      </w:r>
      <w:r w:rsidRPr="009527D4">
        <w:rPr>
          <w:rFonts w:ascii="Arial" w:hAnsi="Arial"/>
          <w:b w:val="0"/>
        </w:rPr>
        <w:t xml:space="preserve">enhance </w:t>
      </w:r>
      <w:r w:rsidR="00581146" w:rsidRPr="009527D4">
        <w:rPr>
          <w:rFonts w:ascii="Arial" w:hAnsi="Arial"/>
          <w:b w:val="0"/>
        </w:rPr>
        <w:t xml:space="preserve">the </w:t>
      </w:r>
      <w:r w:rsidRPr="009527D4">
        <w:rPr>
          <w:rFonts w:ascii="Arial" w:hAnsi="Arial"/>
          <w:b w:val="0"/>
        </w:rPr>
        <w:t>political commitment</w:t>
      </w:r>
      <w:r w:rsidR="00581146" w:rsidRPr="009527D4">
        <w:rPr>
          <w:rFonts w:ascii="Arial" w:hAnsi="Arial"/>
          <w:b w:val="0"/>
        </w:rPr>
        <w:t xml:space="preserve"> for </w:t>
      </w:r>
      <w:r w:rsidR="00B02409" w:rsidRPr="009527D4">
        <w:rPr>
          <w:rFonts w:ascii="Arial" w:hAnsi="Arial"/>
          <w:b w:val="0"/>
        </w:rPr>
        <w:t xml:space="preserve">effective governance of the health system and sustainable financing of TB interventions, including strengthening and coordinating </w:t>
      </w:r>
      <w:r w:rsidRPr="009527D4">
        <w:rPr>
          <w:rFonts w:ascii="Arial" w:hAnsi="Arial"/>
          <w:b w:val="0"/>
        </w:rPr>
        <w:t xml:space="preserve">the </w:t>
      </w:r>
      <w:r w:rsidR="00B02409" w:rsidRPr="009527D4">
        <w:rPr>
          <w:rFonts w:ascii="Arial" w:hAnsi="Arial"/>
          <w:b w:val="0"/>
        </w:rPr>
        <w:t xml:space="preserve">non-governmental sector </w:t>
      </w:r>
      <w:r w:rsidRPr="009527D4">
        <w:rPr>
          <w:rFonts w:ascii="Arial" w:hAnsi="Arial"/>
          <w:b w:val="0"/>
        </w:rPr>
        <w:t>involvement</w:t>
      </w:r>
      <w:r w:rsidR="00B02409" w:rsidRPr="009527D4">
        <w:rPr>
          <w:rFonts w:ascii="Arial" w:hAnsi="Arial"/>
          <w:b w:val="0"/>
        </w:rPr>
        <w:t xml:space="preserve">. The new grant will allocate funding to </w:t>
      </w:r>
      <w:r w:rsidRPr="009527D4">
        <w:rPr>
          <w:rFonts w:ascii="Arial" w:hAnsi="Arial"/>
          <w:b w:val="0"/>
        </w:rPr>
        <w:t xml:space="preserve">support the </w:t>
      </w:r>
      <w:r w:rsidR="00B02409" w:rsidRPr="009527D4">
        <w:rPr>
          <w:rFonts w:ascii="Arial" w:hAnsi="Arial"/>
          <w:b w:val="0"/>
        </w:rPr>
        <w:t xml:space="preserve">national </w:t>
      </w:r>
      <w:r w:rsidRPr="009527D4">
        <w:rPr>
          <w:rFonts w:ascii="Arial" w:hAnsi="Arial"/>
          <w:b w:val="0"/>
        </w:rPr>
        <w:t xml:space="preserve">experts to </w:t>
      </w:r>
      <w:r w:rsidR="00B02409" w:rsidRPr="009527D4">
        <w:rPr>
          <w:rFonts w:ascii="Arial" w:hAnsi="Arial"/>
          <w:b w:val="0"/>
        </w:rPr>
        <w:t xml:space="preserve">develop </w:t>
      </w:r>
      <w:r w:rsidRPr="009527D4">
        <w:rPr>
          <w:rFonts w:ascii="Arial" w:hAnsi="Arial"/>
          <w:b w:val="0"/>
        </w:rPr>
        <w:t xml:space="preserve">relevant </w:t>
      </w:r>
      <w:r w:rsidR="00B02409" w:rsidRPr="009527D4">
        <w:rPr>
          <w:rFonts w:ascii="Arial" w:hAnsi="Arial"/>
          <w:b w:val="0"/>
        </w:rPr>
        <w:t xml:space="preserve">regulations for both civilian and penitentiary services and guidance for NGOs in line with the </w:t>
      </w:r>
      <w:r w:rsidRPr="009527D4">
        <w:rPr>
          <w:rFonts w:ascii="Arial" w:hAnsi="Arial"/>
          <w:b w:val="0"/>
        </w:rPr>
        <w:t xml:space="preserve">international recommendations </w:t>
      </w:r>
      <w:r w:rsidR="00B02409" w:rsidRPr="009527D4">
        <w:rPr>
          <w:rFonts w:ascii="Arial" w:hAnsi="Arial"/>
          <w:b w:val="0"/>
        </w:rPr>
        <w:t>and best practices. The project will also support c</w:t>
      </w:r>
      <w:r w:rsidRPr="009527D4">
        <w:rPr>
          <w:rFonts w:ascii="Arial" w:hAnsi="Arial"/>
          <w:b w:val="0"/>
        </w:rPr>
        <w:t xml:space="preserve">oordination meetings </w:t>
      </w:r>
      <w:r w:rsidR="00B02409" w:rsidRPr="009527D4">
        <w:rPr>
          <w:rFonts w:ascii="Arial" w:hAnsi="Arial"/>
          <w:b w:val="0"/>
        </w:rPr>
        <w:t xml:space="preserve">with a broader participation of the governmental agencies (including the Ministry of Finance and the </w:t>
      </w:r>
      <w:r w:rsidR="00A614F0" w:rsidRPr="009527D4">
        <w:rPr>
          <w:rFonts w:ascii="Arial" w:hAnsi="Arial"/>
          <w:b w:val="0"/>
        </w:rPr>
        <w:t xml:space="preserve">Committee for Criminal Executive System of </w:t>
      </w:r>
      <w:r w:rsidR="00B02409" w:rsidRPr="009527D4">
        <w:rPr>
          <w:rFonts w:ascii="Arial" w:hAnsi="Arial"/>
          <w:b w:val="0"/>
        </w:rPr>
        <w:t>the Ministry of Internal Affairs),</w:t>
      </w:r>
      <w:r w:rsidR="001E390D" w:rsidRPr="009527D4">
        <w:rPr>
          <w:rFonts w:ascii="Arial" w:hAnsi="Arial"/>
          <w:b w:val="0"/>
        </w:rPr>
        <w:t xml:space="preserve"> health care managers at central and regional levels, </w:t>
      </w:r>
      <w:r w:rsidR="00B02409" w:rsidRPr="009527D4">
        <w:rPr>
          <w:rFonts w:ascii="Arial" w:hAnsi="Arial"/>
          <w:b w:val="0"/>
        </w:rPr>
        <w:t>academia</w:t>
      </w:r>
      <w:r w:rsidR="001E390D" w:rsidRPr="009527D4">
        <w:rPr>
          <w:rFonts w:ascii="Arial" w:hAnsi="Arial"/>
          <w:b w:val="0"/>
        </w:rPr>
        <w:t xml:space="preserve">, </w:t>
      </w:r>
      <w:r w:rsidR="00B02409" w:rsidRPr="009527D4">
        <w:rPr>
          <w:rFonts w:ascii="Arial" w:hAnsi="Arial"/>
          <w:b w:val="0"/>
        </w:rPr>
        <w:t xml:space="preserve">civil society </w:t>
      </w:r>
      <w:r w:rsidR="001E390D" w:rsidRPr="009527D4">
        <w:rPr>
          <w:rFonts w:ascii="Arial" w:hAnsi="Arial"/>
          <w:b w:val="0"/>
        </w:rPr>
        <w:t xml:space="preserve">and other non-state </w:t>
      </w:r>
      <w:r w:rsidR="00B02409" w:rsidRPr="009527D4">
        <w:rPr>
          <w:rFonts w:ascii="Arial" w:hAnsi="Arial"/>
          <w:b w:val="0"/>
        </w:rPr>
        <w:t>actors</w:t>
      </w:r>
      <w:r w:rsidR="001E390D" w:rsidRPr="009527D4">
        <w:rPr>
          <w:rFonts w:ascii="Arial" w:hAnsi="Arial"/>
          <w:b w:val="0"/>
        </w:rPr>
        <w:t>.</w:t>
      </w:r>
    </w:p>
    <w:p w14:paraId="47F6D859" w14:textId="5FDEB205" w:rsidR="00C17E84" w:rsidRPr="009527D4" w:rsidRDefault="001E390D" w:rsidP="00585E4F">
      <w:pPr>
        <w:spacing w:after="120" w:line="240" w:lineRule="auto"/>
        <w:jc w:val="both"/>
        <w:rPr>
          <w:rFonts w:ascii="Arial" w:hAnsi="Arial"/>
          <w:b w:val="0"/>
        </w:rPr>
      </w:pPr>
      <w:proofErr w:type="gramStart"/>
      <w:r w:rsidRPr="009527D4">
        <w:rPr>
          <w:rFonts w:ascii="Arial" w:hAnsi="Arial"/>
          <w:b w:val="0"/>
        </w:rPr>
        <w:t xml:space="preserve">The project will organize special training sessions and round tables at </w:t>
      </w:r>
      <w:r w:rsidR="009413DD" w:rsidRPr="000B48C0">
        <w:rPr>
          <w:rFonts w:ascii="Arial" w:hAnsi="Arial"/>
          <w:b w:val="0"/>
        </w:rPr>
        <w:t xml:space="preserve">the </w:t>
      </w:r>
      <w:r w:rsidR="006B2E6A" w:rsidRPr="000B48C0">
        <w:rPr>
          <w:rFonts w:ascii="Arial" w:hAnsi="Arial"/>
          <w:b w:val="0"/>
        </w:rPr>
        <w:t>central/</w:t>
      </w:r>
      <w:r w:rsidRPr="000B48C0">
        <w:rPr>
          <w:rFonts w:ascii="Arial" w:hAnsi="Arial"/>
          <w:b w:val="0"/>
        </w:rPr>
        <w:t>regional</w:t>
      </w:r>
      <w:r w:rsidRPr="009527D4">
        <w:rPr>
          <w:rFonts w:ascii="Arial" w:hAnsi="Arial"/>
          <w:b w:val="0"/>
        </w:rPr>
        <w:t xml:space="preserve"> level with</w:t>
      </w:r>
      <w:r w:rsidR="000B0ED4" w:rsidRPr="009527D4">
        <w:rPr>
          <w:rFonts w:ascii="Arial" w:hAnsi="Arial"/>
          <w:b w:val="0"/>
        </w:rPr>
        <w:t xml:space="preserve"> the</w:t>
      </w:r>
      <w:r w:rsidRPr="009527D4">
        <w:rPr>
          <w:rFonts w:ascii="Arial" w:hAnsi="Arial"/>
          <w:b w:val="0"/>
        </w:rPr>
        <w:t xml:space="preserve"> involvement of local public administrations and relevant partners including businesses, </w:t>
      </w:r>
      <w:r w:rsidR="0081038E" w:rsidRPr="009527D4">
        <w:rPr>
          <w:rFonts w:ascii="Arial" w:hAnsi="Arial"/>
          <w:b w:val="0"/>
        </w:rPr>
        <w:t>which will focus</w:t>
      </w:r>
      <w:r w:rsidRPr="009527D4">
        <w:rPr>
          <w:rFonts w:ascii="Arial" w:hAnsi="Arial"/>
          <w:b w:val="0"/>
        </w:rPr>
        <w:t xml:space="preserve"> on the End-TB Strategy implementation approaches, such as enabling people- and patient-centered TB care delivery with predominantly outpatient </w:t>
      </w:r>
      <w:r w:rsidR="00C17E84" w:rsidRPr="009527D4">
        <w:rPr>
          <w:rFonts w:ascii="Arial" w:hAnsi="Arial"/>
          <w:b w:val="0"/>
        </w:rPr>
        <w:t>TB and DR-TB case management model, establishing functional local coalitions to end TB and mobilizing additional and alternative sources of funding for priority TB interventions.</w:t>
      </w:r>
      <w:proofErr w:type="gramEnd"/>
      <w:r w:rsidR="00C17E84" w:rsidRPr="009527D4">
        <w:rPr>
          <w:rFonts w:ascii="Arial" w:hAnsi="Arial"/>
          <w:b w:val="0"/>
        </w:rPr>
        <w:t xml:space="preserve"> </w:t>
      </w:r>
    </w:p>
    <w:p w14:paraId="68CA976D" w14:textId="6BEE8199" w:rsidR="005E02CE" w:rsidRPr="009527D4" w:rsidRDefault="000B0ED4" w:rsidP="00585E4F">
      <w:pPr>
        <w:spacing w:after="120" w:line="240" w:lineRule="auto"/>
        <w:jc w:val="both"/>
        <w:rPr>
          <w:rFonts w:ascii="Arial" w:hAnsi="Arial"/>
          <w:b w:val="0"/>
        </w:rPr>
      </w:pPr>
      <w:r w:rsidRPr="009527D4">
        <w:rPr>
          <w:rFonts w:ascii="Arial" w:hAnsi="Arial"/>
          <w:b w:val="0"/>
        </w:rPr>
        <w:t xml:space="preserve">In coordination with the regional TGF TB project (‘TB-REP 2.0’), capacity building of the regional (oblast-level) NTP managers will be supported through training on managerial and technical aspects related to the institutionalization of the new payment mechanisms for TB diagnostic and treatment services. </w:t>
      </w:r>
      <w:r w:rsidR="005E02CE" w:rsidRPr="009527D4">
        <w:rPr>
          <w:rFonts w:ascii="Arial" w:hAnsi="Arial"/>
          <w:b w:val="0"/>
        </w:rPr>
        <w:t xml:space="preserve">These trainings </w:t>
      </w:r>
      <w:proofErr w:type="gramStart"/>
      <w:r w:rsidR="005E02CE" w:rsidRPr="009527D4">
        <w:rPr>
          <w:rFonts w:ascii="Arial" w:hAnsi="Arial"/>
          <w:b w:val="0"/>
        </w:rPr>
        <w:t>will be held</w:t>
      </w:r>
      <w:proofErr w:type="gramEnd"/>
      <w:r w:rsidR="005E02CE" w:rsidRPr="009527D4">
        <w:rPr>
          <w:rFonts w:ascii="Arial" w:hAnsi="Arial"/>
          <w:b w:val="0"/>
        </w:rPr>
        <w:t xml:space="preserve"> in continuation of TB-REP 2.0 technical assistance in 2019, which </w:t>
      </w:r>
      <w:r w:rsidR="0081038E" w:rsidRPr="009527D4">
        <w:rPr>
          <w:rFonts w:ascii="Arial" w:hAnsi="Arial"/>
          <w:b w:val="0"/>
        </w:rPr>
        <w:t>will be provided to suppor</w:t>
      </w:r>
      <w:r w:rsidR="005E02CE" w:rsidRPr="009527D4">
        <w:rPr>
          <w:rFonts w:ascii="Arial" w:hAnsi="Arial"/>
          <w:b w:val="0"/>
        </w:rPr>
        <w:t>t (</w:t>
      </w:r>
      <w:proofErr w:type="spellStart"/>
      <w:r w:rsidR="005E02CE" w:rsidRPr="009527D4">
        <w:rPr>
          <w:rFonts w:ascii="Arial" w:hAnsi="Arial"/>
          <w:b w:val="0"/>
        </w:rPr>
        <w:t>i</w:t>
      </w:r>
      <w:proofErr w:type="spellEnd"/>
      <w:r w:rsidR="005E02CE" w:rsidRPr="009527D4">
        <w:rPr>
          <w:rFonts w:ascii="Arial" w:hAnsi="Arial"/>
          <w:b w:val="0"/>
        </w:rPr>
        <w:t>) revision of the provider</w:t>
      </w:r>
      <w:r w:rsidR="0081038E" w:rsidRPr="009527D4">
        <w:rPr>
          <w:rFonts w:ascii="Arial" w:hAnsi="Arial"/>
          <w:b w:val="0"/>
        </w:rPr>
        <w:t xml:space="preserve"> payment mechanisms to improve efficiency </w:t>
      </w:r>
      <w:r w:rsidR="005E02CE" w:rsidRPr="009527D4">
        <w:rPr>
          <w:rFonts w:ascii="Arial" w:hAnsi="Arial"/>
          <w:b w:val="0"/>
        </w:rPr>
        <w:t xml:space="preserve">and promote </w:t>
      </w:r>
      <w:r w:rsidR="0081038E" w:rsidRPr="009527D4">
        <w:rPr>
          <w:rFonts w:ascii="Arial" w:hAnsi="Arial"/>
          <w:b w:val="0"/>
        </w:rPr>
        <w:t>patient-centered TB care delivery</w:t>
      </w:r>
      <w:r w:rsidR="005E02CE" w:rsidRPr="009527D4">
        <w:rPr>
          <w:rFonts w:ascii="Arial" w:hAnsi="Arial"/>
          <w:b w:val="0"/>
        </w:rPr>
        <w:t xml:space="preserve">; and </w:t>
      </w:r>
      <w:r w:rsidR="0081038E" w:rsidRPr="009527D4">
        <w:rPr>
          <w:rFonts w:ascii="Arial" w:hAnsi="Arial"/>
          <w:b w:val="0"/>
        </w:rPr>
        <w:t>(ii) development and introduction of the incentive</w:t>
      </w:r>
      <w:r w:rsidR="005E02CE" w:rsidRPr="009527D4">
        <w:rPr>
          <w:rFonts w:ascii="Arial" w:hAnsi="Arial"/>
          <w:b w:val="0"/>
        </w:rPr>
        <w:t xml:space="preserve">s’ mechanism to improve </w:t>
      </w:r>
      <w:r w:rsidR="0081038E" w:rsidRPr="009527D4">
        <w:rPr>
          <w:rFonts w:ascii="Arial" w:hAnsi="Arial"/>
          <w:b w:val="0"/>
        </w:rPr>
        <w:t>recruitment</w:t>
      </w:r>
      <w:r w:rsidR="005E02CE" w:rsidRPr="009527D4">
        <w:rPr>
          <w:rFonts w:ascii="Arial" w:hAnsi="Arial"/>
          <w:b w:val="0"/>
        </w:rPr>
        <w:t xml:space="preserve"> and </w:t>
      </w:r>
      <w:r w:rsidR="0081038E" w:rsidRPr="009527D4">
        <w:rPr>
          <w:rFonts w:ascii="Arial" w:hAnsi="Arial"/>
          <w:b w:val="0"/>
        </w:rPr>
        <w:t xml:space="preserve">retention </w:t>
      </w:r>
      <w:r w:rsidR="005E02CE" w:rsidRPr="009527D4">
        <w:rPr>
          <w:rFonts w:ascii="Arial" w:hAnsi="Arial"/>
          <w:b w:val="0"/>
        </w:rPr>
        <w:t xml:space="preserve">of TB service staff </w:t>
      </w:r>
      <w:r w:rsidR="0081038E" w:rsidRPr="009527D4">
        <w:rPr>
          <w:rFonts w:ascii="Arial" w:hAnsi="Arial"/>
          <w:b w:val="0"/>
        </w:rPr>
        <w:t>(doctors, nurses</w:t>
      </w:r>
      <w:r w:rsidR="005E02CE" w:rsidRPr="009527D4">
        <w:rPr>
          <w:rFonts w:ascii="Arial" w:hAnsi="Arial"/>
          <w:b w:val="0"/>
        </w:rPr>
        <w:t xml:space="preserve"> and </w:t>
      </w:r>
      <w:r w:rsidR="0081038E" w:rsidRPr="009527D4">
        <w:rPr>
          <w:rFonts w:ascii="Arial" w:hAnsi="Arial"/>
          <w:b w:val="0"/>
        </w:rPr>
        <w:t xml:space="preserve">laboratory </w:t>
      </w:r>
      <w:r w:rsidR="005E02CE" w:rsidRPr="009527D4">
        <w:rPr>
          <w:rFonts w:ascii="Arial" w:hAnsi="Arial"/>
          <w:b w:val="0"/>
        </w:rPr>
        <w:t>personnel</w:t>
      </w:r>
      <w:r w:rsidR="0081038E" w:rsidRPr="009527D4">
        <w:rPr>
          <w:rFonts w:ascii="Arial" w:hAnsi="Arial"/>
          <w:b w:val="0"/>
        </w:rPr>
        <w:t>)</w:t>
      </w:r>
      <w:r w:rsidR="00B63AFB" w:rsidRPr="009527D4">
        <w:rPr>
          <w:rFonts w:ascii="Arial" w:hAnsi="Arial"/>
          <w:b w:val="0"/>
        </w:rPr>
        <w:t>.</w:t>
      </w:r>
    </w:p>
    <w:p w14:paraId="4D147CF3" w14:textId="642E5705" w:rsidR="00BE30E4" w:rsidRPr="007645C2" w:rsidRDefault="00B63AFB" w:rsidP="00585E4F">
      <w:pPr>
        <w:spacing w:after="120" w:line="240" w:lineRule="auto"/>
        <w:jc w:val="both"/>
        <w:rPr>
          <w:rFonts w:ascii="Arial" w:hAnsi="Arial"/>
          <w:b w:val="0"/>
        </w:rPr>
      </w:pPr>
      <w:proofErr w:type="gramStart"/>
      <w:r w:rsidRPr="009527D4">
        <w:rPr>
          <w:rFonts w:ascii="Arial" w:hAnsi="Arial"/>
          <w:b w:val="0"/>
        </w:rPr>
        <w:t>This project proposal includes three assignments of external technical assistance, to perform evaluations of three key health system strengthening interventions aimed at improving the system’s performance for TB control, which were initiated within the ongoing TGF project</w:t>
      </w:r>
      <w:r w:rsidR="00BE30E4" w:rsidRPr="009527D4">
        <w:rPr>
          <w:rFonts w:ascii="Arial" w:hAnsi="Arial"/>
          <w:b w:val="0"/>
        </w:rPr>
        <w:t xml:space="preserve"> in three pilot regions (</w:t>
      </w:r>
      <w:proofErr w:type="spellStart"/>
      <w:r w:rsidR="00BE30E4" w:rsidRPr="009527D4">
        <w:rPr>
          <w:rFonts w:ascii="Arial" w:hAnsi="Arial"/>
          <w:b w:val="0"/>
        </w:rPr>
        <w:t>Akmola</w:t>
      </w:r>
      <w:proofErr w:type="spellEnd"/>
      <w:r w:rsidR="00BE30E4" w:rsidRPr="009527D4">
        <w:rPr>
          <w:rFonts w:ascii="Arial" w:hAnsi="Arial"/>
          <w:b w:val="0"/>
        </w:rPr>
        <w:t xml:space="preserve">, </w:t>
      </w:r>
      <w:proofErr w:type="spellStart"/>
      <w:r w:rsidR="00BE30E4" w:rsidRPr="009527D4">
        <w:rPr>
          <w:rFonts w:ascii="Arial" w:hAnsi="Arial"/>
          <w:b w:val="0"/>
        </w:rPr>
        <w:t>Aktobe</w:t>
      </w:r>
      <w:proofErr w:type="spellEnd"/>
      <w:r w:rsidR="00BE30E4" w:rsidRPr="009527D4">
        <w:rPr>
          <w:rFonts w:ascii="Arial" w:hAnsi="Arial"/>
          <w:b w:val="0"/>
        </w:rPr>
        <w:t xml:space="preserve"> and East Kazakhstan oblasts)</w:t>
      </w:r>
      <w:r w:rsidRPr="009527D4">
        <w:rPr>
          <w:rFonts w:ascii="Arial" w:hAnsi="Arial"/>
          <w:b w:val="0"/>
        </w:rPr>
        <w:t xml:space="preserve">: </w:t>
      </w:r>
      <w:r w:rsidR="001B4030" w:rsidRPr="009527D4">
        <w:rPr>
          <w:rFonts w:ascii="Arial" w:hAnsi="Arial"/>
          <w:b w:val="0"/>
        </w:rPr>
        <w:t>(</w:t>
      </w:r>
      <w:proofErr w:type="spellStart"/>
      <w:r w:rsidRPr="009527D4">
        <w:rPr>
          <w:rFonts w:ascii="Arial" w:hAnsi="Arial"/>
          <w:b w:val="0"/>
        </w:rPr>
        <w:t>i</w:t>
      </w:r>
      <w:proofErr w:type="spellEnd"/>
      <w:r w:rsidRPr="009527D4">
        <w:rPr>
          <w:rFonts w:ascii="Arial" w:hAnsi="Arial"/>
          <w:b w:val="0"/>
        </w:rPr>
        <w:t xml:space="preserve">) </w:t>
      </w:r>
      <w:r w:rsidR="00F64C3E" w:rsidRPr="009527D4">
        <w:rPr>
          <w:rFonts w:ascii="Arial" w:hAnsi="Arial"/>
          <w:b w:val="0"/>
        </w:rPr>
        <w:t>implementation of the outpatient TB care</w:t>
      </w:r>
      <w:r w:rsidRPr="009527D4">
        <w:rPr>
          <w:rFonts w:ascii="Arial" w:hAnsi="Arial"/>
          <w:b w:val="0"/>
        </w:rPr>
        <w:t xml:space="preserve"> delivery</w:t>
      </w:r>
      <w:r w:rsidR="00F64C3E" w:rsidRPr="009527D4">
        <w:rPr>
          <w:rFonts w:ascii="Arial" w:hAnsi="Arial"/>
          <w:b w:val="0"/>
        </w:rPr>
        <w:t xml:space="preserve"> model</w:t>
      </w:r>
      <w:r w:rsidRPr="009527D4">
        <w:rPr>
          <w:rFonts w:ascii="Arial" w:hAnsi="Arial"/>
          <w:b w:val="0"/>
        </w:rPr>
        <w:t xml:space="preserve"> (</w:t>
      </w:r>
      <w:r w:rsidR="00F64C3E" w:rsidRPr="009527D4">
        <w:rPr>
          <w:rFonts w:ascii="Arial" w:hAnsi="Arial"/>
          <w:b w:val="0"/>
        </w:rPr>
        <w:t xml:space="preserve">including </w:t>
      </w:r>
      <w:r w:rsidRPr="009527D4">
        <w:rPr>
          <w:rFonts w:ascii="Arial" w:hAnsi="Arial"/>
          <w:b w:val="0"/>
        </w:rPr>
        <w:t xml:space="preserve">DR-TB cases and </w:t>
      </w:r>
      <w:r w:rsidR="00F64C3E" w:rsidRPr="009527D4">
        <w:rPr>
          <w:rFonts w:ascii="Arial" w:hAnsi="Arial"/>
          <w:b w:val="0"/>
        </w:rPr>
        <w:t>children</w:t>
      </w:r>
      <w:r w:rsidRPr="009527D4">
        <w:rPr>
          <w:rFonts w:ascii="Arial" w:hAnsi="Arial"/>
          <w:b w:val="0"/>
        </w:rPr>
        <w:t xml:space="preserve">); </w:t>
      </w:r>
      <w:r w:rsidR="001B4030" w:rsidRPr="009527D4">
        <w:rPr>
          <w:rFonts w:ascii="Arial" w:hAnsi="Arial"/>
          <w:b w:val="0"/>
        </w:rPr>
        <w:t>(</w:t>
      </w:r>
      <w:r w:rsidRPr="009527D4">
        <w:rPr>
          <w:rFonts w:ascii="Arial" w:hAnsi="Arial"/>
          <w:b w:val="0"/>
        </w:rPr>
        <w:t xml:space="preserve">ii) intensified patient </w:t>
      </w:r>
      <w:r w:rsidR="00F64C3E" w:rsidRPr="009527D4">
        <w:rPr>
          <w:rFonts w:ascii="Arial" w:hAnsi="Arial"/>
          <w:b w:val="0"/>
        </w:rPr>
        <w:t xml:space="preserve">support </w:t>
      </w:r>
      <w:r w:rsidR="00BE30E4" w:rsidRPr="009527D4">
        <w:rPr>
          <w:rFonts w:ascii="Arial" w:hAnsi="Arial"/>
          <w:b w:val="0"/>
        </w:rPr>
        <w:t xml:space="preserve">and follow-up to improve adherence to DR-TB treatment; and </w:t>
      </w:r>
      <w:r w:rsidR="001B4030" w:rsidRPr="009527D4">
        <w:rPr>
          <w:rFonts w:ascii="Arial" w:hAnsi="Arial"/>
          <w:b w:val="0"/>
        </w:rPr>
        <w:t>(</w:t>
      </w:r>
      <w:r w:rsidR="00BE30E4" w:rsidRPr="009527D4">
        <w:rPr>
          <w:rFonts w:ascii="Arial" w:hAnsi="Arial"/>
          <w:b w:val="0"/>
        </w:rPr>
        <w:t>iii) optimization of hospitalization practices among TB and DR-TB patients.</w:t>
      </w:r>
      <w:proofErr w:type="gramEnd"/>
      <w:r w:rsidR="00BE30E4" w:rsidRPr="009527D4">
        <w:rPr>
          <w:rFonts w:ascii="Arial" w:hAnsi="Arial"/>
          <w:b w:val="0"/>
        </w:rPr>
        <w:t xml:space="preserve"> All these assignments </w:t>
      </w:r>
      <w:proofErr w:type="gramStart"/>
      <w:r w:rsidR="00BE30E4" w:rsidRPr="009527D4">
        <w:rPr>
          <w:rFonts w:ascii="Arial" w:hAnsi="Arial"/>
          <w:b w:val="0"/>
        </w:rPr>
        <w:t>are sought</w:t>
      </w:r>
      <w:proofErr w:type="gramEnd"/>
      <w:r w:rsidR="00BE30E4" w:rsidRPr="009527D4">
        <w:rPr>
          <w:rFonts w:ascii="Arial" w:hAnsi="Arial"/>
          <w:b w:val="0"/>
        </w:rPr>
        <w:t xml:space="preserve"> to critically evaluate the progress and challenges in implementation and inform future decisions for expanding the accumulated experience to other regions of the country. </w:t>
      </w:r>
      <w:proofErr w:type="gramStart"/>
      <w:r w:rsidR="00BE30E4" w:rsidRPr="009527D4">
        <w:rPr>
          <w:rFonts w:ascii="Arial" w:hAnsi="Arial"/>
          <w:b w:val="0"/>
        </w:rPr>
        <w:t xml:space="preserve">Based on the hospitalization assessment, a national plan for </w:t>
      </w:r>
      <w:r w:rsidR="00F64C3E" w:rsidRPr="009527D4">
        <w:rPr>
          <w:rFonts w:ascii="Arial" w:hAnsi="Arial"/>
          <w:b w:val="0"/>
        </w:rPr>
        <w:t xml:space="preserve">phased hospital infrastructure optimization </w:t>
      </w:r>
      <w:r w:rsidR="00BE30E4" w:rsidRPr="009527D4">
        <w:rPr>
          <w:rFonts w:ascii="Arial" w:hAnsi="Arial"/>
          <w:b w:val="0"/>
        </w:rPr>
        <w:t xml:space="preserve">for </w:t>
      </w:r>
      <w:r w:rsidR="00BE30E4" w:rsidRPr="009527D4">
        <w:rPr>
          <w:rFonts w:ascii="Arial" w:hAnsi="Arial"/>
          <w:b w:val="0"/>
        </w:rPr>
        <w:lastRenderedPageBreak/>
        <w:t xml:space="preserve">years 2021-2025 will be developed, and its realization will be further supported by the project by </w:t>
      </w:r>
      <w:r w:rsidR="00BE30E4" w:rsidRPr="007645C2">
        <w:rPr>
          <w:rFonts w:ascii="Arial" w:hAnsi="Arial"/>
          <w:b w:val="0"/>
        </w:rPr>
        <w:t xml:space="preserve">provision of </w:t>
      </w:r>
      <w:r w:rsidR="005E02CE" w:rsidRPr="007645C2">
        <w:rPr>
          <w:rFonts w:ascii="Arial" w:hAnsi="Arial"/>
          <w:b w:val="0"/>
        </w:rPr>
        <w:t xml:space="preserve">training </w:t>
      </w:r>
      <w:r w:rsidR="00BE30E4" w:rsidRPr="007645C2">
        <w:rPr>
          <w:rFonts w:ascii="Arial" w:hAnsi="Arial"/>
          <w:b w:val="0"/>
        </w:rPr>
        <w:t xml:space="preserve">for </w:t>
      </w:r>
      <w:r w:rsidR="005E02CE" w:rsidRPr="007645C2">
        <w:rPr>
          <w:rFonts w:ascii="Arial" w:hAnsi="Arial"/>
          <w:b w:val="0"/>
        </w:rPr>
        <w:t>the health care managers from oblasts in the implementation of th</w:t>
      </w:r>
      <w:r w:rsidR="00BE30E4" w:rsidRPr="007645C2">
        <w:rPr>
          <w:rFonts w:ascii="Arial" w:hAnsi="Arial"/>
          <w:b w:val="0"/>
        </w:rPr>
        <w:t>is plan, improving TB hospital performance and strengthening the links between different levels of service along the patient pathway and care continuum.</w:t>
      </w:r>
      <w:proofErr w:type="gramEnd"/>
    </w:p>
    <w:p w14:paraId="0E1C838A" w14:textId="1CCE90E4" w:rsidR="00346099" w:rsidRPr="007645C2" w:rsidRDefault="0004748A" w:rsidP="00585E4F">
      <w:pPr>
        <w:spacing w:after="120" w:line="240" w:lineRule="auto"/>
        <w:jc w:val="both"/>
        <w:rPr>
          <w:rFonts w:ascii="Arial" w:hAnsi="Arial"/>
          <w:b w:val="0"/>
        </w:rPr>
      </w:pPr>
      <w:r w:rsidRPr="007645C2">
        <w:rPr>
          <w:rFonts w:ascii="Arial" w:hAnsi="Arial"/>
          <w:b w:val="0"/>
        </w:rPr>
        <w:t xml:space="preserve">In line with the </w:t>
      </w:r>
      <w:r w:rsidR="003B54BE" w:rsidRPr="007645C2">
        <w:rPr>
          <w:rFonts w:ascii="Arial" w:hAnsi="Arial"/>
          <w:b w:val="0"/>
          <w:i/>
        </w:rPr>
        <w:t>State Program “Digital Kazakhstan”</w:t>
      </w:r>
      <w:r w:rsidR="003B54BE" w:rsidRPr="007645C2">
        <w:rPr>
          <w:rStyle w:val="FootnoteReference"/>
          <w:rFonts w:ascii="Arial" w:hAnsi="Arial" w:cs="Arial"/>
          <w:b w:val="0"/>
        </w:rPr>
        <w:footnoteReference w:id="10"/>
      </w:r>
      <w:r w:rsidR="003B54BE" w:rsidRPr="007645C2">
        <w:rPr>
          <w:rFonts w:ascii="Arial" w:hAnsi="Arial"/>
          <w:b w:val="0"/>
        </w:rPr>
        <w:t xml:space="preserve"> and the Ministry of Health’s priorit</w:t>
      </w:r>
      <w:r w:rsidR="00B6014C" w:rsidRPr="007645C2">
        <w:rPr>
          <w:rFonts w:ascii="Arial" w:hAnsi="Arial"/>
          <w:b w:val="0"/>
        </w:rPr>
        <w:t xml:space="preserve">y activities </w:t>
      </w:r>
      <w:r w:rsidR="003B54BE" w:rsidRPr="007645C2">
        <w:rPr>
          <w:rFonts w:ascii="Arial" w:hAnsi="Arial"/>
          <w:b w:val="0"/>
        </w:rPr>
        <w:t>for</w:t>
      </w:r>
      <w:r w:rsidR="00B6014C" w:rsidRPr="007645C2">
        <w:rPr>
          <w:rFonts w:ascii="Arial" w:hAnsi="Arial"/>
          <w:b w:val="0"/>
        </w:rPr>
        <w:t xml:space="preserve"> implementation </w:t>
      </w:r>
      <w:r w:rsidR="003B54BE" w:rsidRPr="007645C2">
        <w:rPr>
          <w:rFonts w:ascii="Arial" w:hAnsi="Arial"/>
          <w:b w:val="0"/>
        </w:rPr>
        <w:t xml:space="preserve">of </w:t>
      </w:r>
      <w:r w:rsidR="00B6014C" w:rsidRPr="007645C2">
        <w:rPr>
          <w:rFonts w:ascii="Arial" w:hAnsi="Arial"/>
          <w:b w:val="0"/>
        </w:rPr>
        <w:t xml:space="preserve">digital tools and systems in health care, support to the development of the </w:t>
      </w:r>
      <w:r w:rsidR="0081038E" w:rsidRPr="007645C2">
        <w:rPr>
          <w:rFonts w:ascii="Arial" w:hAnsi="Arial"/>
          <w:b w:val="0"/>
        </w:rPr>
        <w:t xml:space="preserve">Center for Clinical Mentoring and Advanced Training </w:t>
      </w:r>
      <w:r w:rsidR="00B6014C" w:rsidRPr="007645C2">
        <w:rPr>
          <w:rFonts w:ascii="Arial" w:hAnsi="Arial"/>
          <w:b w:val="0"/>
        </w:rPr>
        <w:t>at the NS</w:t>
      </w:r>
      <w:r w:rsidR="003F3250" w:rsidRPr="007645C2">
        <w:rPr>
          <w:rFonts w:ascii="Arial" w:hAnsi="Arial"/>
          <w:b w:val="0"/>
        </w:rPr>
        <w:t>CP</w:t>
      </w:r>
      <w:r w:rsidR="00B6014C" w:rsidRPr="007645C2">
        <w:rPr>
          <w:rFonts w:ascii="Arial" w:hAnsi="Arial"/>
          <w:b w:val="0"/>
        </w:rPr>
        <w:t xml:space="preserve"> is included in the application. </w:t>
      </w:r>
      <w:r w:rsidR="001E79FC" w:rsidRPr="007645C2">
        <w:rPr>
          <w:rFonts w:ascii="Arial" w:hAnsi="Arial"/>
          <w:b w:val="0"/>
        </w:rPr>
        <w:t xml:space="preserve">The NSCP has responsibilities to develop and certificate relevant </w:t>
      </w:r>
      <w:r w:rsidR="0097589E" w:rsidRPr="007645C2">
        <w:rPr>
          <w:rFonts w:ascii="Arial" w:hAnsi="Arial"/>
          <w:b w:val="0"/>
        </w:rPr>
        <w:t xml:space="preserve">distance learning </w:t>
      </w:r>
      <w:r w:rsidR="001E79FC" w:rsidRPr="007645C2">
        <w:rPr>
          <w:rFonts w:ascii="Arial" w:hAnsi="Arial"/>
          <w:b w:val="0"/>
        </w:rPr>
        <w:t>programs for postgraduate medical education curricula.</w:t>
      </w:r>
      <w:r w:rsidR="001E79FC" w:rsidRPr="007645C2">
        <w:rPr>
          <w:rFonts w:ascii="Arial" w:hAnsi="Arial"/>
          <w:b w:val="0"/>
          <w:color w:val="00B050"/>
        </w:rPr>
        <w:t xml:space="preserve"> </w:t>
      </w:r>
      <w:r w:rsidR="00B6014C" w:rsidRPr="007645C2">
        <w:rPr>
          <w:rFonts w:ascii="Arial" w:hAnsi="Arial"/>
          <w:b w:val="0"/>
        </w:rPr>
        <w:t>The Center will engage in conducting the distance learning education in TB and lung diseases clinical management for different categories of medical providers, including postgraduate students.</w:t>
      </w:r>
      <w:r w:rsidR="00346099" w:rsidRPr="007645C2">
        <w:rPr>
          <w:rFonts w:ascii="Arial" w:hAnsi="Arial"/>
          <w:b w:val="0"/>
        </w:rPr>
        <w:t xml:space="preserve"> </w:t>
      </w:r>
      <w:r w:rsidR="00B6014C" w:rsidRPr="007645C2">
        <w:rPr>
          <w:rFonts w:ascii="Arial" w:hAnsi="Arial"/>
          <w:b w:val="0"/>
        </w:rPr>
        <w:t xml:space="preserve">The proposal also foresees limited support for participation of key NTP staff in relevant </w:t>
      </w:r>
      <w:r w:rsidR="0081038E" w:rsidRPr="007645C2">
        <w:rPr>
          <w:rFonts w:ascii="Arial" w:hAnsi="Arial"/>
          <w:b w:val="0"/>
        </w:rPr>
        <w:t xml:space="preserve">international </w:t>
      </w:r>
      <w:r w:rsidR="00B6014C" w:rsidRPr="007645C2">
        <w:rPr>
          <w:rFonts w:ascii="Arial" w:hAnsi="Arial"/>
          <w:b w:val="0"/>
        </w:rPr>
        <w:t>conference</w:t>
      </w:r>
      <w:r w:rsidR="00346099" w:rsidRPr="007645C2">
        <w:rPr>
          <w:rFonts w:ascii="Arial" w:hAnsi="Arial"/>
          <w:b w:val="0"/>
        </w:rPr>
        <w:t>s</w:t>
      </w:r>
      <w:r w:rsidR="00B6014C" w:rsidRPr="007645C2">
        <w:rPr>
          <w:rFonts w:ascii="Arial" w:hAnsi="Arial"/>
          <w:b w:val="0"/>
        </w:rPr>
        <w:t xml:space="preserve"> and </w:t>
      </w:r>
      <w:r w:rsidR="0081038E" w:rsidRPr="007645C2">
        <w:rPr>
          <w:rFonts w:ascii="Arial" w:hAnsi="Arial"/>
          <w:b w:val="0"/>
        </w:rPr>
        <w:t>meetings abroad</w:t>
      </w:r>
      <w:r w:rsidR="00346099" w:rsidRPr="007645C2">
        <w:rPr>
          <w:rFonts w:ascii="Arial" w:hAnsi="Arial"/>
          <w:b w:val="0"/>
        </w:rPr>
        <w:t>.</w:t>
      </w:r>
    </w:p>
    <w:p w14:paraId="7FFE6477" w14:textId="5D17AE06" w:rsidR="00BE3E0E" w:rsidRPr="007645C2" w:rsidRDefault="00A05507" w:rsidP="00585E4F">
      <w:pPr>
        <w:spacing w:after="120" w:line="240" w:lineRule="auto"/>
        <w:jc w:val="both"/>
        <w:rPr>
          <w:rFonts w:ascii="Arial" w:hAnsi="Arial"/>
          <w:b w:val="0"/>
          <w:u w:val="single"/>
        </w:rPr>
      </w:pPr>
      <w:r w:rsidRPr="007645C2">
        <w:rPr>
          <w:rFonts w:ascii="Arial" w:hAnsi="Arial"/>
          <w:b w:val="0"/>
          <w:u w:val="single"/>
        </w:rPr>
        <w:t>Intervention 1.2. Program and data quality</w:t>
      </w:r>
    </w:p>
    <w:p w14:paraId="4920F17C" w14:textId="6104CF5A" w:rsidR="0081038E" w:rsidRPr="007645C2" w:rsidRDefault="0081038E" w:rsidP="00585E4F">
      <w:pPr>
        <w:spacing w:after="120" w:line="240" w:lineRule="auto"/>
        <w:jc w:val="both"/>
        <w:rPr>
          <w:rFonts w:ascii="Arial" w:hAnsi="Arial"/>
          <w:b w:val="0"/>
          <w:i/>
        </w:rPr>
      </w:pPr>
      <w:r w:rsidRPr="007645C2">
        <w:rPr>
          <w:rFonts w:ascii="Arial" w:hAnsi="Arial"/>
          <w:b w:val="0"/>
          <w:i/>
        </w:rPr>
        <w:t>Module: RSSH</w:t>
      </w:r>
      <w:r w:rsidR="00A05507" w:rsidRPr="007645C2">
        <w:rPr>
          <w:rFonts w:ascii="Arial" w:hAnsi="Arial"/>
          <w:b w:val="0"/>
          <w:i/>
        </w:rPr>
        <w:t xml:space="preserve"> – </w:t>
      </w:r>
      <w:r w:rsidRPr="007645C2">
        <w:rPr>
          <w:rFonts w:ascii="Arial" w:hAnsi="Arial"/>
          <w:b w:val="0"/>
          <w:i/>
        </w:rPr>
        <w:t>Health management information systems and M&amp;E</w:t>
      </w:r>
      <w:r w:rsidRPr="007645C2">
        <w:rPr>
          <w:rFonts w:ascii="Arial" w:hAnsi="Arial"/>
          <w:b w:val="0"/>
          <w:i/>
        </w:rPr>
        <w:tab/>
      </w:r>
      <w:r w:rsidRPr="007645C2">
        <w:rPr>
          <w:rFonts w:ascii="Arial" w:hAnsi="Arial"/>
          <w:b w:val="0"/>
          <w:i/>
        </w:rPr>
        <w:tab/>
      </w:r>
    </w:p>
    <w:p w14:paraId="3B120EFB" w14:textId="653CD61A" w:rsidR="00B24E5D" w:rsidRPr="007645C2" w:rsidRDefault="00A05507" w:rsidP="00585E4F">
      <w:pPr>
        <w:spacing w:after="120" w:line="240" w:lineRule="auto"/>
        <w:jc w:val="both"/>
        <w:rPr>
          <w:rFonts w:ascii="Arial" w:hAnsi="Arial"/>
          <w:b w:val="0"/>
        </w:rPr>
      </w:pPr>
      <w:r w:rsidRPr="007645C2">
        <w:rPr>
          <w:rFonts w:ascii="Arial" w:hAnsi="Arial"/>
          <w:b w:val="0"/>
        </w:rPr>
        <w:t xml:space="preserve">The project will </w:t>
      </w:r>
      <w:r w:rsidR="008A1283" w:rsidRPr="007645C2">
        <w:rPr>
          <w:rFonts w:ascii="Arial" w:hAnsi="Arial"/>
          <w:b w:val="0"/>
        </w:rPr>
        <w:t xml:space="preserve">cover </w:t>
      </w:r>
      <w:r w:rsidRPr="007645C2">
        <w:rPr>
          <w:rFonts w:ascii="Arial" w:hAnsi="Arial"/>
          <w:b w:val="0"/>
        </w:rPr>
        <w:t xml:space="preserve">supportive </w:t>
      </w:r>
      <w:r w:rsidR="0081038E" w:rsidRPr="007645C2">
        <w:rPr>
          <w:rFonts w:ascii="Arial" w:hAnsi="Arial"/>
          <w:b w:val="0"/>
        </w:rPr>
        <w:t xml:space="preserve">supervision / M&amp;E visits </w:t>
      </w:r>
      <w:r w:rsidRPr="007645C2">
        <w:rPr>
          <w:rFonts w:ascii="Arial" w:hAnsi="Arial"/>
          <w:b w:val="0"/>
        </w:rPr>
        <w:t xml:space="preserve">by the NTP central unit (NSCP) / PR to the regions, </w:t>
      </w:r>
      <w:r w:rsidR="0081038E" w:rsidRPr="007645C2">
        <w:rPr>
          <w:rFonts w:ascii="Arial" w:hAnsi="Arial"/>
          <w:b w:val="0"/>
        </w:rPr>
        <w:t xml:space="preserve">to oversee program implementation including innovative DR-TB management interventions. Each of 14 oblasts and 3 cities (Astana, Almaty and </w:t>
      </w:r>
      <w:proofErr w:type="spellStart"/>
      <w:r w:rsidR="0081038E" w:rsidRPr="007645C2">
        <w:rPr>
          <w:rFonts w:ascii="Arial" w:hAnsi="Arial"/>
          <w:b w:val="0"/>
        </w:rPr>
        <w:t>Shymkent</w:t>
      </w:r>
      <w:proofErr w:type="spellEnd"/>
      <w:r w:rsidR="0081038E" w:rsidRPr="007645C2">
        <w:rPr>
          <w:rFonts w:ascii="Arial" w:hAnsi="Arial"/>
          <w:b w:val="0"/>
        </w:rPr>
        <w:t>) will be visited once a year during Y</w:t>
      </w:r>
      <w:r w:rsidRPr="007645C2">
        <w:rPr>
          <w:rFonts w:ascii="Arial" w:hAnsi="Arial"/>
          <w:b w:val="0"/>
        </w:rPr>
        <w:t xml:space="preserve">ears </w:t>
      </w:r>
      <w:r w:rsidR="0081038E" w:rsidRPr="007645C2">
        <w:rPr>
          <w:rFonts w:ascii="Arial" w:hAnsi="Arial"/>
          <w:b w:val="0"/>
        </w:rPr>
        <w:t>1</w:t>
      </w:r>
      <w:r w:rsidRPr="007645C2">
        <w:rPr>
          <w:rFonts w:ascii="Arial" w:hAnsi="Arial"/>
          <w:b w:val="0"/>
        </w:rPr>
        <w:t xml:space="preserve"> and </w:t>
      </w:r>
      <w:r w:rsidR="0081038E" w:rsidRPr="007645C2">
        <w:rPr>
          <w:rFonts w:ascii="Arial" w:hAnsi="Arial"/>
          <w:b w:val="0"/>
        </w:rPr>
        <w:t>2</w:t>
      </w:r>
      <w:r w:rsidRPr="007645C2">
        <w:rPr>
          <w:rFonts w:ascii="Arial" w:hAnsi="Arial"/>
          <w:b w:val="0"/>
        </w:rPr>
        <w:t xml:space="preserve">; additional visits, including regional supervision within oblasts, </w:t>
      </w:r>
      <w:proofErr w:type="gramStart"/>
      <w:r w:rsidRPr="007645C2">
        <w:rPr>
          <w:rFonts w:ascii="Arial" w:hAnsi="Arial"/>
          <w:b w:val="0"/>
        </w:rPr>
        <w:t>will be covered</w:t>
      </w:r>
      <w:proofErr w:type="gramEnd"/>
      <w:r w:rsidRPr="007645C2">
        <w:rPr>
          <w:rFonts w:ascii="Arial" w:hAnsi="Arial"/>
          <w:b w:val="0"/>
        </w:rPr>
        <w:t xml:space="preserve"> from domestic sources. </w:t>
      </w:r>
      <w:r w:rsidR="0081038E" w:rsidRPr="007645C2">
        <w:rPr>
          <w:rFonts w:ascii="Arial" w:hAnsi="Arial"/>
          <w:b w:val="0"/>
        </w:rPr>
        <w:t xml:space="preserve">Program coordination meetings </w:t>
      </w:r>
      <w:proofErr w:type="gramStart"/>
      <w:r w:rsidR="0081038E" w:rsidRPr="007645C2">
        <w:rPr>
          <w:rFonts w:ascii="Arial" w:hAnsi="Arial"/>
          <w:b w:val="0"/>
        </w:rPr>
        <w:t xml:space="preserve">will be </w:t>
      </w:r>
      <w:r w:rsidRPr="007645C2">
        <w:rPr>
          <w:rFonts w:ascii="Arial" w:hAnsi="Arial"/>
          <w:b w:val="0"/>
        </w:rPr>
        <w:t>supported</w:t>
      </w:r>
      <w:proofErr w:type="gramEnd"/>
      <w:r w:rsidRPr="007645C2">
        <w:rPr>
          <w:rFonts w:ascii="Arial" w:hAnsi="Arial"/>
          <w:b w:val="0"/>
        </w:rPr>
        <w:t xml:space="preserve"> </w:t>
      </w:r>
      <w:r w:rsidR="0081038E" w:rsidRPr="007645C2">
        <w:rPr>
          <w:rFonts w:ascii="Arial" w:hAnsi="Arial"/>
          <w:b w:val="0"/>
        </w:rPr>
        <w:t xml:space="preserve">in </w:t>
      </w:r>
      <w:r w:rsidRPr="007645C2">
        <w:rPr>
          <w:rFonts w:ascii="Arial" w:hAnsi="Arial"/>
          <w:b w:val="0"/>
        </w:rPr>
        <w:t xml:space="preserve">Years 1-2 </w:t>
      </w:r>
      <w:r w:rsidR="0081038E" w:rsidRPr="007645C2">
        <w:rPr>
          <w:rFonts w:ascii="Arial" w:hAnsi="Arial"/>
          <w:b w:val="0"/>
        </w:rPr>
        <w:t xml:space="preserve">at the </w:t>
      </w:r>
      <w:r w:rsidRPr="007645C2">
        <w:rPr>
          <w:rFonts w:ascii="Arial" w:hAnsi="Arial"/>
          <w:b w:val="0"/>
        </w:rPr>
        <w:t xml:space="preserve">NSCP, </w:t>
      </w:r>
      <w:r w:rsidR="0081038E" w:rsidRPr="007645C2">
        <w:rPr>
          <w:rFonts w:ascii="Arial" w:hAnsi="Arial"/>
          <w:b w:val="0"/>
        </w:rPr>
        <w:t xml:space="preserve">to discuss the </w:t>
      </w:r>
      <w:r w:rsidRPr="007645C2">
        <w:rPr>
          <w:rFonts w:ascii="Arial" w:hAnsi="Arial"/>
          <w:b w:val="0"/>
        </w:rPr>
        <w:t xml:space="preserve">implementation progress and plan actions to address the challenges identified. </w:t>
      </w:r>
    </w:p>
    <w:p w14:paraId="44E4EB5C" w14:textId="00B3DCCF" w:rsidR="00B24E5D" w:rsidRPr="007645C2" w:rsidRDefault="0081038E" w:rsidP="00585E4F">
      <w:pPr>
        <w:spacing w:after="120" w:line="240" w:lineRule="auto"/>
        <w:jc w:val="both"/>
        <w:rPr>
          <w:rFonts w:ascii="Arial" w:hAnsi="Arial"/>
          <w:b w:val="0"/>
        </w:rPr>
      </w:pPr>
      <w:r w:rsidRPr="007645C2">
        <w:rPr>
          <w:rFonts w:ascii="Arial" w:hAnsi="Arial"/>
          <w:b w:val="0"/>
        </w:rPr>
        <w:t xml:space="preserve">A national consultant </w:t>
      </w:r>
      <w:proofErr w:type="gramStart"/>
      <w:r w:rsidRPr="007645C2">
        <w:rPr>
          <w:rFonts w:ascii="Arial" w:hAnsi="Arial"/>
          <w:b w:val="0"/>
        </w:rPr>
        <w:t>will be employed</w:t>
      </w:r>
      <w:proofErr w:type="gramEnd"/>
      <w:r w:rsidRPr="007645C2">
        <w:rPr>
          <w:rFonts w:ascii="Arial" w:hAnsi="Arial"/>
          <w:b w:val="0"/>
        </w:rPr>
        <w:t xml:space="preserve"> to perform maintenance of the </w:t>
      </w:r>
      <w:r w:rsidR="00A05507" w:rsidRPr="007645C2">
        <w:rPr>
          <w:rFonts w:ascii="Arial" w:hAnsi="Arial"/>
          <w:b w:val="0"/>
        </w:rPr>
        <w:t xml:space="preserve">updated </w:t>
      </w:r>
      <w:r w:rsidRPr="007645C2">
        <w:rPr>
          <w:rFonts w:ascii="Arial" w:hAnsi="Arial"/>
          <w:b w:val="0"/>
        </w:rPr>
        <w:t xml:space="preserve">electronic national TB </w:t>
      </w:r>
      <w:r w:rsidR="00A05507" w:rsidRPr="007645C2">
        <w:rPr>
          <w:rFonts w:ascii="Arial" w:hAnsi="Arial"/>
          <w:b w:val="0"/>
        </w:rPr>
        <w:t>register (TGF support is sought during the first two years of the new grant).</w:t>
      </w:r>
    </w:p>
    <w:p w14:paraId="446EB296" w14:textId="37A3F439" w:rsidR="00206836" w:rsidRPr="007645C2" w:rsidRDefault="0081038E" w:rsidP="00585E4F">
      <w:pPr>
        <w:spacing w:after="120" w:line="240" w:lineRule="auto"/>
        <w:jc w:val="both"/>
        <w:rPr>
          <w:rFonts w:ascii="Arial" w:hAnsi="Arial"/>
          <w:b w:val="0"/>
        </w:rPr>
      </w:pPr>
      <w:r w:rsidRPr="007645C2">
        <w:rPr>
          <w:rFonts w:ascii="Arial" w:hAnsi="Arial"/>
          <w:b w:val="0"/>
        </w:rPr>
        <w:t xml:space="preserve">The </w:t>
      </w:r>
      <w:r w:rsidR="00B24E5D" w:rsidRPr="007645C2">
        <w:rPr>
          <w:rFonts w:ascii="Arial" w:hAnsi="Arial"/>
          <w:b w:val="0"/>
        </w:rPr>
        <w:t xml:space="preserve">application includes support to six operational research </w:t>
      </w:r>
      <w:r w:rsidR="002662F2" w:rsidRPr="007645C2">
        <w:rPr>
          <w:rFonts w:ascii="Arial" w:hAnsi="Arial"/>
          <w:b w:val="0"/>
        </w:rPr>
        <w:t xml:space="preserve">(OR) </w:t>
      </w:r>
      <w:r w:rsidR="00B24E5D" w:rsidRPr="007645C2">
        <w:rPr>
          <w:rFonts w:ascii="Arial" w:hAnsi="Arial"/>
          <w:b w:val="0"/>
        </w:rPr>
        <w:t>studies in priority program areas related to DR-TB case detection and case management, a</w:t>
      </w:r>
      <w:r w:rsidR="002662F2" w:rsidRPr="007645C2">
        <w:rPr>
          <w:rFonts w:ascii="Arial" w:hAnsi="Arial"/>
          <w:b w:val="0"/>
        </w:rPr>
        <w:t xml:space="preserve">s well as to the interventions in populations at risk. </w:t>
      </w:r>
      <w:proofErr w:type="gramStart"/>
      <w:r w:rsidR="002662F2" w:rsidRPr="007645C2">
        <w:rPr>
          <w:rFonts w:ascii="Arial" w:hAnsi="Arial"/>
          <w:b w:val="0"/>
        </w:rPr>
        <w:t xml:space="preserve">The </w:t>
      </w:r>
      <w:r w:rsidR="00057B98" w:rsidRPr="007645C2">
        <w:rPr>
          <w:rFonts w:ascii="Arial" w:hAnsi="Arial"/>
          <w:b w:val="0"/>
        </w:rPr>
        <w:t xml:space="preserve">OR studies will be conducted in the following areas: </w:t>
      </w:r>
      <w:r w:rsidR="002662F2" w:rsidRPr="007645C2">
        <w:rPr>
          <w:rFonts w:ascii="Arial" w:hAnsi="Arial"/>
          <w:b w:val="0"/>
        </w:rPr>
        <w:t xml:space="preserve">1) Referral patterns and </w:t>
      </w:r>
      <w:r w:rsidRPr="007645C2">
        <w:rPr>
          <w:rFonts w:ascii="Arial" w:hAnsi="Arial"/>
          <w:b w:val="0"/>
        </w:rPr>
        <w:t xml:space="preserve">delays in </w:t>
      </w:r>
      <w:r w:rsidR="002662F2" w:rsidRPr="007645C2">
        <w:rPr>
          <w:rFonts w:ascii="Arial" w:hAnsi="Arial"/>
          <w:b w:val="0"/>
        </w:rPr>
        <w:t xml:space="preserve">the provision of DR-TB diagnostic </w:t>
      </w:r>
      <w:r w:rsidRPr="007645C2">
        <w:rPr>
          <w:rFonts w:ascii="Arial" w:hAnsi="Arial"/>
          <w:b w:val="0"/>
        </w:rPr>
        <w:t xml:space="preserve">and treatment </w:t>
      </w:r>
      <w:r w:rsidR="002662F2" w:rsidRPr="007645C2">
        <w:rPr>
          <w:rFonts w:ascii="Arial" w:hAnsi="Arial"/>
          <w:b w:val="0"/>
        </w:rPr>
        <w:t xml:space="preserve">services; 2) Survey of resistance to </w:t>
      </w:r>
      <w:r w:rsidRPr="007645C2">
        <w:rPr>
          <w:rFonts w:ascii="Arial" w:hAnsi="Arial"/>
          <w:b w:val="0"/>
        </w:rPr>
        <w:t>secon</w:t>
      </w:r>
      <w:r w:rsidR="002662F2" w:rsidRPr="007645C2">
        <w:rPr>
          <w:rFonts w:ascii="Arial" w:hAnsi="Arial"/>
          <w:b w:val="0"/>
        </w:rPr>
        <w:t>d-</w:t>
      </w:r>
      <w:r w:rsidRPr="007645C2">
        <w:rPr>
          <w:rFonts w:ascii="Arial" w:hAnsi="Arial"/>
          <w:b w:val="0"/>
        </w:rPr>
        <w:t xml:space="preserve">line </w:t>
      </w:r>
      <w:r w:rsidR="002662F2" w:rsidRPr="007645C2">
        <w:rPr>
          <w:rFonts w:ascii="Arial" w:hAnsi="Arial"/>
          <w:b w:val="0"/>
        </w:rPr>
        <w:t xml:space="preserve">anti-TB </w:t>
      </w:r>
      <w:r w:rsidRPr="007645C2">
        <w:rPr>
          <w:rFonts w:ascii="Arial" w:hAnsi="Arial"/>
          <w:b w:val="0"/>
        </w:rPr>
        <w:t xml:space="preserve">drugs </w:t>
      </w:r>
      <w:r w:rsidR="002662F2" w:rsidRPr="007645C2">
        <w:rPr>
          <w:rFonts w:ascii="Arial" w:hAnsi="Arial"/>
          <w:b w:val="0"/>
        </w:rPr>
        <w:t>among RR/MDR-TB patients; 3) E</w:t>
      </w:r>
      <w:r w:rsidRPr="007645C2">
        <w:rPr>
          <w:rFonts w:ascii="Arial" w:hAnsi="Arial"/>
          <w:b w:val="0"/>
        </w:rPr>
        <w:t>ff</w:t>
      </w:r>
      <w:r w:rsidR="002662F2" w:rsidRPr="007645C2">
        <w:rPr>
          <w:rFonts w:ascii="Arial" w:hAnsi="Arial"/>
          <w:b w:val="0"/>
        </w:rPr>
        <w:t xml:space="preserve">ectiveness and efficiency of the use of </w:t>
      </w:r>
      <w:proofErr w:type="spellStart"/>
      <w:r w:rsidR="002662F2" w:rsidRPr="007645C2">
        <w:rPr>
          <w:rFonts w:ascii="Arial" w:hAnsi="Arial"/>
          <w:b w:val="0"/>
        </w:rPr>
        <w:t>Xpert</w:t>
      </w:r>
      <w:proofErr w:type="spellEnd"/>
      <w:r w:rsidR="002662F2" w:rsidRPr="007645C2">
        <w:rPr>
          <w:rFonts w:ascii="Arial" w:hAnsi="Arial"/>
          <w:b w:val="0"/>
        </w:rPr>
        <w:t xml:space="preserve"> MTB/RIF at the district level; </w:t>
      </w:r>
      <w:r w:rsidR="00206836" w:rsidRPr="007645C2">
        <w:rPr>
          <w:rFonts w:ascii="Arial" w:hAnsi="Arial"/>
          <w:b w:val="0"/>
        </w:rPr>
        <w:t>4) Administration of modified shorter regimens for treatment of RR/MDR-TB cases without resistance to second-line drugs;  5</w:t>
      </w:r>
      <w:r w:rsidR="002662F2" w:rsidRPr="007645C2">
        <w:rPr>
          <w:rFonts w:ascii="Arial" w:hAnsi="Arial"/>
          <w:b w:val="0"/>
        </w:rPr>
        <w:t xml:space="preserve">) </w:t>
      </w:r>
      <w:r w:rsidR="00057B98" w:rsidRPr="007645C2">
        <w:rPr>
          <w:rFonts w:ascii="Arial" w:hAnsi="Arial"/>
          <w:b w:val="0"/>
        </w:rPr>
        <w:t xml:space="preserve">TB screening and preventive treatment for latent TB infection among </w:t>
      </w:r>
      <w:r w:rsidRPr="007645C2">
        <w:rPr>
          <w:rFonts w:ascii="Arial" w:hAnsi="Arial"/>
          <w:b w:val="0"/>
        </w:rPr>
        <w:t>contacts</w:t>
      </w:r>
      <w:r w:rsidR="00057B98" w:rsidRPr="007645C2">
        <w:rPr>
          <w:rFonts w:ascii="Arial" w:hAnsi="Arial"/>
          <w:b w:val="0"/>
        </w:rPr>
        <w:t xml:space="preserve"> of DR-TB patients; </w:t>
      </w:r>
      <w:r w:rsidR="00206836" w:rsidRPr="007645C2">
        <w:rPr>
          <w:rFonts w:ascii="Arial" w:hAnsi="Arial"/>
          <w:b w:val="0"/>
        </w:rPr>
        <w:t>and 6</w:t>
      </w:r>
      <w:r w:rsidR="00057B98" w:rsidRPr="007645C2">
        <w:rPr>
          <w:rFonts w:ascii="Arial" w:hAnsi="Arial"/>
          <w:b w:val="0"/>
        </w:rPr>
        <w:t xml:space="preserve">) Active </w:t>
      </w:r>
      <w:r w:rsidR="00206836" w:rsidRPr="007645C2">
        <w:rPr>
          <w:rFonts w:ascii="Arial" w:hAnsi="Arial"/>
          <w:b w:val="0"/>
        </w:rPr>
        <w:t xml:space="preserve">TB and DR-TB </w:t>
      </w:r>
      <w:r w:rsidR="00057B98" w:rsidRPr="007645C2">
        <w:rPr>
          <w:rFonts w:ascii="Arial" w:hAnsi="Arial"/>
          <w:b w:val="0"/>
        </w:rPr>
        <w:t xml:space="preserve">case finding </w:t>
      </w:r>
      <w:r w:rsidR="00206836" w:rsidRPr="007645C2">
        <w:rPr>
          <w:rFonts w:ascii="Arial" w:hAnsi="Arial"/>
          <w:b w:val="0"/>
        </w:rPr>
        <w:t xml:space="preserve">and preventive treatment </w:t>
      </w:r>
      <w:r w:rsidR="00057B98" w:rsidRPr="007645C2">
        <w:rPr>
          <w:rFonts w:ascii="Arial" w:hAnsi="Arial"/>
          <w:b w:val="0"/>
        </w:rPr>
        <w:t>in high-risk population groups</w:t>
      </w:r>
      <w:r w:rsidR="00206836" w:rsidRPr="007645C2">
        <w:rPr>
          <w:rFonts w:ascii="Arial" w:hAnsi="Arial"/>
          <w:b w:val="0"/>
        </w:rPr>
        <w:t>.</w:t>
      </w:r>
      <w:proofErr w:type="gramEnd"/>
      <w:r w:rsidR="00206836" w:rsidRPr="007645C2">
        <w:rPr>
          <w:rFonts w:ascii="Arial" w:hAnsi="Arial"/>
          <w:b w:val="0"/>
        </w:rPr>
        <w:t xml:space="preserve"> The studies </w:t>
      </w:r>
      <w:proofErr w:type="gramStart"/>
      <w:r w:rsidR="00206836" w:rsidRPr="007645C2">
        <w:rPr>
          <w:rFonts w:ascii="Arial" w:hAnsi="Arial"/>
          <w:b w:val="0"/>
        </w:rPr>
        <w:t>will be performed</w:t>
      </w:r>
      <w:proofErr w:type="gramEnd"/>
      <w:r w:rsidR="00206836" w:rsidRPr="007645C2">
        <w:rPr>
          <w:rFonts w:ascii="Arial" w:hAnsi="Arial"/>
          <w:b w:val="0"/>
        </w:rPr>
        <w:t xml:space="preserve"> by the National Scientific Center of </w:t>
      </w:r>
      <w:proofErr w:type="spellStart"/>
      <w:r w:rsidR="00206836" w:rsidRPr="007645C2">
        <w:rPr>
          <w:rFonts w:ascii="Arial" w:hAnsi="Arial"/>
          <w:b w:val="0"/>
        </w:rPr>
        <w:t>Phthisiopulmonology</w:t>
      </w:r>
      <w:proofErr w:type="spellEnd"/>
      <w:r w:rsidR="00206836" w:rsidRPr="007645C2">
        <w:rPr>
          <w:rFonts w:ascii="Arial" w:hAnsi="Arial"/>
          <w:b w:val="0"/>
        </w:rPr>
        <w:t xml:space="preserve"> in collaboration with the Department of </w:t>
      </w:r>
      <w:proofErr w:type="spellStart"/>
      <w:r w:rsidR="00206836" w:rsidRPr="007645C2">
        <w:rPr>
          <w:rFonts w:ascii="Arial" w:hAnsi="Arial"/>
          <w:b w:val="0"/>
        </w:rPr>
        <w:t>Phthisiopulmonology</w:t>
      </w:r>
      <w:proofErr w:type="spellEnd"/>
      <w:r w:rsidR="00D3661E" w:rsidRPr="007645C2">
        <w:rPr>
          <w:rFonts w:ascii="Arial" w:hAnsi="Arial"/>
          <w:b w:val="0"/>
        </w:rPr>
        <w:t xml:space="preserve"> of the National Medical University “S. </w:t>
      </w:r>
      <w:proofErr w:type="spellStart"/>
      <w:r w:rsidR="00D3661E" w:rsidRPr="007645C2">
        <w:rPr>
          <w:rFonts w:ascii="Arial" w:hAnsi="Arial"/>
          <w:b w:val="0"/>
        </w:rPr>
        <w:t>Asfendyarov</w:t>
      </w:r>
      <w:proofErr w:type="spellEnd"/>
      <w:r w:rsidR="00D3661E" w:rsidRPr="007645C2">
        <w:rPr>
          <w:rFonts w:ascii="Arial" w:hAnsi="Arial"/>
          <w:b w:val="0"/>
        </w:rPr>
        <w:t>” and other partners as relevant</w:t>
      </w:r>
      <w:r w:rsidR="00206836" w:rsidRPr="007645C2">
        <w:rPr>
          <w:rFonts w:ascii="Arial" w:hAnsi="Arial"/>
          <w:b w:val="0"/>
        </w:rPr>
        <w:t xml:space="preserve">. The studies’ results will inform the NTP decisions in DR-TB </w:t>
      </w:r>
      <w:r w:rsidR="00D3661E" w:rsidRPr="007645C2">
        <w:rPr>
          <w:rFonts w:ascii="Arial" w:hAnsi="Arial"/>
          <w:b w:val="0"/>
        </w:rPr>
        <w:t>management and addressing the needs of vulnerable and at-risk population groups in line with the new WHO guidance and taking into account the country context including the processes of transition from the Global Fund.</w:t>
      </w:r>
    </w:p>
    <w:p w14:paraId="0235AC6D" w14:textId="15654A31" w:rsidR="00D3661E" w:rsidRPr="007645C2" w:rsidRDefault="00D45C19" w:rsidP="00585E4F">
      <w:pPr>
        <w:spacing w:after="120" w:line="240" w:lineRule="auto"/>
        <w:ind w:left="1440" w:hanging="1440"/>
        <w:jc w:val="both"/>
        <w:rPr>
          <w:rFonts w:ascii="Arial" w:hAnsi="Arial"/>
        </w:rPr>
      </w:pPr>
      <w:r w:rsidRPr="007645C2">
        <w:rPr>
          <w:rFonts w:ascii="Arial" w:hAnsi="Arial"/>
        </w:rPr>
        <w:t xml:space="preserve">Objective </w:t>
      </w:r>
      <w:proofErr w:type="gramStart"/>
      <w:r w:rsidRPr="007645C2">
        <w:rPr>
          <w:rFonts w:ascii="Arial" w:hAnsi="Arial"/>
        </w:rPr>
        <w:t>2</w:t>
      </w:r>
      <w:proofErr w:type="gramEnd"/>
      <w:r w:rsidR="00D3661E" w:rsidRPr="007645C2">
        <w:rPr>
          <w:rFonts w:ascii="Arial" w:hAnsi="Arial"/>
        </w:rPr>
        <w:t>.</w:t>
      </w:r>
      <w:r w:rsidR="00D3661E" w:rsidRPr="007645C2">
        <w:rPr>
          <w:rFonts w:ascii="Arial" w:hAnsi="Arial"/>
        </w:rPr>
        <w:tab/>
      </w:r>
      <w:r w:rsidRPr="007645C2">
        <w:rPr>
          <w:rFonts w:ascii="Arial" w:hAnsi="Arial"/>
        </w:rPr>
        <w:t xml:space="preserve">To </w:t>
      </w:r>
      <w:r w:rsidR="009413DD" w:rsidRPr="007645C2">
        <w:rPr>
          <w:rFonts w:ascii="Arial" w:hAnsi="Arial"/>
        </w:rPr>
        <w:t>sustain</w:t>
      </w:r>
      <w:r w:rsidRPr="007645C2">
        <w:rPr>
          <w:rFonts w:ascii="Arial" w:hAnsi="Arial"/>
        </w:rPr>
        <w:t xml:space="preserve"> universal access to quality and people-centered DR-TB diagnosis</w:t>
      </w:r>
      <w:r w:rsidR="009413DD" w:rsidRPr="007645C2">
        <w:rPr>
          <w:rFonts w:ascii="Arial" w:hAnsi="Arial"/>
        </w:rPr>
        <w:t>, treatment and prevention</w:t>
      </w:r>
    </w:p>
    <w:p w14:paraId="602482AD" w14:textId="0AA3753D" w:rsidR="00D3661E" w:rsidRPr="007645C2" w:rsidRDefault="009413DD" w:rsidP="00585E4F">
      <w:pPr>
        <w:spacing w:after="120" w:line="240" w:lineRule="auto"/>
        <w:jc w:val="both"/>
        <w:rPr>
          <w:rFonts w:ascii="Arial" w:hAnsi="Arial"/>
          <w:b w:val="0"/>
        </w:rPr>
      </w:pPr>
      <w:r w:rsidRPr="007645C2">
        <w:rPr>
          <w:rFonts w:ascii="Arial" w:hAnsi="Arial"/>
          <w:b w:val="0"/>
        </w:rPr>
        <w:t>U</w:t>
      </w:r>
      <w:r w:rsidR="00D3661E" w:rsidRPr="007645C2">
        <w:rPr>
          <w:rFonts w:ascii="Arial" w:hAnsi="Arial"/>
          <w:b w:val="0"/>
        </w:rPr>
        <w:t xml:space="preserve">nder this </w:t>
      </w:r>
      <w:r w:rsidRPr="007645C2">
        <w:rPr>
          <w:rFonts w:ascii="Arial" w:hAnsi="Arial"/>
          <w:b w:val="0"/>
        </w:rPr>
        <w:t xml:space="preserve">Objective, targeted support </w:t>
      </w:r>
      <w:proofErr w:type="gramStart"/>
      <w:r w:rsidRPr="007645C2">
        <w:rPr>
          <w:rFonts w:ascii="Arial" w:hAnsi="Arial"/>
          <w:b w:val="0"/>
        </w:rPr>
        <w:t>is requested</w:t>
      </w:r>
      <w:proofErr w:type="gramEnd"/>
      <w:r w:rsidRPr="007645C2">
        <w:rPr>
          <w:rFonts w:ascii="Arial" w:hAnsi="Arial"/>
          <w:b w:val="0"/>
        </w:rPr>
        <w:t xml:space="preserve"> for aligning the DR-TB diagnostic and treatment services with the up-to-date international policies and practices</w:t>
      </w:r>
      <w:r w:rsidR="00AA07F3" w:rsidRPr="007645C2">
        <w:rPr>
          <w:rFonts w:ascii="Arial" w:hAnsi="Arial"/>
          <w:b w:val="0"/>
        </w:rPr>
        <w:t>, in particular, the new WHO guidelines for DR-TB management,</w:t>
      </w:r>
      <w:r w:rsidRPr="007645C2">
        <w:rPr>
          <w:rFonts w:ascii="Arial" w:hAnsi="Arial"/>
          <w:b w:val="0"/>
        </w:rPr>
        <w:t xml:space="preserve"> and the needs of at-risk populations in view of transition and sustainability</w:t>
      </w:r>
      <w:r w:rsidR="00AA07F3" w:rsidRPr="007645C2">
        <w:rPr>
          <w:rFonts w:ascii="Arial" w:hAnsi="Arial"/>
          <w:b w:val="0"/>
        </w:rPr>
        <w:t xml:space="preserve">. Special attention </w:t>
      </w:r>
      <w:proofErr w:type="gramStart"/>
      <w:r w:rsidR="00AA07F3" w:rsidRPr="007645C2">
        <w:rPr>
          <w:rFonts w:ascii="Arial" w:hAnsi="Arial"/>
          <w:b w:val="0"/>
        </w:rPr>
        <w:t>is paid</w:t>
      </w:r>
      <w:proofErr w:type="gramEnd"/>
      <w:r w:rsidR="00AA07F3" w:rsidRPr="007645C2">
        <w:rPr>
          <w:rFonts w:ascii="Arial" w:hAnsi="Arial"/>
          <w:b w:val="0"/>
        </w:rPr>
        <w:t xml:space="preserve"> to upholding successful experiences in empowering people and communities for obtaining accessible and high-quality TB care through broader coalitions to end TB and active involvement of civil society / non-governmental organizations. </w:t>
      </w:r>
    </w:p>
    <w:p w14:paraId="73B5FFB6" w14:textId="028547F3" w:rsidR="00D3661E" w:rsidRPr="007645C2" w:rsidRDefault="004F5714" w:rsidP="00585E4F">
      <w:pPr>
        <w:spacing w:after="120" w:line="240" w:lineRule="auto"/>
        <w:jc w:val="both"/>
        <w:rPr>
          <w:rFonts w:ascii="Arial" w:hAnsi="Arial"/>
          <w:b w:val="0"/>
          <w:u w:val="single"/>
        </w:rPr>
      </w:pPr>
      <w:r w:rsidRPr="007645C2">
        <w:rPr>
          <w:rFonts w:ascii="Arial" w:hAnsi="Arial"/>
          <w:b w:val="0"/>
          <w:u w:val="single"/>
        </w:rPr>
        <w:lastRenderedPageBreak/>
        <w:t>Intervention 2</w:t>
      </w:r>
      <w:r w:rsidR="00D3661E" w:rsidRPr="007645C2">
        <w:rPr>
          <w:rFonts w:ascii="Arial" w:hAnsi="Arial"/>
          <w:b w:val="0"/>
          <w:u w:val="single"/>
        </w:rPr>
        <w:t xml:space="preserve">.1. </w:t>
      </w:r>
      <w:r w:rsidR="00D45C19" w:rsidRPr="007645C2">
        <w:rPr>
          <w:rFonts w:ascii="Arial" w:hAnsi="Arial"/>
          <w:b w:val="0"/>
          <w:u w:val="single"/>
        </w:rPr>
        <w:t>Case detection and diagnosis: MDR-TB</w:t>
      </w:r>
    </w:p>
    <w:p w14:paraId="58331FA2" w14:textId="77777777" w:rsidR="00D45C19" w:rsidRPr="007645C2" w:rsidRDefault="00D3661E" w:rsidP="00585E4F">
      <w:pPr>
        <w:spacing w:after="120" w:line="240" w:lineRule="auto"/>
        <w:jc w:val="both"/>
        <w:rPr>
          <w:rFonts w:ascii="Arial" w:hAnsi="Arial"/>
          <w:b w:val="0"/>
          <w:i/>
        </w:rPr>
      </w:pPr>
      <w:r w:rsidRPr="007645C2">
        <w:rPr>
          <w:rFonts w:ascii="Arial" w:hAnsi="Arial"/>
          <w:b w:val="0"/>
          <w:i/>
        </w:rPr>
        <w:t>Module:</w:t>
      </w:r>
      <w:r w:rsidRPr="007645C2">
        <w:rPr>
          <w:rFonts w:ascii="Arial" w:hAnsi="Arial"/>
          <w:b w:val="0"/>
          <w:i/>
        </w:rPr>
        <w:tab/>
        <w:t xml:space="preserve"> </w:t>
      </w:r>
      <w:r w:rsidR="00D45C19" w:rsidRPr="007645C2">
        <w:rPr>
          <w:rFonts w:ascii="Arial" w:hAnsi="Arial"/>
          <w:b w:val="0"/>
          <w:i/>
        </w:rPr>
        <w:t>Multidrug-resistant tuberculosis (MDR-TB)</w:t>
      </w:r>
    </w:p>
    <w:p w14:paraId="223E4D43" w14:textId="228C42B5" w:rsidR="00C03D3A" w:rsidRPr="009527D4" w:rsidRDefault="00B309A1" w:rsidP="00585E4F">
      <w:pPr>
        <w:spacing w:after="120" w:line="240" w:lineRule="auto"/>
        <w:jc w:val="both"/>
        <w:rPr>
          <w:rFonts w:ascii="Arial" w:hAnsi="Arial"/>
          <w:b w:val="0"/>
        </w:rPr>
      </w:pPr>
      <w:r w:rsidRPr="007645C2">
        <w:rPr>
          <w:rFonts w:ascii="Arial" w:hAnsi="Arial"/>
          <w:b w:val="0"/>
        </w:rPr>
        <w:t xml:space="preserve">This project proposal includes procurement of 25 </w:t>
      </w:r>
      <w:proofErr w:type="spellStart"/>
      <w:r w:rsidRPr="007645C2">
        <w:rPr>
          <w:rFonts w:ascii="Arial" w:hAnsi="Arial"/>
          <w:b w:val="0"/>
        </w:rPr>
        <w:t>Xpert</w:t>
      </w:r>
      <w:proofErr w:type="spellEnd"/>
      <w:r w:rsidRPr="007645C2">
        <w:rPr>
          <w:rFonts w:ascii="Arial" w:hAnsi="Arial"/>
          <w:b w:val="0"/>
        </w:rPr>
        <w:t xml:space="preserve"> MTB/RIF instruments for district-level TB service units, which will contribute to achieving full coverage of the country needs in rapid molecular testing for TB and DR-TB by the end of 2020. This procurement will be undertaken in accordance to the NTP </w:t>
      </w:r>
      <w:proofErr w:type="spellStart"/>
      <w:r w:rsidRPr="007645C2">
        <w:rPr>
          <w:rFonts w:ascii="Arial" w:hAnsi="Arial"/>
          <w:b w:val="0"/>
        </w:rPr>
        <w:t>Xpert</w:t>
      </w:r>
      <w:proofErr w:type="spellEnd"/>
      <w:r w:rsidRPr="007645C2">
        <w:rPr>
          <w:rFonts w:ascii="Arial" w:hAnsi="Arial"/>
          <w:b w:val="0"/>
        </w:rPr>
        <w:t xml:space="preserve"> rollout plan, which includes support from different sources (TGF</w:t>
      </w:r>
      <w:r w:rsidR="00FE6A4A" w:rsidRPr="007645C2">
        <w:rPr>
          <w:rFonts w:ascii="Arial" w:hAnsi="Arial"/>
          <w:b w:val="0"/>
        </w:rPr>
        <w:t xml:space="preserve">, </w:t>
      </w:r>
      <w:r w:rsidRPr="007645C2">
        <w:rPr>
          <w:rFonts w:ascii="Arial" w:hAnsi="Arial"/>
          <w:b w:val="0"/>
        </w:rPr>
        <w:t xml:space="preserve">USAID and state budget) and is based on the detailed assessment of </w:t>
      </w:r>
      <w:proofErr w:type="spellStart"/>
      <w:r w:rsidRPr="007645C2">
        <w:rPr>
          <w:rFonts w:ascii="Arial" w:hAnsi="Arial"/>
          <w:b w:val="0"/>
        </w:rPr>
        <w:t>Xpert</w:t>
      </w:r>
      <w:proofErr w:type="spellEnd"/>
      <w:r w:rsidRPr="007645C2">
        <w:rPr>
          <w:rFonts w:ascii="Arial" w:hAnsi="Arial"/>
          <w:b w:val="0"/>
        </w:rPr>
        <w:t xml:space="preserve"> MTB/RIF needs by region, completed by the NTP in </w:t>
      </w:r>
      <w:r w:rsidR="0005725B" w:rsidRPr="007645C2">
        <w:rPr>
          <w:rFonts w:ascii="Arial" w:hAnsi="Arial"/>
          <w:b w:val="0"/>
        </w:rPr>
        <w:t>December</w:t>
      </w:r>
      <w:r w:rsidRPr="007645C2">
        <w:rPr>
          <w:rFonts w:ascii="Arial" w:hAnsi="Arial"/>
          <w:b w:val="0"/>
        </w:rPr>
        <w:t xml:space="preserve"> 2018 (attached to this application). The procurement</w:t>
      </w:r>
      <w:r w:rsidR="00406375" w:rsidRPr="007645C2">
        <w:rPr>
          <w:rFonts w:ascii="Arial" w:hAnsi="Arial"/>
          <w:b w:val="0"/>
        </w:rPr>
        <w:t xml:space="preserve"> </w:t>
      </w:r>
      <w:proofErr w:type="gramStart"/>
      <w:r w:rsidR="00406375" w:rsidRPr="007645C2">
        <w:rPr>
          <w:rFonts w:ascii="Arial" w:hAnsi="Arial"/>
          <w:b w:val="0"/>
        </w:rPr>
        <w:t>will be carried out</w:t>
      </w:r>
      <w:proofErr w:type="gramEnd"/>
      <w:r w:rsidR="00406375" w:rsidRPr="007645C2">
        <w:rPr>
          <w:rFonts w:ascii="Arial" w:hAnsi="Arial"/>
          <w:b w:val="0"/>
        </w:rPr>
        <w:t xml:space="preserve"> in Year 1 through the Stop TB</w:t>
      </w:r>
      <w:r w:rsidR="00406375" w:rsidRPr="009527D4">
        <w:rPr>
          <w:rFonts w:ascii="Arial" w:hAnsi="Arial"/>
          <w:b w:val="0"/>
        </w:rPr>
        <w:t xml:space="preserve"> Partnership’s Global Drug Facility (GDF); the</w:t>
      </w:r>
      <w:r w:rsidRPr="009527D4">
        <w:rPr>
          <w:rFonts w:ascii="Arial" w:hAnsi="Arial"/>
          <w:b w:val="0"/>
        </w:rPr>
        <w:t xml:space="preserve"> package includes 2-module instruments, uninterrupted power supply devices, delivery costs and</w:t>
      </w:r>
      <w:r w:rsidR="00406375" w:rsidRPr="009527D4">
        <w:rPr>
          <w:rFonts w:ascii="Arial" w:hAnsi="Arial"/>
          <w:b w:val="0"/>
        </w:rPr>
        <w:t xml:space="preserve"> 3-year warranty with calibration / check kits.</w:t>
      </w:r>
    </w:p>
    <w:p w14:paraId="3581542E" w14:textId="2EB2C8A6" w:rsidR="002800CE" w:rsidRPr="0060605F" w:rsidRDefault="00627739" w:rsidP="00585E4F">
      <w:pPr>
        <w:spacing w:after="120" w:line="240" w:lineRule="auto"/>
        <w:jc w:val="both"/>
        <w:rPr>
          <w:rFonts w:ascii="Arial" w:hAnsi="Arial"/>
          <w:b w:val="0"/>
        </w:rPr>
      </w:pPr>
      <w:r w:rsidRPr="009527D4">
        <w:rPr>
          <w:rFonts w:ascii="Arial" w:hAnsi="Arial"/>
          <w:b w:val="0"/>
        </w:rPr>
        <w:t xml:space="preserve">To ensure proper implementation </w:t>
      </w:r>
      <w:r w:rsidR="00D06953" w:rsidRPr="009527D4">
        <w:rPr>
          <w:rFonts w:ascii="Arial" w:hAnsi="Arial"/>
          <w:b w:val="0"/>
        </w:rPr>
        <w:t xml:space="preserve">of </w:t>
      </w:r>
      <w:proofErr w:type="spellStart"/>
      <w:r w:rsidR="00D06953" w:rsidRPr="009527D4">
        <w:rPr>
          <w:rFonts w:ascii="Arial" w:hAnsi="Arial"/>
          <w:b w:val="0"/>
        </w:rPr>
        <w:t>Xpert</w:t>
      </w:r>
      <w:proofErr w:type="spellEnd"/>
      <w:r w:rsidR="00D06953" w:rsidRPr="009527D4">
        <w:rPr>
          <w:rFonts w:ascii="Arial" w:hAnsi="Arial"/>
          <w:b w:val="0"/>
        </w:rPr>
        <w:t xml:space="preserve"> MTB/RIF technology at </w:t>
      </w:r>
      <w:r w:rsidRPr="009527D4">
        <w:rPr>
          <w:rFonts w:ascii="Arial" w:hAnsi="Arial"/>
          <w:b w:val="0"/>
        </w:rPr>
        <w:t xml:space="preserve">district level, </w:t>
      </w:r>
      <w:r w:rsidR="00D06953" w:rsidRPr="009527D4">
        <w:rPr>
          <w:rFonts w:ascii="Arial" w:hAnsi="Arial"/>
          <w:b w:val="0"/>
        </w:rPr>
        <w:t xml:space="preserve">during Years 1-2 of the project, </w:t>
      </w:r>
      <w:r w:rsidRPr="009527D4">
        <w:rPr>
          <w:rFonts w:ascii="Arial" w:hAnsi="Arial"/>
          <w:b w:val="0"/>
        </w:rPr>
        <w:t xml:space="preserve">two national consultants will be involved to support effective rollout and functionality of the </w:t>
      </w:r>
      <w:proofErr w:type="spellStart"/>
      <w:r w:rsidRPr="009527D4">
        <w:rPr>
          <w:rFonts w:ascii="Arial" w:hAnsi="Arial"/>
          <w:b w:val="0"/>
        </w:rPr>
        <w:t>Xpert</w:t>
      </w:r>
      <w:proofErr w:type="spellEnd"/>
      <w:r w:rsidRPr="009527D4">
        <w:rPr>
          <w:rFonts w:ascii="Arial" w:hAnsi="Arial"/>
          <w:b w:val="0"/>
        </w:rPr>
        <w:t xml:space="preserve"> technology at the peripheral TB service delivery (district level) facilities, in the penitentiary system and HIV/AIDS service, and oversee the implementation of the new diagnostic algorithm. In addition to the part-time consultants, </w:t>
      </w:r>
      <w:r w:rsidR="00D06953" w:rsidRPr="009527D4">
        <w:rPr>
          <w:rFonts w:ascii="Arial" w:hAnsi="Arial"/>
          <w:b w:val="0"/>
        </w:rPr>
        <w:t xml:space="preserve">in Year 1 </w:t>
      </w:r>
      <w:r w:rsidRPr="009527D4">
        <w:rPr>
          <w:rFonts w:ascii="Arial" w:hAnsi="Arial"/>
          <w:b w:val="0"/>
        </w:rPr>
        <w:t xml:space="preserve">monitoring </w:t>
      </w:r>
      <w:r w:rsidRPr="0060605F">
        <w:rPr>
          <w:rFonts w:ascii="Arial" w:hAnsi="Arial"/>
          <w:b w:val="0"/>
        </w:rPr>
        <w:t xml:space="preserve">visits by the regional (oblast) reference laboratories </w:t>
      </w:r>
      <w:proofErr w:type="gramStart"/>
      <w:r w:rsidR="00D06953" w:rsidRPr="0060605F">
        <w:rPr>
          <w:rFonts w:ascii="Arial" w:hAnsi="Arial"/>
          <w:b w:val="0"/>
        </w:rPr>
        <w:t>will be conducted</w:t>
      </w:r>
      <w:proofErr w:type="gramEnd"/>
      <w:r w:rsidR="00D06953" w:rsidRPr="0060605F">
        <w:rPr>
          <w:rFonts w:ascii="Arial" w:hAnsi="Arial"/>
          <w:b w:val="0"/>
        </w:rPr>
        <w:t xml:space="preserve"> to </w:t>
      </w:r>
      <w:r w:rsidRPr="0060605F">
        <w:rPr>
          <w:rFonts w:ascii="Arial" w:hAnsi="Arial"/>
          <w:b w:val="0"/>
        </w:rPr>
        <w:t xml:space="preserve">districts where new </w:t>
      </w:r>
      <w:proofErr w:type="spellStart"/>
      <w:r w:rsidRPr="0060605F">
        <w:rPr>
          <w:rFonts w:ascii="Arial" w:hAnsi="Arial"/>
          <w:b w:val="0"/>
        </w:rPr>
        <w:t>Xpert</w:t>
      </w:r>
      <w:proofErr w:type="spellEnd"/>
      <w:r w:rsidRPr="0060605F">
        <w:rPr>
          <w:rFonts w:ascii="Arial" w:hAnsi="Arial"/>
          <w:b w:val="0"/>
        </w:rPr>
        <w:t xml:space="preserve"> </w:t>
      </w:r>
      <w:r w:rsidR="00D06953" w:rsidRPr="0060605F">
        <w:rPr>
          <w:rFonts w:ascii="Arial" w:hAnsi="Arial"/>
          <w:b w:val="0"/>
        </w:rPr>
        <w:t>instruments</w:t>
      </w:r>
      <w:r w:rsidRPr="0060605F">
        <w:rPr>
          <w:rFonts w:ascii="Arial" w:hAnsi="Arial"/>
          <w:b w:val="0"/>
        </w:rPr>
        <w:t xml:space="preserve"> will be installed</w:t>
      </w:r>
      <w:r w:rsidR="00D06953" w:rsidRPr="0060605F">
        <w:rPr>
          <w:rFonts w:ascii="Arial" w:hAnsi="Arial"/>
          <w:b w:val="0"/>
        </w:rPr>
        <w:t xml:space="preserve">, </w:t>
      </w:r>
      <w:r w:rsidRPr="0060605F">
        <w:rPr>
          <w:rFonts w:ascii="Arial" w:hAnsi="Arial"/>
          <w:b w:val="0"/>
        </w:rPr>
        <w:t xml:space="preserve">to support </w:t>
      </w:r>
      <w:r w:rsidR="00D06953" w:rsidRPr="0060605F">
        <w:rPr>
          <w:rFonts w:ascii="Arial" w:hAnsi="Arial"/>
          <w:b w:val="0"/>
        </w:rPr>
        <w:t xml:space="preserve">the </w:t>
      </w:r>
      <w:r w:rsidRPr="0060605F">
        <w:rPr>
          <w:rFonts w:ascii="Arial" w:hAnsi="Arial"/>
          <w:b w:val="0"/>
        </w:rPr>
        <w:t xml:space="preserve">local staff in </w:t>
      </w:r>
      <w:r w:rsidR="00D06953" w:rsidRPr="0060605F">
        <w:rPr>
          <w:rFonts w:ascii="Arial" w:hAnsi="Arial"/>
          <w:b w:val="0"/>
        </w:rPr>
        <w:t xml:space="preserve">the </w:t>
      </w:r>
      <w:r w:rsidRPr="0060605F">
        <w:rPr>
          <w:rFonts w:ascii="Arial" w:hAnsi="Arial"/>
          <w:b w:val="0"/>
        </w:rPr>
        <w:t>implementation of the new technology.</w:t>
      </w:r>
      <w:r w:rsidR="002800CE" w:rsidRPr="0060605F">
        <w:rPr>
          <w:rFonts w:ascii="Arial" w:hAnsi="Arial"/>
          <w:b w:val="0"/>
        </w:rPr>
        <w:t xml:space="preserve"> In addition after-sale service for </w:t>
      </w:r>
      <w:proofErr w:type="spellStart"/>
      <w:r w:rsidR="002800CE" w:rsidRPr="0060605F">
        <w:rPr>
          <w:rFonts w:ascii="Arial" w:hAnsi="Arial"/>
          <w:b w:val="0"/>
        </w:rPr>
        <w:t>Xpert</w:t>
      </w:r>
      <w:proofErr w:type="spellEnd"/>
      <w:r w:rsidR="002800CE" w:rsidRPr="0060605F">
        <w:rPr>
          <w:rFonts w:ascii="Arial" w:hAnsi="Arial"/>
          <w:b w:val="0"/>
        </w:rPr>
        <w:t xml:space="preserve"> instruments, procured before 2017 (23 machines with 88 modules) is also included. The standard GDF package includes calibration costs for </w:t>
      </w:r>
      <w:proofErr w:type="spellStart"/>
      <w:r w:rsidR="002800CE" w:rsidRPr="0060605F">
        <w:rPr>
          <w:rFonts w:ascii="Arial" w:hAnsi="Arial"/>
          <w:b w:val="0"/>
        </w:rPr>
        <w:t>Xpert</w:t>
      </w:r>
      <w:proofErr w:type="spellEnd"/>
      <w:r w:rsidR="002800CE" w:rsidRPr="0060605F">
        <w:rPr>
          <w:rFonts w:ascii="Arial" w:hAnsi="Arial"/>
          <w:b w:val="0"/>
        </w:rPr>
        <w:t xml:space="preserve"> instruments: calibration cartridges and replacement of modules; and other servicing, maintenance and minor repairs for instruments beyond the warranty period. Additionally costs for </w:t>
      </w:r>
      <w:proofErr w:type="spellStart"/>
      <w:r w:rsidR="002800CE" w:rsidRPr="0060605F">
        <w:rPr>
          <w:rFonts w:ascii="Arial" w:hAnsi="Arial"/>
          <w:b w:val="0"/>
        </w:rPr>
        <w:t>Ceiphed</w:t>
      </w:r>
      <w:proofErr w:type="spellEnd"/>
      <w:r w:rsidR="002800CE" w:rsidRPr="0060605F">
        <w:rPr>
          <w:rFonts w:ascii="Arial" w:hAnsi="Arial"/>
          <w:b w:val="0"/>
        </w:rPr>
        <w:t xml:space="preserve"> local country distributor visits in territories for modules replacement are included, not covered by GDF warranty package.</w:t>
      </w:r>
    </w:p>
    <w:p w14:paraId="2D25A1D4" w14:textId="16B4303B" w:rsidR="00627739" w:rsidRPr="0060605F" w:rsidRDefault="00C03D3A" w:rsidP="00585E4F">
      <w:pPr>
        <w:spacing w:after="120" w:line="240" w:lineRule="auto"/>
        <w:jc w:val="both"/>
        <w:rPr>
          <w:rFonts w:ascii="Arial" w:hAnsi="Arial"/>
          <w:b w:val="0"/>
        </w:rPr>
      </w:pPr>
      <w:r w:rsidRPr="0060605F">
        <w:rPr>
          <w:rFonts w:ascii="Arial" w:hAnsi="Arial"/>
          <w:b w:val="0"/>
        </w:rPr>
        <w:t xml:space="preserve">The project will continue procuring consumables for rapid laboratory tests for TB and DR-TB diagnosis, but on a limited scope – for the penitentiary sector only. Procurement of </w:t>
      </w:r>
      <w:proofErr w:type="spellStart"/>
      <w:r w:rsidR="00E26472" w:rsidRPr="0060605F">
        <w:rPr>
          <w:rFonts w:ascii="Arial" w:hAnsi="Arial"/>
          <w:b w:val="0"/>
        </w:rPr>
        <w:t>Xpert</w:t>
      </w:r>
      <w:proofErr w:type="spellEnd"/>
      <w:r w:rsidR="00E26472" w:rsidRPr="0060605F">
        <w:rPr>
          <w:rFonts w:ascii="Arial" w:hAnsi="Arial"/>
          <w:b w:val="0"/>
        </w:rPr>
        <w:t xml:space="preserve"> MTB/RIF </w:t>
      </w:r>
      <w:r w:rsidRPr="0060605F">
        <w:rPr>
          <w:rFonts w:ascii="Arial" w:hAnsi="Arial"/>
          <w:b w:val="0"/>
        </w:rPr>
        <w:t xml:space="preserve">cartridges </w:t>
      </w:r>
      <w:r w:rsidR="00E26472" w:rsidRPr="0060605F">
        <w:rPr>
          <w:rFonts w:ascii="Arial" w:hAnsi="Arial"/>
          <w:b w:val="0"/>
        </w:rPr>
        <w:t xml:space="preserve">for </w:t>
      </w:r>
      <w:r w:rsidRPr="0060605F">
        <w:rPr>
          <w:rFonts w:ascii="Arial" w:hAnsi="Arial"/>
          <w:b w:val="0"/>
        </w:rPr>
        <w:t xml:space="preserve">the </w:t>
      </w:r>
      <w:r w:rsidR="00E26472" w:rsidRPr="0060605F">
        <w:rPr>
          <w:rFonts w:ascii="Arial" w:hAnsi="Arial"/>
          <w:b w:val="0"/>
        </w:rPr>
        <w:t>penitentiary sector</w:t>
      </w:r>
      <w:r w:rsidRPr="0060605F">
        <w:rPr>
          <w:rFonts w:ascii="Arial" w:hAnsi="Arial"/>
          <w:b w:val="0"/>
        </w:rPr>
        <w:t xml:space="preserve"> </w:t>
      </w:r>
      <w:r w:rsidR="00627739" w:rsidRPr="0060605F">
        <w:rPr>
          <w:rFonts w:ascii="Arial" w:hAnsi="Arial"/>
          <w:b w:val="0"/>
        </w:rPr>
        <w:t xml:space="preserve">through TGF </w:t>
      </w:r>
      <w:r w:rsidRPr="0060605F">
        <w:rPr>
          <w:rFonts w:ascii="Arial" w:hAnsi="Arial"/>
          <w:b w:val="0"/>
        </w:rPr>
        <w:t>will cover 100% of needs in Years 1</w:t>
      </w:r>
      <w:r w:rsidR="00627739" w:rsidRPr="0060605F">
        <w:rPr>
          <w:rFonts w:ascii="Arial" w:hAnsi="Arial"/>
          <w:b w:val="0"/>
        </w:rPr>
        <w:t>-2</w:t>
      </w:r>
      <w:r w:rsidRPr="0060605F">
        <w:rPr>
          <w:rFonts w:ascii="Arial" w:hAnsi="Arial"/>
          <w:b w:val="0"/>
        </w:rPr>
        <w:t xml:space="preserve"> (2020-2021), with the state budget taking over to transition </w:t>
      </w:r>
      <w:r w:rsidR="00240F14" w:rsidRPr="0060605F">
        <w:rPr>
          <w:rFonts w:ascii="Arial" w:hAnsi="Arial"/>
          <w:b w:val="0"/>
        </w:rPr>
        <w:t xml:space="preserve">starting with </w:t>
      </w:r>
      <w:r w:rsidRPr="0060605F">
        <w:rPr>
          <w:rFonts w:ascii="Arial" w:hAnsi="Arial"/>
          <w:b w:val="0"/>
        </w:rPr>
        <w:t>2022.</w:t>
      </w:r>
      <w:r w:rsidR="00627739" w:rsidRPr="0060605F">
        <w:rPr>
          <w:rFonts w:ascii="Arial" w:hAnsi="Arial"/>
          <w:b w:val="0"/>
        </w:rPr>
        <w:t xml:space="preserve"> In the same manner, TGF project will supply</w:t>
      </w:r>
      <w:r w:rsidR="00D06953" w:rsidRPr="0060605F">
        <w:rPr>
          <w:rFonts w:ascii="Arial" w:hAnsi="Arial"/>
          <w:b w:val="0"/>
        </w:rPr>
        <w:t xml:space="preserve"> cons</w:t>
      </w:r>
      <w:r w:rsidR="00627739" w:rsidRPr="0060605F">
        <w:rPr>
          <w:rFonts w:ascii="Arial" w:hAnsi="Arial"/>
          <w:b w:val="0"/>
        </w:rPr>
        <w:t>umables for i</w:t>
      </w:r>
      <w:r w:rsidR="00E26472" w:rsidRPr="0060605F">
        <w:rPr>
          <w:rFonts w:ascii="Arial" w:hAnsi="Arial"/>
          <w:b w:val="0"/>
        </w:rPr>
        <w:t xml:space="preserve">solation of strains in liquid culture and DST </w:t>
      </w:r>
      <w:r w:rsidR="00627739" w:rsidRPr="0060605F">
        <w:rPr>
          <w:rFonts w:ascii="Arial" w:hAnsi="Arial"/>
          <w:b w:val="0"/>
        </w:rPr>
        <w:t xml:space="preserve">to first-line and second-line drugs by automated MGIT (Bactec-960) and for </w:t>
      </w:r>
      <w:proofErr w:type="spellStart"/>
      <w:r w:rsidR="00627739" w:rsidRPr="0060605F">
        <w:rPr>
          <w:rFonts w:ascii="Arial" w:hAnsi="Arial"/>
          <w:b w:val="0"/>
        </w:rPr>
        <w:t>M.Tb</w:t>
      </w:r>
      <w:proofErr w:type="spellEnd"/>
      <w:r w:rsidR="00627739" w:rsidRPr="0060605F">
        <w:rPr>
          <w:rFonts w:ascii="Arial" w:hAnsi="Arial"/>
          <w:b w:val="0"/>
        </w:rPr>
        <w:t xml:space="preserve"> identification and DST using LPA (</w:t>
      </w:r>
      <w:proofErr w:type="spellStart"/>
      <w:r w:rsidR="00627739" w:rsidRPr="0060605F">
        <w:rPr>
          <w:rFonts w:ascii="Arial" w:hAnsi="Arial"/>
          <w:b w:val="0"/>
        </w:rPr>
        <w:t>Hain</w:t>
      </w:r>
      <w:proofErr w:type="spellEnd"/>
      <w:r w:rsidR="00627739" w:rsidRPr="0060605F">
        <w:rPr>
          <w:rFonts w:ascii="Arial" w:hAnsi="Arial"/>
          <w:b w:val="0"/>
        </w:rPr>
        <w:t xml:space="preserve">) method at the central prison bacteriological laboratory in Karaganda. </w:t>
      </w:r>
    </w:p>
    <w:p w14:paraId="5B5F4096" w14:textId="77777777" w:rsidR="00B2350B" w:rsidRPr="009527D4" w:rsidRDefault="007215CA" w:rsidP="00585E4F">
      <w:pPr>
        <w:spacing w:after="120" w:line="240" w:lineRule="auto"/>
        <w:jc w:val="both"/>
        <w:rPr>
          <w:rFonts w:ascii="Arial" w:hAnsi="Arial"/>
          <w:b w:val="0"/>
        </w:rPr>
      </w:pPr>
      <w:r w:rsidRPr="0060605F">
        <w:rPr>
          <w:rFonts w:ascii="Arial" w:hAnsi="Arial"/>
          <w:b w:val="0"/>
        </w:rPr>
        <w:t>In addition, in line with the revised WHO recommendations for DR-TB manag</w:t>
      </w:r>
      <w:r w:rsidRPr="009527D4">
        <w:rPr>
          <w:rFonts w:ascii="Arial" w:hAnsi="Arial"/>
          <w:b w:val="0"/>
        </w:rPr>
        <w:t xml:space="preserve">ement, in particular, </w:t>
      </w:r>
      <w:r w:rsidR="003E62C7" w:rsidRPr="009527D4">
        <w:rPr>
          <w:rFonts w:ascii="Arial" w:hAnsi="Arial"/>
          <w:b w:val="0"/>
        </w:rPr>
        <w:t>new DST manual, the proposal includes p</w:t>
      </w:r>
      <w:r w:rsidR="00D06953" w:rsidRPr="009527D4">
        <w:rPr>
          <w:rFonts w:ascii="Arial" w:hAnsi="Arial"/>
          <w:b w:val="0"/>
        </w:rPr>
        <w:t>rocurement of pure substance</w:t>
      </w:r>
      <w:r w:rsidR="003E62C7" w:rsidRPr="009527D4">
        <w:rPr>
          <w:rFonts w:ascii="Arial" w:hAnsi="Arial"/>
          <w:b w:val="0"/>
        </w:rPr>
        <w:t>s</w:t>
      </w:r>
      <w:r w:rsidR="00D06953" w:rsidRPr="009527D4">
        <w:rPr>
          <w:rFonts w:ascii="Arial" w:hAnsi="Arial"/>
          <w:b w:val="0"/>
        </w:rPr>
        <w:t xml:space="preserve"> </w:t>
      </w:r>
      <w:r w:rsidR="003E62C7" w:rsidRPr="009527D4">
        <w:rPr>
          <w:rFonts w:ascii="Arial" w:hAnsi="Arial"/>
          <w:b w:val="0"/>
        </w:rPr>
        <w:t xml:space="preserve">for DST to new </w:t>
      </w:r>
      <w:r w:rsidR="00D06953" w:rsidRPr="009527D4">
        <w:rPr>
          <w:rFonts w:ascii="Arial" w:hAnsi="Arial"/>
          <w:b w:val="0"/>
        </w:rPr>
        <w:t>and repurposed drugs (</w:t>
      </w:r>
      <w:proofErr w:type="spellStart"/>
      <w:r w:rsidR="003E62C7" w:rsidRPr="009527D4">
        <w:rPr>
          <w:rFonts w:ascii="Arial" w:hAnsi="Arial"/>
          <w:b w:val="0"/>
        </w:rPr>
        <w:t>Mfx</w:t>
      </w:r>
      <w:proofErr w:type="spellEnd"/>
      <w:r w:rsidR="003E62C7" w:rsidRPr="009527D4">
        <w:rPr>
          <w:rFonts w:ascii="Arial" w:hAnsi="Arial"/>
          <w:b w:val="0"/>
        </w:rPr>
        <w:t>/</w:t>
      </w:r>
      <w:proofErr w:type="spellStart"/>
      <w:r w:rsidR="003E62C7" w:rsidRPr="009527D4">
        <w:rPr>
          <w:rFonts w:ascii="Arial" w:hAnsi="Arial"/>
          <w:b w:val="0"/>
        </w:rPr>
        <w:t>Lfx</w:t>
      </w:r>
      <w:proofErr w:type="spellEnd"/>
      <w:r w:rsidR="003E62C7" w:rsidRPr="009527D4">
        <w:rPr>
          <w:rFonts w:ascii="Arial" w:hAnsi="Arial"/>
          <w:b w:val="0"/>
        </w:rPr>
        <w:t xml:space="preserve">, </w:t>
      </w:r>
      <w:proofErr w:type="spellStart"/>
      <w:r w:rsidR="00D06953" w:rsidRPr="009527D4">
        <w:rPr>
          <w:rFonts w:ascii="Arial" w:hAnsi="Arial"/>
          <w:b w:val="0"/>
        </w:rPr>
        <w:t>Bdq</w:t>
      </w:r>
      <w:proofErr w:type="spellEnd"/>
      <w:r w:rsidR="00D06953" w:rsidRPr="009527D4">
        <w:rPr>
          <w:rFonts w:ascii="Arial" w:hAnsi="Arial"/>
          <w:b w:val="0"/>
        </w:rPr>
        <w:t xml:space="preserve">, </w:t>
      </w:r>
      <w:proofErr w:type="spellStart"/>
      <w:r w:rsidR="003E62C7" w:rsidRPr="009527D4">
        <w:rPr>
          <w:rFonts w:ascii="Arial" w:hAnsi="Arial"/>
          <w:b w:val="0"/>
        </w:rPr>
        <w:t>Lzd</w:t>
      </w:r>
      <w:proofErr w:type="spellEnd"/>
      <w:r w:rsidR="003E62C7" w:rsidRPr="009527D4">
        <w:rPr>
          <w:rFonts w:ascii="Arial" w:hAnsi="Arial"/>
          <w:b w:val="0"/>
        </w:rPr>
        <w:t xml:space="preserve">, </w:t>
      </w:r>
      <w:proofErr w:type="spellStart"/>
      <w:r w:rsidR="003E62C7" w:rsidRPr="009527D4">
        <w:rPr>
          <w:rFonts w:ascii="Arial" w:hAnsi="Arial"/>
          <w:b w:val="0"/>
        </w:rPr>
        <w:t>Cfz</w:t>
      </w:r>
      <w:proofErr w:type="spellEnd"/>
      <w:r w:rsidR="003E62C7" w:rsidRPr="009527D4">
        <w:rPr>
          <w:rFonts w:ascii="Arial" w:hAnsi="Arial"/>
          <w:b w:val="0"/>
        </w:rPr>
        <w:t xml:space="preserve"> and </w:t>
      </w:r>
      <w:proofErr w:type="spellStart"/>
      <w:r w:rsidR="00D06953" w:rsidRPr="009527D4">
        <w:rPr>
          <w:rFonts w:ascii="Arial" w:hAnsi="Arial"/>
          <w:b w:val="0"/>
        </w:rPr>
        <w:t>Dlm</w:t>
      </w:r>
      <w:proofErr w:type="spellEnd"/>
      <w:r w:rsidR="003E62C7" w:rsidRPr="009527D4">
        <w:rPr>
          <w:rFonts w:ascii="Arial" w:hAnsi="Arial"/>
          <w:b w:val="0"/>
        </w:rPr>
        <w:t>)</w:t>
      </w:r>
      <w:r w:rsidR="00B2350B" w:rsidRPr="009527D4">
        <w:rPr>
          <w:rFonts w:ascii="Arial" w:hAnsi="Arial"/>
          <w:b w:val="0"/>
        </w:rPr>
        <w:t xml:space="preserve">, to be performed by the reference laboratories using MGIT. TGF support will cover </w:t>
      </w:r>
      <w:r w:rsidR="00D06953" w:rsidRPr="009527D4">
        <w:rPr>
          <w:rFonts w:ascii="Arial" w:hAnsi="Arial"/>
          <w:b w:val="0"/>
        </w:rPr>
        <w:t xml:space="preserve">100% of </w:t>
      </w:r>
      <w:r w:rsidR="00B2350B" w:rsidRPr="009527D4">
        <w:rPr>
          <w:rFonts w:ascii="Arial" w:hAnsi="Arial"/>
          <w:b w:val="0"/>
        </w:rPr>
        <w:t xml:space="preserve">countrywide </w:t>
      </w:r>
      <w:r w:rsidR="00D06953" w:rsidRPr="009527D4">
        <w:rPr>
          <w:rFonts w:ascii="Arial" w:hAnsi="Arial"/>
          <w:b w:val="0"/>
        </w:rPr>
        <w:t xml:space="preserve">needs in </w:t>
      </w:r>
      <w:r w:rsidR="00B2350B" w:rsidRPr="009527D4">
        <w:rPr>
          <w:rFonts w:ascii="Arial" w:hAnsi="Arial"/>
          <w:b w:val="0"/>
        </w:rPr>
        <w:t>Years 1-2 (</w:t>
      </w:r>
      <w:r w:rsidR="00D06953" w:rsidRPr="009527D4">
        <w:rPr>
          <w:rFonts w:ascii="Arial" w:hAnsi="Arial"/>
          <w:b w:val="0"/>
        </w:rPr>
        <w:t>2020</w:t>
      </w:r>
      <w:r w:rsidR="00B2350B" w:rsidRPr="009527D4">
        <w:rPr>
          <w:rFonts w:ascii="Arial" w:hAnsi="Arial"/>
          <w:b w:val="0"/>
        </w:rPr>
        <w:t>-</w:t>
      </w:r>
      <w:r w:rsidR="00D06953" w:rsidRPr="009527D4">
        <w:rPr>
          <w:rFonts w:ascii="Arial" w:hAnsi="Arial"/>
          <w:b w:val="0"/>
        </w:rPr>
        <w:t>2021</w:t>
      </w:r>
      <w:r w:rsidR="00B2350B" w:rsidRPr="009527D4">
        <w:rPr>
          <w:rFonts w:ascii="Arial" w:hAnsi="Arial"/>
          <w:b w:val="0"/>
        </w:rPr>
        <w:t xml:space="preserve">), and the government will ensure full takeover starting 2022. </w:t>
      </w:r>
    </w:p>
    <w:p w14:paraId="11BAB088" w14:textId="4B1CE75E" w:rsidR="00E26472" w:rsidRPr="009527D4" w:rsidRDefault="00E26472" w:rsidP="00585E4F">
      <w:pPr>
        <w:spacing w:after="120" w:line="240" w:lineRule="auto"/>
        <w:jc w:val="both"/>
        <w:rPr>
          <w:rFonts w:ascii="Arial" w:hAnsi="Arial"/>
          <w:b w:val="0"/>
        </w:rPr>
      </w:pPr>
      <w:r w:rsidRPr="009527D4">
        <w:rPr>
          <w:rFonts w:ascii="Arial" w:hAnsi="Arial"/>
          <w:b w:val="0"/>
        </w:rPr>
        <w:t xml:space="preserve">Support to training of local engineers </w:t>
      </w:r>
      <w:r w:rsidR="00B2350B" w:rsidRPr="009527D4">
        <w:rPr>
          <w:rFonts w:ascii="Arial" w:hAnsi="Arial"/>
          <w:b w:val="0"/>
        </w:rPr>
        <w:t xml:space="preserve">is included to ensure appropriate capacities for servicing, maintenance and repairs of laboratory equipment at the NRL and oblast-level reference laboratories, including biosafety cabinets (BSCs) and negative-pressure ventilation systems. Four persons </w:t>
      </w:r>
      <w:proofErr w:type="gramStart"/>
      <w:r w:rsidR="00B2350B" w:rsidRPr="009527D4">
        <w:rPr>
          <w:rFonts w:ascii="Arial" w:hAnsi="Arial"/>
          <w:b w:val="0"/>
        </w:rPr>
        <w:t>will be trained</w:t>
      </w:r>
      <w:proofErr w:type="gramEnd"/>
      <w:r w:rsidR="00B2350B" w:rsidRPr="009527D4">
        <w:rPr>
          <w:rFonts w:ascii="Arial" w:hAnsi="Arial"/>
          <w:b w:val="0"/>
        </w:rPr>
        <w:t xml:space="preserve"> during the first two years </w:t>
      </w:r>
      <w:r w:rsidRPr="009527D4">
        <w:rPr>
          <w:rFonts w:ascii="Arial" w:hAnsi="Arial"/>
          <w:b w:val="0"/>
        </w:rPr>
        <w:t>of the grant.</w:t>
      </w:r>
    </w:p>
    <w:p w14:paraId="0B81B7E5" w14:textId="28FA84D7" w:rsidR="00E26472" w:rsidRPr="009527D4" w:rsidRDefault="00E26472" w:rsidP="00585E4F">
      <w:pPr>
        <w:spacing w:after="120" w:line="240" w:lineRule="auto"/>
        <w:jc w:val="both"/>
        <w:rPr>
          <w:rFonts w:ascii="Arial" w:hAnsi="Arial"/>
          <w:b w:val="0"/>
          <w:u w:val="single"/>
        </w:rPr>
      </w:pPr>
      <w:r w:rsidRPr="009527D4">
        <w:rPr>
          <w:rFonts w:ascii="Arial" w:hAnsi="Arial"/>
          <w:b w:val="0"/>
          <w:u w:val="single"/>
        </w:rPr>
        <w:t>Intervention 2.2. Treatment: MDR-TB</w:t>
      </w:r>
    </w:p>
    <w:p w14:paraId="4786A339" w14:textId="77777777" w:rsidR="009732CD" w:rsidRPr="009527D4" w:rsidRDefault="009732CD" w:rsidP="00585E4F">
      <w:pPr>
        <w:spacing w:after="120" w:line="240" w:lineRule="auto"/>
        <w:jc w:val="both"/>
        <w:rPr>
          <w:rFonts w:ascii="Arial" w:hAnsi="Arial"/>
          <w:b w:val="0"/>
          <w:i/>
        </w:rPr>
      </w:pPr>
      <w:r w:rsidRPr="009527D4">
        <w:rPr>
          <w:rFonts w:ascii="Arial" w:hAnsi="Arial"/>
          <w:b w:val="0"/>
          <w:i/>
        </w:rPr>
        <w:t>Module:</w:t>
      </w:r>
      <w:r w:rsidRPr="009527D4">
        <w:rPr>
          <w:rFonts w:ascii="Arial" w:hAnsi="Arial"/>
          <w:b w:val="0"/>
          <w:i/>
        </w:rPr>
        <w:tab/>
        <w:t xml:space="preserve"> Multidrug-resistant tuberculosis (MDR-TB)</w:t>
      </w:r>
    </w:p>
    <w:p w14:paraId="5B514222" w14:textId="432E691B" w:rsidR="000B2C15" w:rsidRPr="009527D4" w:rsidRDefault="00F33A8A" w:rsidP="00585E4F">
      <w:pPr>
        <w:spacing w:after="120" w:line="240" w:lineRule="auto"/>
        <w:jc w:val="both"/>
        <w:rPr>
          <w:rFonts w:ascii="Arial" w:hAnsi="Arial"/>
          <w:b w:val="0"/>
        </w:rPr>
      </w:pPr>
      <w:r w:rsidRPr="009527D4">
        <w:rPr>
          <w:rFonts w:ascii="Arial" w:hAnsi="Arial"/>
          <w:b w:val="0"/>
        </w:rPr>
        <w:t xml:space="preserve">Procurement of </w:t>
      </w:r>
      <w:r w:rsidR="000B2C15" w:rsidRPr="009527D4">
        <w:rPr>
          <w:rFonts w:ascii="Arial" w:hAnsi="Arial"/>
          <w:b w:val="0"/>
        </w:rPr>
        <w:t xml:space="preserve">anti-TB drugs from TGF sources will be done on a decreasing scale, in accordance to the agreed upon takeover / transition modalities. The new project will procure second-line </w:t>
      </w:r>
      <w:r w:rsidR="000B2C15" w:rsidRPr="0060605F">
        <w:rPr>
          <w:rFonts w:ascii="Arial" w:hAnsi="Arial"/>
          <w:b w:val="0"/>
        </w:rPr>
        <w:t xml:space="preserve">drugs for treatment of RR/MDR-TB patients in the penitentiary sector only. For RR/MDR cases without resistance to </w:t>
      </w:r>
      <w:proofErr w:type="spellStart"/>
      <w:r w:rsidR="000B2C15" w:rsidRPr="0060605F">
        <w:rPr>
          <w:rFonts w:ascii="Arial" w:hAnsi="Arial"/>
          <w:b w:val="0"/>
        </w:rPr>
        <w:t>fluoroquinolones</w:t>
      </w:r>
      <w:proofErr w:type="spellEnd"/>
      <w:r w:rsidR="000B2C15" w:rsidRPr="0060605F">
        <w:rPr>
          <w:rFonts w:ascii="Arial" w:hAnsi="Arial"/>
          <w:b w:val="0"/>
        </w:rPr>
        <w:t xml:space="preserve"> (FQ), TGF will cover all needs in prisons for Year 1 (2020), and for those with identified FQ resistance (‘pre-XDR’ and ‘XDR’ cases) – </w:t>
      </w:r>
      <w:r w:rsidR="006174B2" w:rsidRPr="0060605F">
        <w:rPr>
          <w:rFonts w:ascii="Arial" w:hAnsi="Arial"/>
          <w:b w:val="0"/>
        </w:rPr>
        <w:t xml:space="preserve">100% </w:t>
      </w:r>
      <w:r w:rsidR="000B2C15" w:rsidRPr="0060605F">
        <w:rPr>
          <w:rFonts w:ascii="Arial" w:hAnsi="Arial"/>
          <w:b w:val="0"/>
        </w:rPr>
        <w:t xml:space="preserve">for Year 1 </w:t>
      </w:r>
      <w:r w:rsidR="006174B2" w:rsidRPr="0060605F">
        <w:rPr>
          <w:rFonts w:ascii="Arial" w:hAnsi="Arial"/>
          <w:b w:val="0"/>
        </w:rPr>
        <w:t xml:space="preserve">(2020) </w:t>
      </w:r>
      <w:r w:rsidR="000B2C15" w:rsidRPr="0060605F">
        <w:rPr>
          <w:rFonts w:ascii="Arial" w:hAnsi="Arial"/>
          <w:b w:val="0"/>
        </w:rPr>
        <w:t xml:space="preserve">and </w:t>
      </w:r>
      <w:r w:rsidR="006174B2" w:rsidRPr="0060605F">
        <w:rPr>
          <w:rFonts w:ascii="Arial" w:hAnsi="Arial"/>
          <w:b w:val="0"/>
        </w:rPr>
        <w:t xml:space="preserve">50% in Year </w:t>
      </w:r>
      <w:r w:rsidR="000B2C15" w:rsidRPr="0060605F">
        <w:rPr>
          <w:rFonts w:ascii="Arial" w:hAnsi="Arial"/>
          <w:b w:val="0"/>
        </w:rPr>
        <w:t xml:space="preserve">2 (2021). It is estimated that </w:t>
      </w:r>
      <w:proofErr w:type="gramStart"/>
      <w:r w:rsidR="000B2C15" w:rsidRPr="0060605F">
        <w:rPr>
          <w:rFonts w:ascii="Arial" w:hAnsi="Arial"/>
          <w:b w:val="0"/>
        </w:rPr>
        <w:t>a total of 3</w:t>
      </w:r>
      <w:r w:rsidR="003637DF" w:rsidRPr="0060605F">
        <w:rPr>
          <w:rFonts w:ascii="Arial" w:hAnsi="Arial"/>
          <w:b w:val="0"/>
        </w:rPr>
        <w:t>40</w:t>
      </w:r>
      <w:proofErr w:type="gramEnd"/>
      <w:r w:rsidR="000B2C15" w:rsidRPr="0060605F">
        <w:rPr>
          <w:rFonts w:ascii="Arial" w:hAnsi="Arial"/>
          <w:b w:val="0"/>
        </w:rPr>
        <w:t xml:space="preserve"> of patients in prisons in the two above categories will benefit from drug supply through GDF. </w:t>
      </w:r>
      <w:r w:rsidR="00291337" w:rsidRPr="0060605F">
        <w:rPr>
          <w:rFonts w:ascii="Arial" w:hAnsi="Arial"/>
          <w:b w:val="0"/>
        </w:rPr>
        <w:lastRenderedPageBreak/>
        <w:t xml:space="preserve">The treatment regimens </w:t>
      </w:r>
      <w:proofErr w:type="gramStart"/>
      <w:r w:rsidR="00291337" w:rsidRPr="0060605F">
        <w:rPr>
          <w:rFonts w:ascii="Arial" w:hAnsi="Arial"/>
          <w:b w:val="0"/>
        </w:rPr>
        <w:t>are aligned</w:t>
      </w:r>
      <w:proofErr w:type="gramEnd"/>
      <w:r w:rsidR="00291337" w:rsidRPr="0060605F">
        <w:rPr>
          <w:rFonts w:ascii="Arial" w:hAnsi="Arial"/>
          <w:b w:val="0"/>
        </w:rPr>
        <w:t xml:space="preserve"> with the new WHO recommendations. Detailed calculations of the number of patients enrolled, drug regimens and costs </w:t>
      </w:r>
      <w:proofErr w:type="gramStart"/>
      <w:r w:rsidR="00291337" w:rsidRPr="0060605F">
        <w:rPr>
          <w:rFonts w:ascii="Arial" w:hAnsi="Arial"/>
          <w:b w:val="0"/>
        </w:rPr>
        <w:t>are presented</w:t>
      </w:r>
      <w:proofErr w:type="gramEnd"/>
      <w:r w:rsidR="00291337" w:rsidRPr="0060605F">
        <w:rPr>
          <w:rFonts w:ascii="Arial" w:hAnsi="Arial"/>
          <w:b w:val="0"/>
        </w:rPr>
        <w:t xml:space="preserve"> in the </w:t>
      </w:r>
      <w:r w:rsidR="009413DD" w:rsidRPr="0060605F">
        <w:rPr>
          <w:rFonts w:ascii="Arial" w:hAnsi="Arial"/>
          <w:b w:val="0"/>
        </w:rPr>
        <w:t xml:space="preserve">detailed </w:t>
      </w:r>
      <w:proofErr w:type="spellStart"/>
      <w:r w:rsidR="00291337" w:rsidRPr="0060605F">
        <w:rPr>
          <w:rFonts w:ascii="Arial" w:hAnsi="Arial"/>
          <w:b w:val="0"/>
        </w:rPr>
        <w:t>workplan</w:t>
      </w:r>
      <w:proofErr w:type="spellEnd"/>
      <w:r w:rsidR="00291337" w:rsidRPr="0060605F">
        <w:rPr>
          <w:rFonts w:ascii="Arial" w:hAnsi="Arial"/>
          <w:b w:val="0"/>
        </w:rPr>
        <w:t xml:space="preserve"> and budget.</w:t>
      </w:r>
      <w:r w:rsidR="000B2C15" w:rsidRPr="0060605F">
        <w:rPr>
          <w:rFonts w:ascii="Arial" w:hAnsi="Arial"/>
          <w:b w:val="0"/>
        </w:rPr>
        <w:t xml:space="preserve"> </w:t>
      </w:r>
      <w:r w:rsidR="00291337" w:rsidRPr="0060605F">
        <w:rPr>
          <w:rFonts w:ascii="Arial" w:hAnsi="Arial"/>
          <w:b w:val="0"/>
        </w:rPr>
        <w:t xml:space="preserve">The annual payments to the Green Light Committee (GLC) are included in the budget according to the TGF/WHO agreement and TGF </w:t>
      </w:r>
      <w:r w:rsidR="00291337" w:rsidRPr="009527D4">
        <w:rPr>
          <w:rFonts w:ascii="Arial" w:hAnsi="Arial"/>
          <w:b w:val="0"/>
        </w:rPr>
        <w:t>requirements for applicants.</w:t>
      </w:r>
    </w:p>
    <w:p w14:paraId="5F881687" w14:textId="0B0D802F" w:rsidR="00291337" w:rsidRPr="009527D4" w:rsidRDefault="00291337" w:rsidP="00585E4F">
      <w:pPr>
        <w:spacing w:after="120" w:line="240" w:lineRule="auto"/>
        <w:jc w:val="both"/>
        <w:rPr>
          <w:rFonts w:ascii="Arial" w:hAnsi="Arial"/>
          <w:b w:val="0"/>
        </w:rPr>
      </w:pPr>
      <w:r w:rsidRPr="009527D4">
        <w:rPr>
          <w:rFonts w:ascii="Arial" w:hAnsi="Arial"/>
          <w:b w:val="0"/>
        </w:rPr>
        <w:t>In order to ensure appropriate management support to the implementation of revised DR-TB guidance, the project will provide support to organization of training courses for health care managers in the specialized TB service and general health services, including the penitentiary system. Totally six training courses will be held during the grant’s lifetime.</w:t>
      </w:r>
    </w:p>
    <w:p w14:paraId="724D93B9" w14:textId="06C9AA81" w:rsidR="00D41FDC" w:rsidRPr="009527D4" w:rsidRDefault="00D41FDC" w:rsidP="00585E4F">
      <w:pPr>
        <w:spacing w:after="120" w:line="240" w:lineRule="auto"/>
        <w:jc w:val="both"/>
        <w:rPr>
          <w:rFonts w:ascii="Arial" w:hAnsi="Arial"/>
          <w:b w:val="0"/>
        </w:rPr>
      </w:pPr>
      <w:r w:rsidRPr="009527D4">
        <w:rPr>
          <w:rFonts w:ascii="Arial" w:hAnsi="Arial"/>
          <w:b w:val="0"/>
        </w:rPr>
        <w:t xml:space="preserve">The project will support targeted activities for strengthening </w:t>
      </w:r>
      <w:proofErr w:type="spellStart"/>
      <w:r w:rsidRPr="009527D4">
        <w:rPr>
          <w:rFonts w:ascii="Arial" w:hAnsi="Arial"/>
          <w:b w:val="0"/>
        </w:rPr>
        <w:t>pharmacovigilance</w:t>
      </w:r>
      <w:proofErr w:type="spellEnd"/>
      <w:r w:rsidRPr="009527D4">
        <w:rPr>
          <w:rFonts w:ascii="Arial" w:hAnsi="Arial"/>
          <w:b w:val="0"/>
        </w:rPr>
        <w:t xml:space="preserve"> and active drug safety monitoring</w:t>
      </w:r>
      <w:r w:rsidR="004362C3" w:rsidRPr="009527D4">
        <w:rPr>
          <w:rFonts w:ascii="Arial" w:hAnsi="Arial"/>
          <w:b w:val="0"/>
        </w:rPr>
        <w:t xml:space="preserve"> </w:t>
      </w:r>
      <w:r w:rsidRPr="009527D4">
        <w:rPr>
          <w:rFonts w:ascii="Arial" w:hAnsi="Arial"/>
          <w:b w:val="0"/>
        </w:rPr>
        <w:t>(</w:t>
      </w:r>
      <w:proofErr w:type="spellStart"/>
      <w:r w:rsidRPr="009527D4">
        <w:rPr>
          <w:rFonts w:ascii="Arial" w:hAnsi="Arial"/>
          <w:b w:val="0"/>
        </w:rPr>
        <w:t>aDSM</w:t>
      </w:r>
      <w:proofErr w:type="spellEnd"/>
      <w:r w:rsidRPr="009527D4">
        <w:rPr>
          <w:rFonts w:ascii="Arial" w:hAnsi="Arial"/>
          <w:b w:val="0"/>
        </w:rPr>
        <w:t xml:space="preserve">) during treatment of RR/MDR-TB cases. For this purpose, an IT firm </w:t>
      </w:r>
      <w:proofErr w:type="gramStart"/>
      <w:r w:rsidR="00E26472" w:rsidRPr="009527D4">
        <w:rPr>
          <w:rFonts w:ascii="Arial" w:hAnsi="Arial"/>
          <w:b w:val="0"/>
        </w:rPr>
        <w:t>will be contracted</w:t>
      </w:r>
      <w:proofErr w:type="gramEnd"/>
      <w:r w:rsidR="00E26472" w:rsidRPr="009527D4">
        <w:rPr>
          <w:rFonts w:ascii="Arial" w:hAnsi="Arial"/>
          <w:b w:val="0"/>
        </w:rPr>
        <w:t xml:space="preserve"> to up</w:t>
      </w:r>
      <w:r w:rsidRPr="009527D4">
        <w:rPr>
          <w:rFonts w:ascii="Arial" w:hAnsi="Arial"/>
          <w:b w:val="0"/>
        </w:rPr>
        <w:t xml:space="preserve">grade </w:t>
      </w:r>
      <w:r w:rsidR="00E26472" w:rsidRPr="009527D4">
        <w:rPr>
          <w:rFonts w:ascii="Arial" w:hAnsi="Arial"/>
          <w:b w:val="0"/>
        </w:rPr>
        <w:t xml:space="preserve">the </w:t>
      </w:r>
      <w:proofErr w:type="spellStart"/>
      <w:r w:rsidR="00E26472" w:rsidRPr="009527D4">
        <w:rPr>
          <w:rFonts w:ascii="Arial" w:hAnsi="Arial"/>
          <w:b w:val="0"/>
        </w:rPr>
        <w:t>aDSM</w:t>
      </w:r>
      <w:proofErr w:type="spellEnd"/>
      <w:r w:rsidR="00E26472" w:rsidRPr="009527D4">
        <w:rPr>
          <w:rFonts w:ascii="Arial" w:hAnsi="Arial"/>
          <w:b w:val="0"/>
        </w:rPr>
        <w:t xml:space="preserve"> module of the National TB Register</w:t>
      </w:r>
      <w:r w:rsidRPr="009527D4">
        <w:rPr>
          <w:rFonts w:ascii="Arial" w:hAnsi="Arial"/>
          <w:b w:val="0"/>
        </w:rPr>
        <w:t xml:space="preserve">, and a national consultant will be engaged </w:t>
      </w:r>
      <w:r w:rsidR="009F7E7C" w:rsidRPr="009527D4">
        <w:rPr>
          <w:rFonts w:ascii="Arial" w:hAnsi="Arial"/>
          <w:b w:val="0"/>
        </w:rPr>
        <w:t xml:space="preserve">to assist the NTP in drug management </w:t>
      </w:r>
      <w:r w:rsidR="00992D72">
        <w:rPr>
          <w:rFonts w:ascii="Arial" w:hAnsi="Arial"/>
          <w:b w:val="0"/>
        </w:rPr>
        <w:t xml:space="preserve">with emphasis on </w:t>
      </w:r>
      <w:proofErr w:type="spellStart"/>
      <w:r w:rsidR="00992D72">
        <w:rPr>
          <w:rFonts w:ascii="Arial" w:hAnsi="Arial"/>
          <w:b w:val="0"/>
        </w:rPr>
        <w:t>pharmacovigilance</w:t>
      </w:r>
      <w:proofErr w:type="spellEnd"/>
      <w:r w:rsidR="00992D72">
        <w:rPr>
          <w:rFonts w:ascii="Arial" w:hAnsi="Arial"/>
          <w:b w:val="0"/>
        </w:rPr>
        <w:t xml:space="preserve"> and </w:t>
      </w:r>
      <w:proofErr w:type="spellStart"/>
      <w:r w:rsidR="009F7E7C" w:rsidRPr="009527D4">
        <w:rPr>
          <w:rFonts w:ascii="Arial" w:hAnsi="Arial"/>
          <w:b w:val="0"/>
        </w:rPr>
        <w:t>aDSM</w:t>
      </w:r>
      <w:proofErr w:type="spellEnd"/>
      <w:r w:rsidR="009F7E7C" w:rsidRPr="009527D4">
        <w:rPr>
          <w:rFonts w:ascii="Arial" w:hAnsi="Arial"/>
          <w:b w:val="0"/>
        </w:rPr>
        <w:t xml:space="preserve"> in conditions of transition to newly recommended treatment regimens for DR-TB. Training-of-trainer (</w:t>
      </w:r>
      <w:proofErr w:type="spellStart"/>
      <w:r w:rsidR="009F7E7C" w:rsidRPr="009527D4">
        <w:rPr>
          <w:rFonts w:ascii="Arial" w:hAnsi="Arial"/>
          <w:b w:val="0"/>
        </w:rPr>
        <w:t>ToT</w:t>
      </w:r>
      <w:proofErr w:type="spellEnd"/>
      <w:r w:rsidR="009F7E7C" w:rsidRPr="009527D4">
        <w:rPr>
          <w:rFonts w:ascii="Arial" w:hAnsi="Arial"/>
          <w:b w:val="0"/>
        </w:rPr>
        <w:t xml:space="preserve">) courses </w:t>
      </w:r>
      <w:proofErr w:type="gramStart"/>
      <w:r w:rsidR="009F7E7C" w:rsidRPr="009527D4">
        <w:rPr>
          <w:rFonts w:ascii="Arial" w:hAnsi="Arial"/>
          <w:b w:val="0"/>
        </w:rPr>
        <w:t>will be organized</w:t>
      </w:r>
      <w:proofErr w:type="gramEnd"/>
      <w:r w:rsidR="009F7E7C" w:rsidRPr="009527D4">
        <w:rPr>
          <w:rFonts w:ascii="Arial" w:hAnsi="Arial"/>
          <w:b w:val="0"/>
        </w:rPr>
        <w:t xml:space="preserve"> by NSCP for the regional (oblast) NTP staff in </w:t>
      </w:r>
      <w:proofErr w:type="spellStart"/>
      <w:r w:rsidR="009F7E7C" w:rsidRPr="009527D4">
        <w:rPr>
          <w:rFonts w:ascii="Arial" w:hAnsi="Arial"/>
          <w:b w:val="0"/>
        </w:rPr>
        <w:t>aDSM</w:t>
      </w:r>
      <w:proofErr w:type="spellEnd"/>
      <w:r w:rsidR="009F7E7C" w:rsidRPr="009527D4">
        <w:rPr>
          <w:rFonts w:ascii="Arial" w:hAnsi="Arial"/>
          <w:b w:val="0"/>
        </w:rPr>
        <w:t xml:space="preserve"> processes and the use of the updated </w:t>
      </w:r>
      <w:proofErr w:type="spellStart"/>
      <w:r w:rsidR="00465329" w:rsidRPr="009527D4">
        <w:rPr>
          <w:rFonts w:ascii="Arial" w:hAnsi="Arial"/>
          <w:b w:val="0"/>
        </w:rPr>
        <w:t>aDSM</w:t>
      </w:r>
      <w:proofErr w:type="spellEnd"/>
      <w:r w:rsidR="00465329" w:rsidRPr="009527D4">
        <w:rPr>
          <w:rFonts w:ascii="Arial" w:hAnsi="Arial"/>
          <w:b w:val="0"/>
        </w:rPr>
        <w:t xml:space="preserve"> </w:t>
      </w:r>
      <w:r w:rsidR="009F7E7C" w:rsidRPr="009527D4">
        <w:rPr>
          <w:rFonts w:ascii="Arial" w:hAnsi="Arial"/>
          <w:b w:val="0"/>
        </w:rPr>
        <w:t>module; which will further conduct cascade training for TB service provider</w:t>
      </w:r>
      <w:r w:rsidR="00465329" w:rsidRPr="009527D4">
        <w:rPr>
          <w:rFonts w:ascii="Arial" w:hAnsi="Arial"/>
          <w:b w:val="0"/>
        </w:rPr>
        <w:t>s and database operators</w:t>
      </w:r>
      <w:r w:rsidR="009F7E7C" w:rsidRPr="009527D4">
        <w:rPr>
          <w:rFonts w:ascii="Arial" w:hAnsi="Arial"/>
          <w:b w:val="0"/>
        </w:rPr>
        <w:t xml:space="preserve"> in respective regions.</w:t>
      </w:r>
      <w:r w:rsidR="00465329" w:rsidRPr="009527D4">
        <w:rPr>
          <w:rFonts w:ascii="Arial" w:hAnsi="Arial"/>
          <w:b w:val="0"/>
        </w:rPr>
        <w:t xml:space="preserve"> In total, four </w:t>
      </w:r>
      <w:proofErr w:type="spellStart"/>
      <w:r w:rsidR="00465329" w:rsidRPr="009527D4">
        <w:rPr>
          <w:rFonts w:ascii="Arial" w:hAnsi="Arial"/>
          <w:b w:val="0"/>
        </w:rPr>
        <w:t>ToT</w:t>
      </w:r>
      <w:proofErr w:type="spellEnd"/>
      <w:r w:rsidR="00465329" w:rsidRPr="009527D4">
        <w:rPr>
          <w:rFonts w:ascii="Arial" w:hAnsi="Arial"/>
          <w:b w:val="0"/>
        </w:rPr>
        <w:t xml:space="preserve"> courses </w:t>
      </w:r>
      <w:proofErr w:type="gramStart"/>
      <w:r w:rsidR="00465329" w:rsidRPr="009527D4">
        <w:rPr>
          <w:rFonts w:ascii="Arial" w:hAnsi="Arial"/>
          <w:b w:val="0"/>
        </w:rPr>
        <w:t>will be conducted</w:t>
      </w:r>
      <w:proofErr w:type="gramEnd"/>
      <w:r w:rsidR="00465329" w:rsidRPr="009527D4">
        <w:rPr>
          <w:rFonts w:ascii="Arial" w:hAnsi="Arial"/>
          <w:b w:val="0"/>
        </w:rPr>
        <w:t xml:space="preserve"> in Q3 and Q5 of the project.</w:t>
      </w:r>
      <w:r w:rsidRPr="009527D4">
        <w:rPr>
          <w:rFonts w:ascii="Arial" w:hAnsi="Arial"/>
          <w:b w:val="0"/>
        </w:rPr>
        <w:tab/>
      </w:r>
    </w:p>
    <w:p w14:paraId="12B924B2" w14:textId="0BB731C9" w:rsidR="00465329" w:rsidRPr="009527D4" w:rsidRDefault="00465329" w:rsidP="00585E4F">
      <w:pPr>
        <w:spacing w:after="120" w:line="240" w:lineRule="auto"/>
        <w:jc w:val="both"/>
        <w:rPr>
          <w:rFonts w:ascii="Arial" w:hAnsi="Arial"/>
          <w:b w:val="0"/>
          <w:u w:val="single"/>
        </w:rPr>
      </w:pPr>
      <w:r w:rsidRPr="009527D4">
        <w:rPr>
          <w:rFonts w:ascii="Arial" w:hAnsi="Arial"/>
          <w:b w:val="0"/>
          <w:u w:val="single"/>
        </w:rPr>
        <w:t>Intervention 2.3. Community care delivery: MDR</w:t>
      </w:r>
      <w:r w:rsidR="00FF4FCB" w:rsidRPr="009527D4">
        <w:rPr>
          <w:rFonts w:ascii="Arial" w:hAnsi="Arial"/>
          <w:b w:val="0"/>
          <w:u w:val="single"/>
        </w:rPr>
        <w:t>-TB</w:t>
      </w:r>
    </w:p>
    <w:p w14:paraId="0F25C93D" w14:textId="3FD02FEF" w:rsidR="00D06F14" w:rsidRPr="009527D4" w:rsidRDefault="00465329" w:rsidP="00585E4F">
      <w:pPr>
        <w:spacing w:after="120" w:line="240" w:lineRule="auto"/>
        <w:jc w:val="both"/>
        <w:rPr>
          <w:rFonts w:ascii="Arial" w:hAnsi="Arial"/>
          <w:b w:val="0"/>
          <w:i/>
        </w:rPr>
      </w:pPr>
      <w:r w:rsidRPr="009527D4">
        <w:rPr>
          <w:rFonts w:ascii="Arial" w:hAnsi="Arial"/>
          <w:b w:val="0"/>
          <w:i/>
        </w:rPr>
        <w:t>Module:</w:t>
      </w:r>
      <w:r w:rsidRPr="009527D4">
        <w:rPr>
          <w:rFonts w:ascii="Arial" w:hAnsi="Arial"/>
          <w:b w:val="0"/>
          <w:i/>
        </w:rPr>
        <w:tab/>
        <w:t xml:space="preserve"> Multidrug-resistant tuberculosis (MDR-TB)</w:t>
      </w:r>
    </w:p>
    <w:p w14:paraId="7383AE90" w14:textId="1CFDD26C" w:rsidR="00D06F14" w:rsidRPr="009527D4" w:rsidRDefault="00465329" w:rsidP="00585E4F">
      <w:pPr>
        <w:spacing w:after="120" w:line="240" w:lineRule="auto"/>
        <w:jc w:val="both"/>
        <w:rPr>
          <w:rFonts w:ascii="Arial" w:hAnsi="Arial"/>
          <w:b w:val="0"/>
        </w:rPr>
      </w:pPr>
      <w:r w:rsidRPr="009527D4">
        <w:rPr>
          <w:rFonts w:ascii="Arial" w:hAnsi="Arial"/>
          <w:b w:val="0"/>
        </w:rPr>
        <w:t>Under this Intervention, the proposal seeks support for priority activities</w:t>
      </w:r>
      <w:r w:rsidR="001E79FC">
        <w:rPr>
          <w:rFonts w:ascii="Arial" w:hAnsi="Arial"/>
          <w:b w:val="0"/>
        </w:rPr>
        <w:t xml:space="preserve"> </w:t>
      </w:r>
      <w:r w:rsidR="007B0980" w:rsidRPr="009527D4">
        <w:rPr>
          <w:rFonts w:ascii="Arial" w:hAnsi="Arial"/>
          <w:b w:val="0"/>
        </w:rPr>
        <w:t>aimed</w:t>
      </w:r>
      <w:r w:rsidRPr="009527D4">
        <w:rPr>
          <w:rFonts w:ascii="Arial" w:hAnsi="Arial"/>
          <w:b w:val="0"/>
        </w:rPr>
        <w:t xml:space="preserve"> at strengthening participation of civil society organizations, community </w:t>
      </w:r>
      <w:r w:rsidR="00064022" w:rsidRPr="009527D4">
        <w:rPr>
          <w:rFonts w:ascii="Arial" w:hAnsi="Arial"/>
          <w:b w:val="0"/>
        </w:rPr>
        <w:t xml:space="preserve">establishments and other non-state actors in integrated responses to TB and DR-TB at community level that form people-centered approaches and imply active participation of patients and households in </w:t>
      </w:r>
      <w:proofErr w:type="gramStart"/>
      <w:r w:rsidR="00064022" w:rsidRPr="009527D4">
        <w:rPr>
          <w:rFonts w:ascii="Arial" w:hAnsi="Arial"/>
          <w:b w:val="0"/>
        </w:rPr>
        <w:t>decision making</w:t>
      </w:r>
      <w:proofErr w:type="gramEnd"/>
      <w:r w:rsidR="00064022" w:rsidRPr="009527D4">
        <w:rPr>
          <w:rFonts w:ascii="Arial" w:hAnsi="Arial"/>
          <w:b w:val="0"/>
        </w:rPr>
        <w:t xml:space="preserve">, monitoring of service performance and promotion of patient rights and empowerment. The activities </w:t>
      </w:r>
      <w:proofErr w:type="gramStart"/>
      <w:r w:rsidR="00064022" w:rsidRPr="009527D4">
        <w:rPr>
          <w:rFonts w:ascii="Arial" w:hAnsi="Arial"/>
          <w:b w:val="0"/>
        </w:rPr>
        <w:t>were designed</w:t>
      </w:r>
      <w:proofErr w:type="gramEnd"/>
      <w:r w:rsidR="00064022" w:rsidRPr="009527D4">
        <w:rPr>
          <w:rFonts w:ascii="Arial" w:hAnsi="Arial"/>
          <w:b w:val="0"/>
        </w:rPr>
        <w:t xml:space="preserve"> taking into account the lessons learned and successful experiences accumulated during the current implementation period. </w:t>
      </w:r>
    </w:p>
    <w:p w14:paraId="516B7F30" w14:textId="5CFC968A" w:rsidR="00D06F14" w:rsidRPr="009527D4" w:rsidRDefault="00064022" w:rsidP="00585E4F">
      <w:pPr>
        <w:spacing w:after="120" w:line="240" w:lineRule="auto"/>
        <w:jc w:val="both"/>
        <w:rPr>
          <w:rFonts w:ascii="Arial" w:hAnsi="Arial"/>
          <w:b w:val="0"/>
        </w:rPr>
      </w:pPr>
      <w:r w:rsidRPr="009527D4">
        <w:rPr>
          <w:rFonts w:ascii="Arial" w:hAnsi="Arial"/>
          <w:b w:val="0"/>
        </w:rPr>
        <w:t xml:space="preserve">The National Stop TB Partnership </w:t>
      </w:r>
      <w:r w:rsidR="00023ED8" w:rsidRPr="009527D4">
        <w:rPr>
          <w:rFonts w:ascii="Arial" w:hAnsi="Arial"/>
          <w:b w:val="0"/>
        </w:rPr>
        <w:t xml:space="preserve">(NSTP) </w:t>
      </w:r>
      <w:r w:rsidRPr="009527D4">
        <w:rPr>
          <w:rFonts w:ascii="Arial" w:hAnsi="Arial"/>
          <w:b w:val="0"/>
        </w:rPr>
        <w:t>platform</w:t>
      </w:r>
      <w:r w:rsidR="00023ED8" w:rsidRPr="009527D4">
        <w:rPr>
          <w:rFonts w:ascii="Arial" w:hAnsi="Arial"/>
          <w:b w:val="0"/>
        </w:rPr>
        <w:t xml:space="preserve"> in Kazakhstan</w:t>
      </w:r>
      <w:r w:rsidRPr="009527D4">
        <w:rPr>
          <w:rFonts w:ascii="Arial" w:hAnsi="Arial"/>
          <w:b w:val="0"/>
        </w:rPr>
        <w:t xml:space="preserve">, established within the ongoing TGF TB grant, will be further supported through organization of exchange visits to selected countries in the region that have functional national partnerships and/or implement other best practices related to CSO and community engagement (2 visits </w:t>
      </w:r>
      <w:r w:rsidR="00023ED8" w:rsidRPr="009527D4">
        <w:rPr>
          <w:rFonts w:ascii="Arial" w:hAnsi="Arial"/>
          <w:b w:val="0"/>
        </w:rPr>
        <w:t xml:space="preserve">during </w:t>
      </w:r>
      <w:r w:rsidRPr="009527D4">
        <w:rPr>
          <w:rFonts w:ascii="Arial" w:hAnsi="Arial"/>
          <w:b w:val="0"/>
        </w:rPr>
        <w:t>Years 1-2).</w:t>
      </w:r>
      <w:r w:rsidR="00023ED8" w:rsidRPr="009527D4">
        <w:rPr>
          <w:rFonts w:ascii="Arial" w:hAnsi="Arial"/>
          <w:b w:val="0"/>
        </w:rPr>
        <w:t xml:space="preserve"> To expand the scope and capacities of NSTP and partners, technical assistance will be provided by an external consultant to facilitate social contracting of NGOs with state funds (through local budgets); the assignment will include the task of defining the costs for service delivery activities by NGOs, which will harmonize the contracting processes.</w:t>
      </w:r>
    </w:p>
    <w:p w14:paraId="1787ADE3" w14:textId="77777777" w:rsidR="00A4302A" w:rsidRPr="009527D4" w:rsidRDefault="00A4302A" w:rsidP="00585E4F">
      <w:pPr>
        <w:spacing w:after="120" w:line="240" w:lineRule="auto"/>
        <w:jc w:val="both"/>
        <w:rPr>
          <w:rFonts w:ascii="Arial" w:hAnsi="Arial"/>
          <w:b w:val="0"/>
        </w:rPr>
      </w:pPr>
      <w:r w:rsidRPr="009527D4">
        <w:rPr>
          <w:rFonts w:ascii="Arial" w:hAnsi="Arial"/>
          <w:b w:val="0"/>
        </w:rPr>
        <w:t xml:space="preserve">The NSTP Kazakhstan will take the lead in launching the advocacy / communication campaign to promote community-based TB awareness and responses through scaling up social contracting and ensuring sustainability and accountability. For this purpose, the project will support advocacy meetings with key decision makers at central and regional level; </w:t>
      </w:r>
      <w:r w:rsidR="00196B98" w:rsidRPr="009527D4">
        <w:rPr>
          <w:rFonts w:ascii="Arial" w:hAnsi="Arial"/>
          <w:b w:val="0"/>
        </w:rPr>
        <w:t>round tables</w:t>
      </w:r>
      <w:r w:rsidRPr="009527D4">
        <w:rPr>
          <w:rFonts w:ascii="Arial" w:hAnsi="Arial"/>
          <w:b w:val="0"/>
        </w:rPr>
        <w:t xml:space="preserve"> with participation of public authorities and CSO partners; development and </w:t>
      </w:r>
      <w:r w:rsidR="00196B98" w:rsidRPr="009527D4">
        <w:rPr>
          <w:rFonts w:ascii="Arial" w:hAnsi="Arial"/>
          <w:b w:val="0"/>
        </w:rPr>
        <w:t xml:space="preserve">broadcasting of video and </w:t>
      </w:r>
      <w:r w:rsidRPr="009527D4">
        <w:rPr>
          <w:rFonts w:ascii="Arial" w:hAnsi="Arial"/>
          <w:b w:val="0"/>
        </w:rPr>
        <w:t>audi</w:t>
      </w:r>
      <w:r w:rsidR="00196B98" w:rsidRPr="009527D4">
        <w:rPr>
          <w:rFonts w:ascii="Arial" w:hAnsi="Arial"/>
          <w:b w:val="0"/>
        </w:rPr>
        <w:t>o spots</w:t>
      </w:r>
      <w:r w:rsidRPr="009527D4">
        <w:rPr>
          <w:rFonts w:ascii="Arial" w:hAnsi="Arial"/>
          <w:b w:val="0"/>
        </w:rPr>
        <w:t xml:space="preserve">; and targeted </w:t>
      </w:r>
      <w:r w:rsidR="00196B98" w:rsidRPr="009527D4">
        <w:rPr>
          <w:rFonts w:ascii="Arial" w:hAnsi="Arial"/>
          <w:b w:val="0"/>
        </w:rPr>
        <w:t>outdoor advertising</w:t>
      </w:r>
      <w:r w:rsidRPr="009527D4">
        <w:rPr>
          <w:rFonts w:ascii="Arial" w:hAnsi="Arial"/>
          <w:b w:val="0"/>
        </w:rPr>
        <w:t xml:space="preserve"> and </w:t>
      </w:r>
      <w:r w:rsidR="00196B98" w:rsidRPr="009527D4">
        <w:rPr>
          <w:rFonts w:ascii="Arial" w:hAnsi="Arial"/>
          <w:b w:val="0"/>
        </w:rPr>
        <w:t xml:space="preserve">printed materials, </w:t>
      </w:r>
      <w:r w:rsidRPr="009527D4">
        <w:rPr>
          <w:rFonts w:ascii="Arial" w:hAnsi="Arial"/>
          <w:b w:val="0"/>
        </w:rPr>
        <w:t xml:space="preserve">etc. </w:t>
      </w:r>
    </w:p>
    <w:p w14:paraId="0C38DF8F" w14:textId="31C92DBF" w:rsidR="00870DE9" w:rsidRPr="009527D4" w:rsidRDefault="00870DE9" w:rsidP="00585E4F">
      <w:pPr>
        <w:spacing w:after="120" w:line="240" w:lineRule="auto"/>
        <w:jc w:val="both"/>
        <w:rPr>
          <w:rFonts w:ascii="Arial" w:hAnsi="Arial"/>
          <w:b w:val="0"/>
        </w:rPr>
      </w:pPr>
      <w:r w:rsidRPr="007645C2">
        <w:rPr>
          <w:rFonts w:ascii="Arial" w:hAnsi="Arial"/>
          <w:b w:val="0"/>
        </w:rPr>
        <w:t>Support to t</w:t>
      </w:r>
      <w:r w:rsidR="00A4302A" w:rsidRPr="007645C2">
        <w:rPr>
          <w:rFonts w:ascii="Arial" w:hAnsi="Arial"/>
          <w:b w:val="0"/>
        </w:rPr>
        <w:t>he small grants’ program</w:t>
      </w:r>
      <w:r w:rsidRPr="007645C2">
        <w:rPr>
          <w:rFonts w:ascii="Arial" w:hAnsi="Arial"/>
          <w:b w:val="0"/>
        </w:rPr>
        <w:t xml:space="preserve"> for NGOs will be continued and adjusted </w:t>
      </w:r>
      <w:proofErr w:type="gramStart"/>
      <w:r w:rsidRPr="007645C2">
        <w:rPr>
          <w:rFonts w:ascii="Arial" w:hAnsi="Arial"/>
          <w:b w:val="0"/>
        </w:rPr>
        <w:t>on the basis of</w:t>
      </w:r>
      <w:proofErr w:type="gramEnd"/>
      <w:r w:rsidRPr="007645C2">
        <w:rPr>
          <w:rFonts w:ascii="Arial" w:hAnsi="Arial"/>
          <w:b w:val="0"/>
        </w:rPr>
        <w:t xml:space="preserve"> lessons learned and best practices in the ongoing grant. It </w:t>
      </w:r>
      <w:proofErr w:type="gramStart"/>
      <w:r w:rsidRPr="007645C2">
        <w:rPr>
          <w:rFonts w:ascii="Arial" w:hAnsi="Arial"/>
          <w:b w:val="0"/>
        </w:rPr>
        <w:t>will be complemented</w:t>
      </w:r>
      <w:proofErr w:type="gramEnd"/>
      <w:r w:rsidRPr="007645C2">
        <w:rPr>
          <w:rFonts w:ascii="Arial" w:hAnsi="Arial"/>
          <w:b w:val="0"/>
        </w:rPr>
        <w:t xml:space="preserve"> by c</w:t>
      </w:r>
      <w:r w:rsidR="00A4302A" w:rsidRPr="007645C2">
        <w:rPr>
          <w:rFonts w:ascii="Arial" w:hAnsi="Arial"/>
          <w:b w:val="0"/>
        </w:rPr>
        <w:t>apacity building for local NGOs to facilitate their involvement in TB prevention and care, in particular in addressing the needs of vulnerable and at-risk populations</w:t>
      </w:r>
      <w:r w:rsidR="007B0980" w:rsidRPr="007645C2">
        <w:rPr>
          <w:rFonts w:ascii="Arial" w:hAnsi="Arial"/>
          <w:b w:val="0"/>
        </w:rPr>
        <w:t xml:space="preserve"> (PL</w:t>
      </w:r>
      <w:r w:rsidR="001E79FC" w:rsidRPr="007645C2">
        <w:rPr>
          <w:rFonts w:ascii="Arial" w:hAnsi="Arial"/>
          <w:b w:val="0"/>
        </w:rPr>
        <w:t xml:space="preserve">HIV, PWID, </w:t>
      </w:r>
      <w:r w:rsidR="007B0980" w:rsidRPr="007645C2">
        <w:rPr>
          <w:rFonts w:ascii="Arial" w:hAnsi="Arial"/>
          <w:b w:val="0"/>
        </w:rPr>
        <w:t>prisoners and ex-prisoners, migrants</w:t>
      </w:r>
      <w:r w:rsidR="00D53505">
        <w:rPr>
          <w:rFonts w:ascii="Arial" w:hAnsi="Arial"/>
          <w:b w:val="0"/>
        </w:rPr>
        <w:t xml:space="preserve"> and homeless</w:t>
      </w:r>
      <w:r w:rsidR="001E79FC" w:rsidRPr="007645C2">
        <w:rPr>
          <w:rFonts w:ascii="Arial" w:hAnsi="Arial"/>
          <w:b w:val="0"/>
        </w:rPr>
        <w:t>)</w:t>
      </w:r>
      <w:r w:rsidR="00A4302A" w:rsidRPr="007645C2">
        <w:rPr>
          <w:rFonts w:ascii="Arial" w:hAnsi="Arial"/>
          <w:b w:val="0"/>
        </w:rPr>
        <w:t xml:space="preserve">. </w:t>
      </w:r>
      <w:proofErr w:type="gramStart"/>
      <w:r w:rsidR="00A4302A" w:rsidRPr="007645C2">
        <w:rPr>
          <w:rFonts w:ascii="Arial" w:hAnsi="Arial"/>
          <w:b w:val="0"/>
        </w:rPr>
        <w:t xml:space="preserve">The project will provide two types of training focusing on </w:t>
      </w:r>
      <w:proofErr w:type="spellStart"/>
      <w:r w:rsidR="00A4302A" w:rsidRPr="007645C2">
        <w:rPr>
          <w:rFonts w:ascii="Arial" w:hAnsi="Arial"/>
          <w:b w:val="0"/>
        </w:rPr>
        <w:t>i</w:t>
      </w:r>
      <w:proofErr w:type="spellEnd"/>
      <w:r w:rsidR="00A4302A" w:rsidRPr="007645C2">
        <w:rPr>
          <w:rFonts w:ascii="Arial" w:hAnsi="Arial"/>
          <w:b w:val="0"/>
        </w:rPr>
        <w:t>) key TB-related problems in the target groups, contemporary approaches for patient support and the role of civil society and local actors for strengthening adherence and</w:t>
      </w:r>
      <w:r w:rsidR="00A4302A" w:rsidRPr="009527D4">
        <w:rPr>
          <w:rFonts w:ascii="Arial" w:hAnsi="Arial"/>
          <w:b w:val="0"/>
        </w:rPr>
        <w:t xml:space="preserve"> other types of support in view of people-centered TB care delivery model (3 training courses); and </w:t>
      </w:r>
      <w:r w:rsidR="00A4302A" w:rsidRPr="009527D4">
        <w:rPr>
          <w:rFonts w:ascii="Arial" w:hAnsi="Arial"/>
          <w:b w:val="0"/>
        </w:rPr>
        <w:lastRenderedPageBreak/>
        <w:t>ii) organizational development; project design, implementation, monitoring and evaluation; communications and reporting (2 courses).</w:t>
      </w:r>
      <w:proofErr w:type="gramEnd"/>
    </w:p>
    <w:p w14:paraId="1285E093" w14:textId="0F0B4D8A" w:rsidR="00431052" w:rsidRPr="009527D4" w:rsidRDefault="00870DE9" w:rsidP="00585E4F">
      <w:pPr>
        <w:spacing w:after="120" w:line="240" w:lineRule="auto"/>
        <w:jc w:val="both"/>
        <w:rPr>
          <w:rFonts w:ascii="Arial" w:hAnsi="Arial"/>
          <w:b w:val="0"/>
        </w:rPr>
      </w:pPr>
      <w:r w:rsidRPr="009527D4">
        <w:rPr>
          <w:rFonts w:ascii="Arial" w:hAnsi="Arial"/>
          <w:b w:val="0"/>
        </w:rPr>
        <w:t>The applicati</w:t>
      </w:r>
      <w:r w:rsidR="002A79C7">
        <w:rPr>
          <w:rFonts w:ascii="Arial" w:hAnsi="Arial"/>
          <w:b w:val="0"/>
        </w:rPr>
        <w:t>on seeks support to a total of 4</w:t>
      </w:r>
      <w:r w:rsidRPr="009527D4">
        <w:rPr>
          <w:rFonts w:ascii="Arial" w:hAnsi="Arial"/>
          <w:b w:val="0"/>
        </w:rPr>
        <w:t>5 small NGO grants over t</w:t>
      </w:r>
      <w:r w:rsidR="002A79C7">
        <w:rPr>
          <w:rFonts w:ascii="Arial" w:hAnsi="Arial"/>
          <w:b w:val="0"/>
        </w:rPr>
        <w:t>he project’s lifetime: Year 1- 20</w:t>
      </w:r>
      <w:r w:rsidRPr="009527D4">
        <w:rPr>
          <w:rFonts w:ascii="Arial" w:hAnsi="Arial"/>
          <w:b w:val="0"/>
        </w:rPr>
        <w:t xml:space="preserve"> grants, Year 2 – 1</w:t>
      </w:r>
      <w:r w:rsidR="002A79C7">
        <w:rPr>
          <w:rFonts w:ascii="Arial" w:hAnsi="Arial"/>
          <w:b w:val="0"/>
        </w:rPr>
        <w:t>5</w:t>
      </w:r>
      <w:r w:rsidRPr="009527D4">
        <w:rPr>
          <w:rFonts w:ascii="Arial" w:hAnsi="Arial"/>
          <w:b w:val="0"/>
        </w:rPr>
        <w:t xml:space="preserve"> grants, Year 3 – </w:t>
      </w:r>
      <w:r w:rsidR="002A79C7">
        <w:rPr>
          <w:rFonts w:ascii="Arial" w:hAnsi="Arial"/>
          <w:b w:val="0"/>
        </w:rPr>
        <w:t>10</w:t>
      </w:r>
      <w:r w:rsidRPr="009527D4">
        <w:rPr>
          <w:rFonts w:ascii="Arial" w:hAnsi="Arial"/>
          <w:b w:val="0"/>
        </w:rPr>
        <w:t xml:space="preserve"> grants, thus relying on increasing role of the state in supporting NGOs through social contracting, as an integral part of the overall transition process. </w:t>
      </w:r>
      <w:proofErr w:type="gramStart"/>
      <w:r w:rsidRPr="009527D4">
        <w:rPr>
          <w:rFonts w:ascii="Arial" w:hAnsi="Arial"/>
          <w:b w:val="0"/>
        </w:rPr>
        <w:t>The NGO grants will be implemented in different regions of the country and will include a comprehensive range of interventions focusing on: (</w:t>
      </w:r>
      <w:proofErr w:type="spellStart"/>
      <w:r w:rsidR="00196B98" w:rsidRPr="009527D4">
        <w:rPr>
          <w:rFonts w:ascii="Arial" w:hAnsi="Arial"/>
          <w:b w:val="0"/>
        </w:rPr>
        <w:t>i</w:t>
      </w:r>
      <w:proofErr w:type="spellEnd"/>
      <w:r w:rsidR="00196B98" w:rsidRPr="009527D4">
        <w:rPr>
          <w:rFonts w:ascii="Arial" w:hAnsi="Arial"/>
          <w:b w:val="0"/>
        </w:rPr>
        <w:t>)</w:t>
      </w:r>
      <w:r w:rsidRPr="009527D4">
        <w:rPr>
          <w:rFonts w:ascii="Arial" w:hAnsi="Arial"/>
          <w:b w:val="0"/>
        </w:rPr>
        <w:t xml:space="preserve"> rolling out of</w:t>
      </w:r>
      <w:r w:rsidR="00196B98" w:rsidRPr="009527D4">
        <w:rPr>
          <w:rFonts w:ascii="Arial" w:hAnsi="Arial"/>
          <w:b w:val="0"/>
        </w:rPr>
        <w:t xml:space="preserve"> innovative </w:t>
      </w:r>
      <w:r w:rsidRPr="009527D4">
        <w:rPr>
          <w:rFonts w:ascii="Arial" w:hAnsi="Arial"/>
          <w:b w:val="0"/>
        </w:rPr>
        <w:t xml:space="preserve">people- and </w:t>
      </w:r>
      <w:r w:rsidR="00196B98" w:rsidRPr="009527D4">
        <w:rPr>
          <w:rFonts w:ascii="Arial" w:hAnsi="Arial"/>
          <w:b w:val="0"/>
        </w:rPr>
        <w:t>patient-centered approaches for improving case detection, treatmen</w:t>
      </w:r>
      <w:r w:rsidRPr="009527D4">
        <w:rPr>
          <w:rFonts w:ascii="Arial" w:hAnsi="Arial"/>
          <w:b w:val="0"/>
        </w:rPr>
        <w:t>t adherence, cont</w:t>
      </w:r>
      <w:r w:rsidR="00196B98" w:rsidRPr="009527D4">
        <w:rPr>
          <w:rFonts w:ascii="Arial" w:hAnsi="Arial"/>
          <w:b w:val="0"/>
        </w:rPr>
        <w:t>act tracing and preventio</w:t>
      </w:r>
      <w:r w:rsidRPr="009527D4">
        <w:rPr>
          <w:rFonts w:ascii="Arial" w:hAnsi="Arial"/>
          <w:b w:val="0"/>
        </w:rPr>
        <w:t xml:space="preserve">n in disadvantaged communities; </w:t>
      </w:r>
      <w:r w:rsidR="00196B98" w:rsidRPr="009527D4">
        <w:rPr>
          <w:rFonts w:ascii="Arial" w:hAnsi="Arial"/>
          <w:b w:val="0"/>
        </w:rPr>
        <w:t xml:space="preserve">(ii) </w:t>
      </w:r>
      <w:r w:rsidRPr="009527D4">
        <w:rPr>
          <w:rFonts w:ascii="Arial" w:hAnsi="Arial"/>
          <w:b w:val="0"/>
        </w:rPr>
        <w:t xml:space="preserve">support to </w:t>
      </w:r>
      <w:r w:rsidR="00196B98" w:rsidRPr="009527D4">
        <w:rPr>
          <w:rFonts w:ascii="Arial" w:hAnsi="Arial"/>
          <w:b w:val="0"/>
        </w:rPr>
        <w:t>TB and DR-TB case finding, case management and prevention in high-risk and vulnerable population groups: PLHIV, IDUs, migrants, prisoners and ex-prisoners, and homeless people</w:t>
      </w:r>
      <w:r w:rsidRPr="009527D4">
        <w:rPr>
          <w:rFonts w:ascii="Arial" w:hAnsi="Arial"/>
          <w:b w:val="0"/>
        </w:rPr>
        <w:t xml:space="preserve">; and (iii) addressing </w:t>
      </w:r>
      <w:r w:rsidR="006D1F23" w:rsidRPr="009527D4">
        <w:rPr>
          <w:rFonts w:ascii="Arial" w:hAnsi="Arial"/>
          <w:b w:val="0"/>
        </w:rPr>
        <w:t>legal barriers to care, human rights, gender, stigma and other factors limiting access to services.</w:t>
      </w:r>
      <w:proofErr w:type="gramEnd"/>
    </w:p>
    <w:p w14:paraId="4EF1E764" w14:textId="77777777" w:rsidR="004C0F0A" w:rsidRPr="009527D4" w:rsidRDefault="001772D0" w:rsidP="00585E4F">
      <w:pPr>
        <w:spacing w:after="120" w:line="240" w:lineRule="auto"/>
        <w:jc w:val="both"/>
        <w:rPr>
          <w:rFonts w:ascii="Arial" w:hAnsi="Arial"/>
          <w:b w:val="0"/>
        </w:rPr>
      </w:pPr>
      <w:r w:rsidRPr="009527D4">
        <w:rPr>
          <w:rFonts w:ascii="Arial" w:hAnsi="Arial"/>
          <w:b w:val="0"/>
        </w:rPr>
        <w:t xml:space="preserve">Based on the experience gained in the current project, the Principal Recipient will ensure appropriate procedures for </w:t>
      </w:r>
      <w:r w:rsidR="00431052" w:rsidRPr="009527D4">
        <w:rPr>
          <w:rFonts w:ascii="Arial" w:hAnsi="Arial"/>
          <w:b w:val="0"/>
        </w:rPr>
        <w:t xml:space="preserve">announcing and </w:t>
      </w:r>
      <w:r w:rsidRPr="009527D4">
        <w:rPr>
          <w:rFonts w:ascii="Arial" w:hAnsi="Arial"/>
          <w:b w:val="0"/>
        </w:rPr>
        <w:t>selection, contract</w:t>
      </w:r>
      <w:r w:rsidR="00431052" w:rsidRPr="009527D4">
        <w:rPr>
          <w:rFonts w:ascii="Arial" w:hAnsi="Arial"/>
          <w:b w:val="0"/>
        </w:rPr>
        <w:t>ing</w:t>
      </w:r>
      <w:r w:rsidRPr="009527D4">
        <w:rPr>
          <w:rFonts w:ascii="Arial" w:hAnsi="Arial"/>
          <w:b w:val="0"/>
        </w:rPr>
        <w:t>, oversight, reporting and M&amp;E of the NGO small grants program.</w:t>
      </w:r>
      <w:r w:rsidR="00431052" w:rsidRPr="009527D4">
        <w:rPr>
          <w:rFonts w:ascii="Arial" w:hAnsi="Arial"/>
          <w:b w:val="0"/>
        </w:rPr>
        <w:t xml:space="preserve"> </w:t>
      </w:r>
      <w:proofErr w:type="gramStart"/>
      <w:r w:rsidR="00431052" w:rsidRPr="009527D4">
        <w:rPr>
          <w:rFonts w:ascii="Arial" w:hAnsi="Arial"/>
          <w:b w:val="0"/>
        </w:rPr>
        <w:t xml:space="preserve">Monitoring visits to selected regions and projects will be conducted by PR and NTP M&amp;E staff to assess grants implementation, quality of services and users’ satisfaction, and identify implementation challenges and </w:t>
      </w:r>
      <w:r w:rsidR="004C0F0A" w:rsidRPr="009527D4">
        <w:rPr>
          <w:rFonts w:ascii="Arial" w:hAnsi="Arial"/>
          <w:b w:val="0"/>
        </w:rPr>
        <w:t>measures required to address them</w:t>
      </w:r>
      <w:proofErr w:type="gramEnd"/>
      <w:r w:rsidR="004C0F0A" w:rsidRPr="009527D4">
        <w:rPr>
          <w:rFonts w:ascii="Arial" w:hAnsi="Arial"/>
          <w:b w:val="0"/>
        </w:rPr>
        <w:t xml:space="preserve">. It </w:t>
      </w:r>
      <w:proofErr w:type="gramStart"/>
      <w:r w:rsidR="004C0F0A" w:rsidRPr="009527D4">
        <w:rPr>
          <w:rFonts w:ascii="Arial" w:hAnsi="Arial"/>
          <w:b w:val="0"/>
        </w:rPr>
        <w:t>is planned</w:t>
      </w:r>
      <w:proofErr w:type="gramEnd"/>
      <w:r w:rsidR="004C0F0A" w:rsidRPr="009527D4">
        <w:rPr>
          <w:rFonts w:ascii="Arial" w:hAnsi="Arial"/>
          <w:b w:val="0"/>
        </w:rPr>
        <w:t xml:space="preserve"> to have two monitoring visits per project per year. In addition, exchange visits between different NGO implementers </w:t>
      </w:r>
      <w:proofErr w:type="gramStart"/>
      <w:r w:rsidR="004C0F0A" w:rsidRPr="009527D4">
        <w:rPr>
          <w:rFonts w:ascii="Arial" w:hAnsi="Arial"/>
          <w:b w:val="0"/>
        </w:rPr>
        <w:t>will be organized</w:t>
      </w:r>
      <w:proofErr w:type="gramEnd"/>
      <w:r w:rsidR="004C0F0A" w:rsidRPr="009527D4">
        <w:rPr>
          <w:rFonts w:ascii="Arial" w:hAnsi="Arial"/>
          <w:b w:val="0"/>
        </w:rPr>
        <w:t xml:space="preserve"> with the scope of peer review and experience sharing.</w:t>
      </w:r>
    </w:p>
    <w:p w14:paraId="503C2D5D" w14:textId="0113B140" w:rsidR="00431052" w:rsidRPr="009527D4" w:rsidRDefault="00431052" w:rsidP="00585E4F">
      <w:pPr>
        <w:spacing w:after="120" w:line="240" w:lineRule="auto"/>
        <w:jc w:val="both"/>
        <w:rPr>
          <w:rFonts w:ascii="Arial" w:hAnsi="Arial"/>
          <w:b w:val="0"/>
        </w:rPr>
      </w:pPr>
      <w:r w:rsidRPr="009527D4">
        <w:rPr>
          <w:rFonts w:ascii="Arial" w:hAnsi="Arial"/>
          <w:b w:val="0"/>
        </w:rPr>
        <w:t xml:space="preserve">The NGO clients’ database, which is being established under the ongoing TGF TB project, will be maintained and regularly updated to ensure effective M&amp;E of services provided within the grants. The NGO grantees’ staff will receive appropriate training and management of clients’ data. </w:t>
      </w:r>
    </w:p>
    <w:p w14:paraId="3FE72492" w14:textId="77777777" w:rsidR="008212B7" w:rsidRPr="009527D4" w:rsidRDefault="00196B98" w:rsidP="00585E4F">
      <w:pPr>
        <w:spacing w:after="120" w:line="240" w:lineRule="auto"/>
        <w:jc w:val="both"/>
        <w:rPr>
          <w:rFonts w:ascii="Arial" w:hAnsi="Arial"/>
          <w:b w:val="0"/>
        </w:rPr>
      </w:pPr>
      <w:r w:rsidRPr="009527D4">
        <w:rPr>
          <w:rFonts w:ascii="Arial" w:hAnsi="Arial"/>
          <w:b w:val="0"/>
        </w:rPr>
        <w:t xml:space="preserve">The national TB conference, with participation of </w:t>
      </w:r>
      <w:r w:rsidR="004C0F0A" w:rsidRPr="009527D4">
        <w:rPr>
          <w:rFonts w:ascii="Arial" w:hAnsi="Arial"/>
          <w:b w:val="0"/>
        </w:rPr>
        <w:t xml:space="preserve">all partners active in TB control </w:t>
      </w:r>
      <w:r w:rsidRPr="009527D4">
        <w:rPr>
          <w:rFonts w:ascii="Arial" w:hAnsi="Arial"/>
          <w:b w:val="0"/>
        </w:rPr>
        <w:t>(</w:t>
      </w:r>
      <w:r w:rsidR="004C0F0A" w:rsidRPr="009527D4">
        <w:rPr>
          <w:rFonts w:ascii="Arial" w:hAnsi="Arial"/>
          <w:b w:val="0"/>
        </w:rPr>
        <w:t xml:space="preserve">from </w:t>
      </w:r>
      <w:r w:rsidRPr="009527D4">
        <w:rPr>
          <w:rFonts w:ascii="Arial" w:hAnsi="Arial"/>
          <w:b w:val="0"/>
        </w:rPr>
        <w:t>governmental</w:t>
      </w:r>
      <w:r w:rsidR="004C0F0A" w:rsidRPr="009527D4">
        <w:rPr>
          <w:rFonts w:ascii="Arial" w:hAnsi="Arial"/>
          <w:b w:val="0"/>
        </w:rPr>
        <w:t xml:space="preserve"> agencies and public services</w:t>
      </w:r>
      <w:r w:rsidRPr="009527D4">
        <w:rPr>
          <w:rFonts w:ascii="Arial" w:hAnsi="Arial"/>
          <w:b w:val="0"/>
        </w:rPr>
        <w:t>, non-governmental</w:t>
      </w:r>
      <w:r w:rsidR="004C0F0A" w:rsidRPr="009527D4">
        <w:rPr>
          <w:rFonts w:ascii="Arial" w:hAnsi="Arial"/>
          <w:b w:val="0"/>
        </w:rPr>
        <w:t xml:space="preserve"> organizations and </w:t>
      </w:r>
      <w:r w:rsidRPr="009527D4">
        <w:rPr>
          <w:rFonts w:ascii="Arial" w:hAnsi="Arial"/>
          <w:b w:val="0"/>
        </w:rPr>
        <w:t>international</w:t>
      </w:r>
      <w:r w:rsidR="004C0F0A" w:rsidRPr="009527D4">
        <w:rPr>
          <w:rFonts w:ascii="Arial" w:hAnsi="Arial"/>
          <w:b w:val="0"/>
        </w:rPr>
        <w:t xml:space="preserve"> agencies</w:t>
      </w:r>
      <w:r w:rsidRPr="009527D4">
        <w:rPr>
          <w:rFonts w:ascii="Arial" w:hAnsi="Arial"/>
          <w:b w:val="0"/>
        </w:rPr>
        <w:t xml:space="preserve">), will be organized in </w:t>
      </w:r>
      <w:r w:rsidR="004C0F0A" w:rsidRPr="009527D4">
        <w:rPr>
          <w:rFonts w:ascii="Arial" w:hAnsi="Arial"/>
          <w:b w:val="0"/>
        </w:rPr>
        <w:t xml:space="preserve">the last year </w:t>
      </w:r>
      <w:r w:rsidRPr="009527D4">
        <w:rPr>
          <w:rFonts w:ascii="Arial" w:hAnsi="Arial"/>
          <w:b w:val="0"/>
        </w:rPr>
        <w:t xml:space="preserve">of the </w:t>
      </w:r>
      <w:r w:rsidR="004C0F0A" w:rsidRPr="009527D4">
        <w:rPr>
          <w:rFonts w:ascii="Arial" w:hAnsi="Arial"/>
          <w:b w:val="0"/>
        </w:rPr>
        <w:t>project implementation</w:t>
      </w:r>
      <w:r w:rsidRPr="009527D4">
        <w:rPr>
          <w:rFonts w:ascii="Arial" w:hAnsi="Arial"/>
          <w:b w:val="0"/>
        </w:rPr>
        <w:t>. The conference will discuss</w:t>
      </w:r>
      <w:r w:rsidR="004C0F0A" w:rsidRPr="009527D4">
        <w:rPr>
          <w:rFonts w:ascii="Arial" w:hAnsi="Arial"/>
          <w:b w:val="0"/>
        </w:rPr>
        <w:t xml:space="preserve"> </w:t>
      </w:r>
      <w:r w:rsidRPr="009527D4">
        <w:rPr>
          <w:rFonts w:ascii="Arial" w:hAnsi="Arial"/>
          <w:b w:val="0"/>
        </w:rPr>
        <w:t>and analyz</w:t>
      </w:r>
      <w:r w:rsidR="004C0F0A" w:rsidRPr="009527D4">
        <w:rPr>
          <w:rFonts w:ascii="Arial" w:hAnsi="Arial"/>
          <w:b w:val="0"/>
        </w:rPr>
        <w:t xml:space="preserve">e </w:t>
      </w:r>
      <w:r w:rsidRPr="009527D4">
        <w:rPr>
          <w:rFonts w:ascii="Arial" w:hAnsi="Arial"/>
          <w:b w:val="0"/>
        </w:rPr>
        <w:t>the</w:t>
      </w:r>
      <w:r w:rsidR="004C0F0A" w:rsidRPr="009527D4">
        <w:rPr>
          <w:rFonts w:ascii="Arial" w:hAnsi="Arial"/>
          <w:b w:val="0"/>
        </w:rPr>
        <w:t xml:space="preserve"> progress achieved by the national TB program, with special emphasis on sharing </w:t>
      </w:r>
      <w:r w:rsidRPr="009527D4">
        <w:rPr>
          <w:rFonts w:ascii="Arial" w:hAnsi="Arial"/>
          <w:b w:val="0"/>
        </w:rPr>
        <w:t xml:space="preserve">innovative experiences across the country regions and identifying potential for further actions through partnerships with </w:t>
      </w:r>
      <w:r w:rsidR="004C0F0A" w:rsidRPr="009527D4">
        <w:rPr>
          <w:rFonts w:ascii="Arial" w:hAnsi="Arial"/>
          <w:b w:val="0"/>
        </w:rPr>
        <w:t xml:space="preserve">local </w:t>
      </w:r>
      <w:r w:rsidRPr="009527D4">
        <w:rPr>
          <w:rFonts w:ascii="Arial" w:hAnsi="Arial"/>
          <w:b w:val="0"/>
        </w:rPr>
        <w:t xml:space="preserve">authorities, </w:t>
      </w:r>
      <w:r w:rsidR="004C0F0A" w:rsidRPr="009527D4">
        <w:rPr>
          <w:rFonts w:ascii="Arial" w:hAnsi="Arial"/>
          <w:b w:val="0"/>
        </w:rPr>
        <w:t xml:space="preserve">civil society and the private sector. The conference will provide a forum for presenting the results of the NGO small grants’ program and planning future actions for </w:t>
      </w:r>
      <w:r w:rsidR="008212B7" w:rsidRPr="009527D4">
        <w:rPr>
          <w:rFonts w:ascii="Arial" w:hAnsi="Arial"/>
          <w:b w:val="0"/>
        </w:rPr>
        <w:t>transition and sustainability.</w:t>
      </w:r>
    </w:p>
    <w:p w14:paraId="268BC6F6" w14:textId="5139CBA3" w:rsidR="00E26472" w:rsidRPr="009527D4" w:rsidRDefault="00E26472" w:rsidP="00585E4F">
      <w:pPr>
        <w:spacing w:after="120" w:line="240" w:lineRule="auto"/>
        <w:jc w:val="both"/>
        <w:rPr>
          <w:rFonts w:ascii="Arial" w:hAnsi="Arial"/>
          <w:b w:val="0"/>
          <w:u w:val="single"/>
        </w:rPr>
      </w:pPr>
      <w:r w:rsidRPr="009527D4">
        <w:rPr>
          <w:rFonts w:ascii="Arial" w:hAnsi="Arial"/>
          <w:b w:val="0"/>
          <w:u w:val="single"/>
        </w:rPr>
        <w:t>Intervention</w:t>
      </w:r>
      <w:r w:rsidR="00A823CC" w:rsidRPr="009527D4">
        <w:rPr>
          <w:rFonts w:ascii="Arial" w:hAnsi="Arial"/>
          <w:b w:val="0"/>
          <w:u w:val="single"/>
        </w:rPr>
        <w:t xml:space="preserve"> 2.4. </w:t>
      </w:r>
      <w:r w:rsidR="00D46BF9" w:rsidRPr="009527D4">
        <w:rPr>
          <w:rFonts w:ascii="Arial" w:hAnsi="Arial"/>
          <w:b w:val="0"/>
          <w:u w:val="single"/>
        </w:rPr>
        <w:t>Other MDR-TB interventions</w:t>
      </w:r>
    </w:p>
    <w:p w14:paraId="27E58107" w14:textId="77777777" w:rsidR="00D46BF9" w:rsidRPr="009527D4" w:rsidRDefault="00D46BF9" w:rsidP="00585E4F">
      <w:pPr>
        <w:spacing w:after="120" w:line="240" w:lineRule="auto"/>
        <w:jc w:val="both"/>
        <w:rPr>
          <w:rFonts w:ascii="Arial" w:hAnsi="Arial"/>
          <w:b w:val="0"/>
          <w:i/>
        </w:rPr>
      </w:pPr>
      <w:r w:rsidRPr="009527D4">
        <w:rPr>
          <w:rFonts w:ascii="Arial" w:hAnsi="Arial"/>
          <w:b w:val="0"/>
          <w:i/>
        </w:rPr>
        <w:t>Module:</w:t>
      </w:r>
      <w:r w:rsidRPr="009527D4">
        <w:rPr>
          <w:rFonts w:ascii="Arial" w:hAnsi="Arial"/>
          <w:b w:val="0"/>
          <w:i/>
        </w:rPr>
        <w:tab/>
        <w:t xml:space="preserve"> Multidrug-resistant tuberculosis (MDR-TB)</w:t>
      </w:r>
    </w:p>
    <w:p w14:paraId="56F520DC" w14:textId="0FED72DC" w:rsidR="00E26472" w:rsidRPr="009527D4" w:rsidRDefault="00D46BF9" w:rsidP="00585E4F">
      <w:pPr>
        <w:spacing w:after="120" w:line="240" w:lineRule="auto"/>
        <w:jc w:val="both"/>
        <w:rPr>
          <w:rFonts w:ascii="Arial" w:hAnsi="Arial"/>
          <w:b w:val="0"/>
        </w:rPr>
      </w:pPr>
      <w:r w:rsidRPr="009527D4">
        <w:rPr>
          <w:rFonts w:ascii="Arial" w:hAnsi="Arial"/>
          <w:b w:val="0"/>
        </w:rPr>
        <w:t xml:space="preserve">This </w:t>
      </w:r>
      <w:proofErr w:type="gramStart"/>
      <w:r w:rsidRPr="009527D4">
        <w:rPr>
          <w:rFonts w:ascii="Arial" w:hAnsi="Arial"/>
          <w:b w:val="0"/>
        </w:rPr>
        <w:t>Interventions</w:t>
      </w:r>
      <w:proofErr w:type="gramEnd"/>
      <w:r w:rsidRPr="009527D4">
        <w:rPr>
          <w:rFonts w:ascii="Arial" w:hAnsi="Arial"/>
          <w:b w:val="0"/>
        </w:rPr>
        <w:t xml:space="preserve"> includes mostly advocacy, communication and social mobilization (ACSM) activities targeting general population as well as select specific target groups. A national consultant will </w:t>
      </w:r>
      <w:r w:rsidR="00E26472" w:rsidRPr="009527D4">
        <w:rPr>
          <w:rFonts w:ascii="Arial" w:hAnsi="Arial"/>
          <w:b w:val="0"/>
        </w:rPr>
        <w:t xml:space="preserve">provide technical assistance to the NTP and partners in designing public awareness campaigns, elaboration and pretesting IEC materials, obtaining relevant endorsements with authorities, facilitate and monitor implementation, and ensure </w:t>
      </w:r>
      <w:r w:rsidRPr="009527D4">
        <w:rPr>
          <w:rFonts w:ascii="Arial" w:hAnsi="Arial"/>
          <w:b w:val="0"/>
        </w:rPr>
        <w:t xml:space="preserve">appropriate </w:t>
      </w:r>
      <w:r w:rsidR="00E26472" w:rsidRPr="009527D4">
        <w:rPr>
          <w:rFonts w:ascii="Arial" w:hAnsi="Arial"/>
          <w:b w:val="0"/>
        </w:rPr>
        <w:t xml:space="preserve">communication in social media. </w:t>
      </w:r>
      <w:r w:rsidR="00E26472" w:rsidRPr="009527D4">
        <w:rPr>
          <w:rFonts w:ascii="Arial" w:hAnsi="Arial"/>
          <w:b w:val="0"/>
        </w:rPr>
        <w:tab/>
      </w:r>
    </w:p>
    <w:p w14:paraId="2EC28199" w14:textId="1921958B" w:rsidR="00BB0299" w:rsidRPr="009527D4" w:rsidRDefault="00D46BF9" w:rsidP="00585E4F">
      <w:pPr>
        <w:spacing w:after="120" w:line="240" w:lineRule="auto"/>
        <w:jc w:val="both"/>
        <w:rPr>
          <w:rFonts w:ascii="Arial" w:hAnsi="Arial"/>
          <w:b w:val="0"/>
        </w:rPr>
      </w:pPr>
      <w:r w:rsidRPr="009527D4">
        <w:rPr>
          <w:rFonts w:ascii="Arial" w:hAnsi="Arial"/>
          <w:b w:val="0"/>
        </w:rPr>
        <w:t xml:space="preserve">A TB Knowledge, Attitudes and Practices (KAP) survey </w:t>
      </w:r>
      <w:proofErr w:type="gramStart"/>
      <w:r w:rsidRPr="009527D4">
        <w:rPr>
          <w:rFonts w:ascii="Arial" w:hAnsi="Arial"/>
          <w:b w:val="0"/>
        </w:rPr>
        <w:t>will be performed</w:t>
      </w:r>
      <w:proofErr w:type="gramEnd"/>
      <w:r w:rsidRPr="009527D4">
        <w:rPr>
          <w:rFonts w:ascii="Arial" w:hAnsi="Arial"/>
          <w:b w:val="0"/>
        </w:rPr>
        <w:t xml:space="preserve"> in Year 1, to assess the situation and inform further actions. Based on the survey results, the National ACSM Plan for years 2021-2025 </w:t>
      </w:r>
      <w:proofErr w:type="gramStart"/>
      <w:r w:rsidRPr="009527D4">
        <w:rPr>
          <w:rFonts w:ascii="Arial" w:hAnsi="Arial"/>
          <w:b w:val="0"/>
        </w:rPr>
        <w:t>will be developed</w:t>
      </w:r>
      <w:proofErr w:type="gramEnd"/>
      <w:r w:rsidRPr="009527D4">
        <w:rPr>
          <w:rFonts w:ascii="Arial" w:hAnsi="Arial"/>
          <w:b w:val="0"/>
        </w:rPr>
        <w:t xml:space="preserve"> with an external consultant’s support. </w:t>
      </w:r>
      <w:r w:rsidR="00990676" w:rsidRPr="009527D4">
        <w:rPr>
          <w:rFonts w:ascii="Arial" w:hAnsi="Arial"/>
          <w:b w:val="0"/>
        </w:rPr>
        <w:t>In Year 2, e</w:t>
      </w:r>
      <w:r w:rsidR="00FA7050" w:rsidRPr="009527D4">
        <w:rPr>
          <w:rFonts w:ascii="Arial" w:hAnsi="Arial"/>
          <w:b w:val="0"/>
        </w:rPr>
        <w:t xml:space="preserve">xternal TA </w:t>
      </w:r>
      <w:proofErr w:type="gramStart"/>
      <w:r w:rsidR="00FA7050" w:rsidRPr="009527D4">
        <w:rPr>
          <w:rFonts w:ascii="Arial" w:hAnsi="Arial"/>
          <w:b w:val="0"/>
        </w:rPr>
        <w:t>will be also provided</w:t>
      </w:r>
      <w:proofErr w:type="gramEnd"/>
      <w:r w:rsidR="00FA7050" w:rsidRPr="009527D4">
        <w:rPr>
          <w:rFonts w:ascii="Arial" w:hAnsi="Arial"/>
          <w:b w:val="0"/>
        </w:rPr>
        <w:t xml:space="preserve"> to assist the NTP in the d</w:t>
      </w:r>
      <w:r w:rsidR="00E26472" w:rsidRPr="009527D4">
        <w:rPr>
          <w:rFonts w:ascii="Arial" w:hAnsi="Arial"/>
          <w:b w:val="0"/>
        </w:rPr>
        <w:t xml:space="preserve">evelopment of </w:t>
      </w:r>
      <w:r w:rsidR="00FA7050" w:rsidRPr="009527D4">
        <w:rPr>
          <w:rFonts w:ascii="Arial" w:hAnsi="Arial"/>
          <w:b w:val="0"/>
        </w:rPr>
        <w:t xml:space="preserve">a </w:t>
      </w:r>
      <w:proofErr w:type="spellStart"/>
      <w:r w:rsidR="00FA7050" w:rsidRPr="009527D4">
        <w:rPr>
          <w:rFonts w:ascii="Arial" w:hAnsi="Arial"/>
          <w:b w:val="0"/>
        </w:rPr>
        <w:t>multisectoral</w:t>
      </w:r>
      <w:proofErr w:type="spellEnd"/>
      <w:r w:rsidR="00FA7050" w:rsidRPr="009527D4">
        <w:rPr>
          <w:rFonts w:ascii="Arial" w:hAnsi="Arial"/>
          <w:b w:val="0"/>
        </w:rPr>
        <w:t xml:space="preserve"> </w:t>
      </w:r>
      <w:r w:rsidR="00E26472" w:rsidRPr="009527D4">
        <w:rPr>
          <w:rFonts w:ascii="Arial" w:hAnsi="Arial"/>
          <w:b w:val="0"/>
        </w:rPr>
        <w:t xml:space="preserve">Plan for </w:t>
      </w:r>
      <w:r w:rsidR="00FA7050" w:rsidRPr="009527D4">
        <w:rPr>
          <w:rFonts w:ascii="Arial" w:hAnsi="Arial"/>
          <w:b w:val="0"/>
        </w:rPr>
        <w:t xml:space="preserve">Reduction and </w:t>
      </w:r>
      <w:r w:rsidR="00E26472" w:rsidRPr="009527D4">
        <w:rPr>
          <w:rFonts w:ascii="Arial" w:hAnsi="Arial"/>
          <w:b w:val="0"/>
        </w:rPr>
        <w:t>Prevention of TB Stigma and Discrimination</w:t>
      </w:r>
      <w:r w:rsidR="00FA7050" w:rsidRPr="009527D4">
        <w:rPr>
          <w:rFonts w:ascii="Arial" w:hAnsi="Arial"/>
          <w:b w:val="0"/>
        </w:rPr>
        <w:t>, which, inter alia, will identify the changes needed in various legislative and regulatory acts to eliminate and/or prevent discriminat</w:t>
      </w:r>
      <w:r w:rsidR="00C3612C" w:rsidRPr="009527D4">
        <w:rPr>
          <w:rFonts w:ascii="Arial" w:hAnsi="Arial"/>
          <w:b w:val="0"/>
        </w:rPr>
        <w:t xml:space="preserve">ory </w:t>
      </w:r>
      <w:r w:rsidR="00FA7050" w:rsidRPr="009527D4">
        <w:rPr>
          <w:rFonts w:ascii="Arial" w:hAnsi="Arial"/>
          <w:b w:val="0"/>
        </w:rPr>
        <w:t>practices</w:t>
      </w:r>
      <w:r w:rsidR="00990676" w:rsidRPr="009527D4">
        <w:rPr>
          <w:rFonts w:ascii="Arial" w:hAnsi="Arial"/>
          <w:b w:val="0"/>
        </w:rPr>
        <w:t>.</w:t>
      </w:r>
    </w:p>
    <w:p w14:paraId="0F13AD7F" w14:textId="3A74EC42" w:rsidR="00192F67" w:rsidRPr="007645C2" w:rsidRDefault="00C3612C" w:rsidP="00585E4F">
      <w:pPr>
        <w:spacing w:after="120" w:line="240" w:lineRule="auto"/>
        <w:jc w:val="both"/>
        <w:rPr>
          <w:rFonts w:ascii="Arial" w:hAnsi="Arial"/>
          <w:b w:val="0"/>
        </w:rPr>
      </w:pPr>
      <w:r w:rsidRPr="009527D4">
        <w:rPr>
          <w:rFonts w:ascii="Arial" w:hAnsi="Arial"/>
          <w:b w:val="0"/>
        </w:rPr>
        <w:t xml:space="preserve">A set of informational and educational (IEC) materials for DR-TB prevention and care will be developed </w:t>
      </w:r>
      <w:r w:rsidR="003A7EE2" w:rsidRPr="009527D4">
        <w:rPr>
          <w:rFonts w:ascii="Arial" w:hAnsi="Arial"/>
          <w:b w:val="0"/>
        </w:rPr>
        <w:t xml:space="preserve">and disseminated </w:t>
      </w:r>
      <w:r w:rsidRPr="009527D4">
        <w:rPr>
          <w:rFonts w:ascii="Arial" w:hAnsi="Arial"/>
          <w:b w:val="0"/>
        </w:rPr>
        <w:t xml:space="preserve">in line </w:t>
      </w:r>
      <w:r w:rsidR="00E26472" w:rsidRPr="009527D4">
        <w:rPr>
          <w:rFonts w:ascii="Arial" w:hAnsi="Arial"/>
          <w:b w:val="0"/>
        </w:rPr>
        <w:t xml:space="preserve">with the </w:t>
      </w:r>
      <w:r w:rsidRPr="009527D4">
        <w:rPr>
          <w:rFonts w:ascii="Arial" w:hAnsi="Arial"/>
          <w:b w:val="0"/>
        </w:rPr>
        <w:t xml:space="preserve">objectives of the national TB program and </w:t>
      </w:r>
      <w:proofErr w:type="gramStart"/>
      <w:r w:rsidRPr="009527D4">
        <w:rPr>
          <w:rFonts w:ascii="Arial" w:hAnsi="Arial"/>
          <w:b w:val="0"/>
        </w:rPr>
        <w:t xml:space="preserve">on the </w:t>
      </w:r>
      <w:r w:rsidRPr="009527D4">
        <w:rPr>
          <w:rFonts w:ascii="Arial" w:hAnsi="Arial"/>
          <w:b w:val="0"/>
        </w:rPr>
        <w:lastRenderedPageBreak/>
        <w:t>basis of</w:t>
      </w:r>
      <w:proofErr w:type="gramEnd"/>
      <w:r w:rsidRPr="009527D4">
        <w:rPr>
          <w:rFonts w:ascii="Arial" w:hAnsi="Arial"/>
          <w:b w:val="0"/>
        </w:rPr>
        <w:t xml:space="preserve"> </w:t>
      </w:r>
      <w:r w:rsidR="003A7EE2" w:rsidRPr="009527D4">
        <w:rPr>
          <w:rFonts w:ascii="Arial" w:hAnsi="Arial"/>
          <w:b w:val="0"/>
        </w:rPr>
        <w:t xml:space="preserve">the preceding </w:t>
      </w:r>
      <w:r w:rsidRPr="009527D4">
        <w:rPr>
          <w:rFonts w:ascii="Arial" w:hAnsi="Arial"/>
          <w:b w:val="0"/>
        </w:rPr>
        <w:t xml:space="preserve">KAP survey results. </w:t>
      </w:r>
      <w:proofErr w:type="gramStart"/>
      <w:r w:rsidR="00E26472" w:rsidRPr="009527D4">
        <w:rPr>
          <w:rFonts w:ascii="Arial" w:hAnsi="Arial"/>
          <w:b w:val="0"/>
        </w:rPr>
        <w:t xml:space="preserve">The </w:t>
      </w:r>
      <w:r w:rsidRPr="009527D4">
        <w:rPr>
          <w:rFonts w:ascii="Arial" w:hAnsi="Arial"/>
          <w:b w:val="0"/>
        </w:rPr>
        <w:t>set</w:t>
      </w:r>
      <w:r w:rsidR="00E26472" w:rsidRPr="009527D4">
        <w:rPr>
          <w:rFonts w:ascii="Arial" w:hAnsi="Arial"/>
          <w:b w:val="0"/>
        </w:rPr>
        <w:t xml:space="preserve"> </w:t>
      </w:r>
      <w:r w:rsidRPr="009527D4">
        <w:rPr>
          <w:rFonts w:ascii="Arial" w:hAnsi="Arial"/>
          <w:b w:val="0"/>
        </w:rPr>
        <w:t xml:space="preserve">will </w:t>
      </w:r>
      <w:r w:rsidR="00E26472" w:rsidRPr="009527D4">
        <w:rPr>
          <w:rFonts w:ascii="Arial" w:hAnsi="Arial"/>
          <w:b w:val="0"/>
        </w:rPr>
        <w:t xml:space="preserve">include guidelines for patients and their </w:t>
      </w:r>
      <w:r w:rsidR="00E26472" w:rsidRPr="007645C2">
        <w:rPr>
          <w:rFonts w:ascii="Arial" w:hAnsi="Arial"/>
          <w:b w:val="0"/>
        </w:rPr>
        <w:t>families</w:t>
      </w:r>
      <w:r w:rsidRPr="007645C2">
        <w:rPr>
          <w:rFonts w:ascii="Arial" w:hAnsi="Arial"/>
          <w:b w:val="0"/>
        </w:rPr>
        <w:t xml:space="preserve">; printed IEC materials </w:t>
      </w:r>
      <w:r w:rsidR="00E26472" w:rsidRPr="007645C2">
        <w:rPr>
          <w:rFonts w:ascii="Arial" w:hAnsi="Arial"/>
          <w:b w:val="0"/>
        </w:rPr>
        <w:t>for vulnerable</w:t>
      </w:r>
      <w:r w:rsidRPr="007645C2">
        <w:rPr>
          <w:rFonts w:ascii="Arial" w:hAnsi="Arial"/>
          <w:b w:val="0"/>
        </w:rPr>
        <w:t xml:space="preserve"> at-risk population groups</w:t>
      </w:r>
      <w:r w:rsidR="00E26472" w:rsidRPr="007645C2">
        <w:rPr>
          <w:rFonts w:ascii="Arial" w:hAnsi="Arial"/>
          <w:b w:val="0"/>
        </w:rPr>
        <w:t xml:space="preserve"> </w:t>
      </w:r>
      <w:r w:rsidRPr="007645C2">
        <w:rPr>
          <w:rFonts w:ascii="Arial" w:hAnsi="Arial"/>
          <w:b w:val="0"/>
        </w:rPr>
        <w:t xml:space="preserve">such as PLHIV, </w:t>
      </w:r>
      <w:r w:rsidR="00E26472" w:rsidRPr="007645C2">
        <w:rPr>
          <w:rFonts w:ascii="Arial" w:hAnsi="Arial"/>
          <w:b w:val="0"/>
        </w:rPr>
        <w:t xml:space="preserve">prisoners, </w:t>
      </w:r>
      <w:r w:rsidRPr="007645C2">
        <w:rPr>
          <w:rFonts w:ascii="Arial" w:hAnsi="Arial"/>
          <w:b w:val="0"/>
        </w:rPr>
        <w:t xml:space="preserve">seasonal labor migrants, </w:t>
      </w:r>
      <w:r w:rsidR="00E26472" w:rsidRPr="007645C2">
        <w:rPr>
          <w:rFonts w:ascii="Arial" w:hAnsi="Arial"/>
          <w:b w:val="0"/>
        </w:rPr>
        <w:t xml:space="preserve">homeless </w:t>
      </w:r>
      <w:r w:rsidRPr="007645C2">
        <w:rPr>
          <w:rFonts w:ascii="Arial" w:hAnsi="Arial"/>
          <w:b w:val="0"/>
        </w:rPr>
        <w:t>people,</w:t>
      </w:r>
      <w:r w:rsidR="00E26472" w:rsidRPr="007645C2">
        <w:rPr>
          <w:rFonts w:ascii="Arial" w:hAnsi="Arial"/>
          <w:b w:val="0"/>
        </w:rPr>
        <w:t xml:space="preserve"> etc.</w:t>
      </w:r>
      <w:r w:rsidRPr="007645C2">
        <w:rPr>
          <w:rFonts w:ascii="Arial" w:hAnsi="Arial"/>
          <w:b w:val="0"/>
        </w:rPr>
        <w:t xml:space="preserve">; </w:t>
      </w:r>
      <w:r w:rsidR="00E26472" w:rsidRPr="007645C2">
        <w:rPr>
          <w:rFonts w:ascii="Arial" w:hAnsi="Arial"/>
          <w:b w:val="0"/>
        </w:rPr>
        <w:t>recommendations for social workers, psychologists, primary health care providers</w:t>
      </w:r>
      <w:r w:rsidRPr="007645C2">
        <w:rPr>
          <w:rFonts w:ascii="Arial" w:hAnsi="Arial"/>
          <w:b w:val="0"/>
        </w:rPr>
        <w:t>;</w:t>
      </w:r>
      <w:r w:rsidR="003A7EE2" w:rsidRPr="007645C2">
        <w:rPr>
          <w:rFonts w:ascii="Arial" w:hAnsi="Arial"/>
          <w:b w:val="0"/>
        </w:rPr>
        <w:t xml:space="preserve"> as well as different materials to </w:t>
      </w:r>
      <w:r w:rsidR="00E26472" w:rsidRPr="007645C2">
        <w:rPr>
          <w:rFonts w:ascii="Arial" w:hAnsi="Arial"/>
          <w:b w:val="0"/>
        </w:rPr>
        <w:t xml:space="preserve">promote new methods </w:t>
      </w:r>
      <w:r w:rsidR="003A7EE2" w:rsidRPr="007645C2">
        <w:rPr>
          <w:rFonts w:ascii="Arial" w:hAnsi="Arial"/>
          <w:b w:val="0"/>
        </w:rPr>
        <w:t xml:space="preserve">for </w:t>
      </w:r>
      <w:r w:rsidR="00E26472" w:rsidRPr="007645C2">
        <w:rPr>
          <w:rFonts w:ascii="Arial" w:hAnsi="Arial"/>
          <w:b w:val="0"/>
        </w:rPr>
        <w:t>TB diagnosis and treatment, with special emphasis on the need to complete treatment</w:t>
      </w:r>
      <w:r w:rsidR="001E79FC" w:rsidRPr="007645C2">
        <w:rPr>
          <w:rFonts w:ascii="Arial" w:hAnsi="Arial"/>
          <w:b w:val="0"/>
        </w:rPr>
        <w:t xml:space="preserve">, </w:t>
      </w:r>
      <w:r w:rsidR="00E26472" w:rsidRPr="007645C2">
        <w:rPr>
          <w:rFonts w:ascii="Arial" w:hAnsi="Arial"/>
          <w:b w:val="0"/>
        </w:rPr>
        <w:t>prevent drug resistance</w:t>
      </w:r>
      <w:r w:rsidR="001E79FC" w:rsidRPr="007645C2">
        <w:rPr>
          <w:rFonts w:ascii="Arial" w:hAnsi="Arial"/>
          <w:b w:val="0"/>
        </w:rPr>
        <w:t xml:space="preserve"> </w:t>
      </w:r>
      <w:r w:rsidR="0054127C" w:rsidRPr="007645C2">
        <w:rPr>
          <w:rFonts w:ascii="Arial" w:hAnsi="Arial"/>
          <w:b w:val="0"/>
        </w:rPr>
        <w:t>and prevent stigma and discrimination</w:t>
      </w:r>
      <w:r w:rsidR="00E26472" w:rsidRPr="007645C2">
        <w:rPr>
          <w:rFonts w:ascii="Arial" w:hAnsi="Arial"/>
          <w:b w:val="0"/>
        </w:rPr>
        <w:t>.</w:t>
      </w:r>
      <w:proofErr w:type="gramEnd"/>
      <w:r w:rsidR="003A7EE2" w:rsidRPr="007645C2">
        <w:rPr>
          <w:rFonts w:ascii="Arial" w:hAnsi="Arial"/>
          <w:b w:val="0"/>
        </w:rPr>
        <w:t xml:space="preserve"> </w:t>
      </w:r>
      <w:r w:rsidR="00E26472" w:rsidRPr="007645C2">
        <w:rPr>
          <w:rFonts w:ascii="Arial" w:hAnsi="Arial"/>
          <w:b w:val="0"/>
        </w:rPr>
        <w:t xml:space="preserve">The project will support production </w:t>
      </w:r>
      <w:r w:rsidR="003A7EE2" w:rsidRPr="007645C2">
        <w:rPr>
          <w:rFonts w:ascii="Arial" w:hAnsi="Arial"/>
          <w:b w:val="0"/>
        </w:rPr>
        <w:t>and broadcasting</w:t>
      </w:r>
      <w:r w:rsidR="00E26472" w:rsidRPr="007645C2">
        <w:rPr>
          <w:rFonts w:ascii="Arial" w:hAnsi="Arial"/>
          <w:b w:val="0"/>
        </w:rPr>
        <w:t xml:space="preserve"> of </w:t>
      </w:r>
      <w:r w:rsidR="003A7EE2" w:rsidRPr="007645C2">
        <w:rPr>
          <w:rFonts w:ascii="Arial" w:hAnsi="Arial"/>
          <w:b w:val="0"/>
        </w:rPr>
        <w:t xml:space="preserve">TV </w:t>
      </w:r>
      <w:r w:rsidR="00E26472" w:rsidRPr="007645C2">
        <w:rPr>
          <w:rFonts w:ascii="Arial" w:hAnsi="Arial"/>
          <w:b w:val="0"/>
        </w:rPr>
        <w:t xml:space="preserve">and radio spots on aimed at </w:t>
      </w:r>
      <w:r w:rsidR="003A7EE2" w:rsidRPr="007645C2">
        <w:rPr>
          <w:rFonts w:ascii="Arial" w:hAnsi="Arial"/>
          <w:b w:val="0"/>
        </w:rPr>
        <w:t xml:space="preserve">increasing the population awareness of TB and TB/HIV, with special emphasis on the access to services, availability of innovative diagnostic and treatment methods and the need for adherence to prevent drug resistance. </w:t>
      </w:r>
    </w:p>
    <w:p w14:paraId="57A569F8" w14:textId="77777777" w:rsidR="00192F67" w:rsidRPr="007645C2" w:rsidRDefault="00E26472" w:rsidP="00585E4F">
      <w:pPr>
        <w:spacing w:after="120" w:line="240" w:lineRule="auto"/>
        <w:jc w:val="both"/>
        <w:rPr>
          <w:rFonts w:ascii="Arial" w:hAnsi="Arial"/>
          <w:b w:val="0"/>
        </w:rPr>
      </w:pPr>
      <w:r w:rsidRPr="007645C2">
        <w:rPr>
          <w:rFonts w:ascii="Arial" w:hAnsi="Arial"/>
          <w:b w:val="0"/>
        </w:rPr>
        <w:t xml:space="preserve">The project will </w:t>
      </w:r>
      <w:r w:rsidR="00192F67" w:rsidRPr="007645C2">
        <w:rPr>
          <w:rFonts w:ascii="Arial" w:hAnsi="Arial"/>
          <w:b w:val="0"/>
        </w:rPr>
        <w:t xml:space="preserve">provide the </w:t>
      </w:r>
      <w:r w:rsidRPr="007645C2">
        <w:rPr>
          <w:rFonts w:ascii="Arial" w:hAnsi="Arial"/>
          <w:b w:val="0"/>
        </w:rPr>
        <w:t xml:space="preserve">journalists </w:t>
      </w:r>
      <w:r w:rsidR="00192F67" w:rsidRPr="007645C2">
        <w:rPr>
          <w:rFonts w:ascii="Arial" w:hAnsi="Arial"/>
          <w:b w:val="0"/>
        </w:rPr>
        <w:t>working in mainstream media (</w:t>
      </w:r>
      <w:r w:rsidRPr="007645C2">
        <w:rPr>
          <w:rFonts w:ascii="Arial" w:hAnsi="Arial"/>
          <w:b w:val="0"/>
        </w:rPr>
        <w:t xml:space="preserve">print, electronic and social </w:t>
      </w:r>
      <w:r w:rsidR="00192F67" w:rsidRPr="007645C2">
        <w:rPr>
          <w:rFonts w:ascii="Arial" w:hAnsi="Arial"/>
          <w:b w:val="0"/>
        </w:rPr>
        <w:t xml:space="preserve">networks) </w:t>
      </w:r>
      <w:r w:rsidRPr="007645C2">
        <w:rPr>
          <w:rFonts w:ascii="Arial" w:hAnsi="Arial"/>
          <w:b w:val="0"/>
        </w:rPr>
        <w:t>with timely and reliable information on TB and its control</w:t>
      </w:r>
      <w:r w:rsidR="00192F67" w:rsidRPr="007645C2">
        <w:rPr>
          <w:rFonts w:ascii="Arial" w:hAnsi="Arial"/>
          <w:b w:val="0"/>
        </w:rPr>
        <w:t xml:space="preserve">, countrywide and locally. For this purpose, training for mass media on TB and DR-TB prevention and care </w:t>
      </w:r>
      <w:proofErr w:type="gramStart"/>
      <w:r w:rsidR="00192F67" w:rsidRPr="007645C2">
        <w:rPr>
          <w:rFonts w:ascii="Arial" w:hAnsi="Arial"/>
          <w:b w:val="0"/>
        </w:rPr>
        <w:t>will be organized</w:t>
      </w:r>
      <w:proofErr w:type="gramEnd"/>
      <w:r w:rsidR="00192F67" w:rsidRPr="007645C2">
        <w:rPr>
          <w:rFonts w:ascii="Arial" w:hAnsi="Arial"/>
          <w:b w:val="0"/>
        </w:rPr>
        <w:t xml:space="preserve"> in each project year. The project will also hold </w:t>
      </w:r>
      <w:r w:rsidRPr="007645C2">
        <w:rPr>
          <w:rFonts w:ascii="Arial" w:hAnsi="Arial"/>
          <w:b w:val="0"/>
        </w:rPr>
        <w:t>annual contest</w:t>
      </w:r>
      <w:r w:rsidR="00192F67" w:rsidRPr="007645C2">
        <w:rPr>
          <w:rFonts w:ascii="Arial" w:hAnsi="Arial"/>
          <w:b w:val="0"/>
        </w:rPr>
        <w:t xml:space="preserve">s for journalists, who </w:t>
      </w:r>
      <w:proofErr w:type="gramStart"/>
      <w:r w:rsidR="00192F67" w:rsidRPr="007645C2">
        <w:rPr>
          <w:rFonts w:ascii="Arial" w:hAnsi="Arial"/>
          <w:b w:val="0"/>
        </w:rPr>
        <w:t>will be awarded</w:t>
      </w:r>
      <w:proofErr w:type="gramEnd"/>
      <w:r w:rsidR="00192F67" w:rsidRPr="007645C2">
        <w:rPr>
          <w:rFonts w:ascii="Arial" w:hAnsi="Arial"/>
          <w:b w:val="0"/>
        </w:rPr>
        <w:t xml:space="preserve"> for the best publications and programs on TB. In addition, </w:t>
      </w:r>
      <w:r w:rsidRPr="007645C2">
        <w:rPr>
          <w:rFonts w:ascii="Arial" w:hAnsi="Arial"/>
          <w:b w:val="0"/>
        </w:rPr>
        <w:t xml:space="preserve">TB advocacy workshops </w:t>
      </w:r>
      <w:proofErr w:type="gramStart"/>
      <w:r w:rsidR="00192F67" w:rsidRPr="007645C2">
        <w:rPr>
          <w:rFonts w:ascii="Arial" w:hAnsi="Arial"/>
          <w:b w:val="0"/>
        </w:rPr>
        <w:t>will be held</w:t>
      </w:r>
      <w:proofErr w:type="gramEnd"/>
      <w:r w:rsidR="00192F67" w:rsidRPr="007645C2">
        <w:rPr>
          <w:rFonts w:ascii="Arial" w:hAnsi="Arial"/>
          <w:b w:val="0"/>
        </w:rPr>
        <w:t xml:space="preserve"> </w:t>
      </w:r>
      <w:r w:rsidRPr="007645C2">
        <w:rPr>
          <w:rFonts w:ascii="Arial" w:hAnsi="Arial"/>
          <w:b w:val="0"/>
        </w:rPr>
        <w:t xml:space="preserve">at </w:t>
      </w:r>
      <w:r w:rsidR="00192F67" w:rsidRPr="007645C2">
        <w:rPr>
          <w:rFonts w:ascii="Arial" w:hAnsi="Arial"/>
          <w:b w:val="0"/>
        </w:rPr>
        <w:t xml:space="preserve">the </w:t>
      </w:r>
      <w:r w:rsidRPr="007645C2">
        <w:rPr>
          <w:rFonts w:ascii="Arial" w:hAnsi="Arial"/>
          <w:b w:val="0"/>
        </w:rPr>
        <w:t>cen</w:t>
      </w:r>
      <w:r w:rsidR="00BB0299" w:rsidRPr="007645C2">
        <w:rPr>
          <w:rFonts w:ascii="Arial" w:hAnsi="Arial"/>
          <w:b w:val="0"/>
        </w:rPr>
        <w:t>tral level on the W</w:t>
      </w:r>
      <w:r w:rsidR="00192F67" w:rsidRPr="007645C2">
        <w:rPr>
          <w:rFonts w:ascii="Arial" w:hAnsi="Arial"/>
          <w:b w:val="0"/>
        </w:rPr>
        <w:t xml:space="preserve">orld TB Days 24 March </w:t>
      </w:r>
      <w:r w:rsidRPr="007645C2">
        <w:rPr>
          <w:rFonts w:ascii="Arial" w:hAnsi="Arial"/>
          <w:b w:val="0"/>
        </w:rPr>
        <w:t xml:space="preserve">to increase </w:t>
      </w:r>
      <w:r w:rsidR="00192F67" w:rsidRPr="007645C2">
        <w:rPr>
          <w:rFonts w:ascii="Arial" w:hAnsi="Arial"/>
          <w:b w:val="0"/>
        </w:rPr>
        <w:t xml:space="preserve">awareness and </w:t>
      </w:r>
      <w:r w:rsidRPr="007645C2">
        <w:rPr>
          <w:rFonts w:ascii="Arial" w:hAnsi="Arial"/>
          <w:b w:val="0"/>
        </w:rPr>
        <w:t>commitment of public authorities</w:t>
      </w:r>
      <w:r w:rsidR="00192F67" w:rsidRPr="007645C2">
        <w:rPr>
          <w:rFonts w:ascii="Arial" w:hAnsi="Arial"/>
          <w:b w:val="0"/>
        </w:rPr>
        <w:t xml:space="preserve"> and </w:t>
      </w:r>
      <w:r w:rsidRPr="007645C2">
        <w:rPr>
          <w:rFonts w:ascii="Arial" w:hAnsi="Arial"/>
          <w:b w:val="0"/>
        </w:rPr>
        <w:t xml:space="preserve">improve </w:t>
      </w:r>
      <w:r w:rsidR="00192F67" w:rsidRPr="007645C2">
        <w:rPr>
          <w:rFonts w:ascii="Arial" w:hAnsi="Arial"/>
          <w:b w:val="0"/>
        </w:rPr>
        <w:t xml:space="preserve">collaboration and </w:t>
      </w:r>
      <w:r w:rsidRPr="007645C2">
        <w:rPr>
          <w:rFonts w:ascii="Arial" w:hAnsi="Arial"/>
          <w:b w:val="0"/>
        </w:rPr>
        <w:t xml:space="preserve">coordination between </w:t>
      </w:r>
      <w:r w:rsidR="00192F67" w:rsidRPr="007645C2">
        <w:rPr>
          <w:rFonts w:ascii="Arial" w:hAnsi="Arial"/>
          <w:b w:val="0"/>
        </w:rPr>
        <w:t>different actors including civil society and mass media.</w:t>
      </w:r>
    </w:p>
    <w:p w14:paraId="292BE9FA" w14:textId="77777777" w:rsidR="00192F67" w:rsidRPr="009527D4" w:rsidRDefault="00192F67" w:rsidP="00585E4F">
      <w:pPr>
        <w:spacing w:after="120" w:line="240" w:lineRule="auto"/>
        <w:ind w:left="1440" w:hanging="1440"/>
        <w:jc w:val="both"/>
        <w:rPr>
          <w:rFonts w:ascii="Arial" w:hAnsi="Arial"/>
        </w:rPr>
      </w:pPr>
      <w:r w:rsidRPr="007645C2">
        <w:rPr>
          <w:rFonts w:ascii="Arial" w:hAnsi="Arial"/>
        </w:rPr>
        <w:t>3. Grant management</w:t>
      </w:r>
    </w:p>
    <w:p w14:paraId="48CB8911" w14:textId="213D750B" w:rsidR="00AC6036" w:rsidRPr="009527D4" w:rsidRDefault="00AC6036" w:rsidP="00585E4F">
      <w:pPr>
        <w:spacing w:after="120" w:line="240" w:lineRule="auto"/>
        <w:jc w:val="both"/>
        <w:rPr>
          <w:rFonts w:ascii="Arial" w:hAnsi="Arial"/>
          <w:b w:val="0"/>
          <w:u w:val="single"/>
        </w:rPr>
      </w:pPr>
      <w:r w:rsidRPr="009527D4">
        <w:rPr>
          <w:rFonts w:ascii="Arial" w:hAnsi="Arial"/>
          <w:b w:val="0"/>
        </w:rPr>
        <w:t>Intervention 3.1. Grant management</w:t>
      </w:r>
    </w:p>
    <w:p w14:paraId="4C6E63F2" w14:textId="72CBB849" w:rsidR="00BB0299" w:rsidRPr="009527D4" w:rsidRDefault="00BB0299" w:rsidP="00585E4F">
      <w:pPr>
        <w:spacing w:after="120" w:line="240" w:lineRule="auto"/>
        <w:jc w:val="both"/>
        <w:rPr>
          <w:rFonts w:ascii="Arial" w:hAnsi="Arial"/>
          <w:b w:val="0"/>
          <w:i/>
        </w:rPr>
      </w:pPr>
      <w:r w:rsidRPr="009527D4">
        <w:rPr>
          <w:rFonts w:ascii="Arial" w:hAnsi="Arial"/>
          <w:b w:val="0"/>
          <w:i/>
        </w:rPr>
        <w:t>Module: Program management</w:t>
      </w:r>
      <w:r w:rsidRPr="009527D4">
        <w:rPr>
          <w:rFonts w:ascii="Arial" w:hAnsi="Arial"/>
          <w:b w:val="0"/>
          <w:i/>
        </w:rPr>
        <w:tab/>
      </w:r>
      <w:r w:rsidRPr="009527D4">
        <w:rPr>
          <w:rFonts w:ascii="Arial" w:hAnsi="Arial"/>
          <w:b w:val="0"/>
          <w:i/>
        </w:rPr>
        <w:tab/>
      </w:r>
    </w:p>
    <w:p w14:paraId="10AD7365" w14:textId="77777777" w:rsidR="00AC6036" w:rsidRPr="009527D4" w:rsidRDefault="00AC6036" w:rsidP="00585E4F">
      <w:pPr>
        <w:spacing w:after="120" w:line="240" w:lineRule="auto"/>
        <w:jc w:val="both"/>
        <w:rPr>
          <w:rFonts w:ascii="Arial" w:hAnsi="Arial"/>
          <w:b w:val="0"/>
        </w:rPr>
      </w:pPr>
      <w:r w:rsidRPr="009527D4">
        <w:rPr>
          <w:rFonts w:ascii="Arial" w:hAnsi="Arial"/>
          <w:b w:val="0"/>
        </w:rPr>
        <w:t xml:space="preserve">This component includes grant management costs by the Principal Recipient (National Scientific Center of </w:t>
      </w:r>
      <w:proofErr w:type="spellStart"/>
      <w:r w:rsidRPr="009527D4">
        <w:rPr>
          <w:rFonts w:ascii="Arial" w:hAnsi="Arial"/>
          <w:b w:val="0"/>
        </w:rPr>
        <w:t>Phthisiopulmonology</w:t>
      </w:r>
      <w:proofErr w:type="spellEnd"/>
      <w:r w:rsidRPr="009527D4">
        <w:rPr>
          <w:rFonts w:ascii="Arial" w:hAnsi="Arial"/>
          <w:b w:val="0"/>
        </w:rPr>
        <w:t>): staff and project operating costs, including project monitoring and external audit.</w:t>
      </w:r>
    </w:p>
    <w:p w14:paraId="5079EF80" w14:textId="4572F367" w:rsidR="00AC6036" w:rsidRPr="009527D4" w:rsidRDefault="00AC6036" w:rsidP="00585E4F">
      <w:pPr>
        <w:spacing w:after="120" w:line="240" w:lineRule="auto"/>
        <w:jc w:val="center"/>
        <w:rPr>
          <w:rFonts w:ascii="Arial" w:hAnsi="Arial"/>
          <w:b w:val="0"/>
        </w:rPr>
      </w:pPr>
      <w:r w:rsidRPr="009527D4">
        <w:rPr>
          <w:rFonts w:ascii="Arial" w:hAnsi="Arial"/>
          <w:b w:val="0"/>
        </w:rPr>
        <w:t>*</w:t>
      </w:r>
      <w:r w:rsidRPr="009527D4">
        <w:rPr>
          <w:rFonts w:ascii="Arial" w:hAnsi="Arial"/>
          <w:b w:val="0"/>
        </w:rPr>
        <w:tab/>
      </w:r>
      <w:r w:rsidRPr="009527D4">
        <w:rPr>
          <w:rFonts w:ascii="Arial" w:hAnsi="Arial"/>
          <w:b w:val="0"/>
        </w:rPr>
        <w:tab/>
        <w:t>*</w:t>
      </w:r>
      <w:r w:rsidRPr="009527D4">
        <w:rPr>
          <w:rFonts w:ascii="Arial" w:hAnsi="Arial"/>
          <w:b w:val="0"/>
        </w:rPr>
        <w:tab/>
      </w:r>
      <w:r w:rsidRPr="009527D4">
        <w:rPr>
          <w:rFonts w:ascii="Arial" w:hAnsi="Arial"/>
          <w:b w:val="0"/>
        </w:rPr>
        <w:tab/>
        <w:t>*</w:t>
      </w:r>
    </w:p>
    <w:p w14:paraId="605FB671" w14:textId="759DC2DA" w:rsidR="0005725B" w:rsidRPr="009527D4" w:rsidRDefault="0005725B" w:rsidP="00585E4F">
      <w:pPr>
        <w:spacing w:after="120" w:line="240" w:lineRule="auto"/>
        <w:rPr>
          <w:rFonts w:ascii="Arial" w:hAnsi="Arial"/>
          <w:b w:val="0"/>
        </w:rPr>
      </w:pPr>
      <w:r w:rsidRPr="009527D4">
        <w:rPr>
          <w:rFonts w:ascii="Arial" w:hAnsi="Arial"/>
          <w:b w:val="0"/>
        </w:rPr>
        <w:t xml:space="preserve">For details, please refer to the table below and detailed </w:t>
      </w:r>
      <w:proofErr w:type="spellStart"/>
      <w:r w:rsidRPr="009527D4">
        <w:rPr>
          <w:rFonts w:ascii="Arial" w:hAnsi="Arial"/>
          <w:b w:val="0"/>
        </w:rPr>
        <w:t>Workplan</w:t>
      </w:r>
      <w:proofErr w:type="spellEnd"/>
      <w:r w:rsidRPr="009527D4">
        <w:rPr>
          <w:rFonts w:ascii="Arial" w:hAnsi="Arial"/>
          <w:b w:val="0"/>
        </w:rPr>
        <w:t xml:space="preserve"> and Budget.</w:t>
      </w:r>
    </w:p>
    <w:p w14:paraId="55A8AA06" w14:textId="77777777" w:rsidR="00AC6036" w:rsidRDefault="00AC6036" w:rsidP="00AC6036">
      <w:pPr>
        <w:spacing w:after="120" w:line="240" w:lineRule="auto"/>
        <w:rPr>
          <w:rFonts w:ascii="Arial" w:hAnsi="Arial"/>
          <w:b w:val="0"/>
          <w:color w:val="FF0000"/>
          <w:sz w:val="20"/>
          <w:szCs w:val="20"/>
        </w:rPr>
      </w:pPr>
    </w:p>
    <w:p w14:paraId="5DE12D5E" w14:textId="77777777" w:rsidR="00AC6036" w:rsidRDefault="00AC6036" w:rsidP="00AC6036">
      <w:pPr>
        <w:spacing w:after="120" w:line="240" w:lineRule="auto"/>
        <w:rPr>
          <w:rFonts w:ascii="Arial" w:hAnsi="Arial"/>
          <w:b w:val="0"/>
          <w:color w:val="FF0000"/>
          <w:sz w:val="20"/>
          <w:szCs w:val="20"/>
        </w:rPr>
        <w:sectPr w:rsidR="00AC6036" w:rsidSect="00AD6F80">
          <w:footerReference w:type="default" r:id="rId23"/>
          <w:pgSz w:w="11906" w:h="16838"/>
          <w:pgMar w:top="1440" w:right="1440" w:bottom="1440" w:left="1440" w:header="708" w:footer="693" w:gutter="0"/>
          <w:cols w:space="708"/>
          <w:rtlGutter/>
          <w:docGrid w:linePitch="360"/>
        </w:sectPr>
      </w:pPr>
    </w:p>
    <w:p w14:paraId="1A0542C1" w14:textId="50F4E425" w:rsidR="00AC6036" w:rsidRDefault="00AC6036" w:rsidP="00AC6036">
      <w:pPr>
        <w:spacing w:after="120" w:line="240" w:lineRule="auto"/>
        <w:rPr>
          <w:rFonts w:ascii="Arial" w:hAnsi="Arial"/>
          <w:b w:val="0"/>
          <w:color w:val="FF0000"/>
          <w:sz w:val="20"/>
          <w:szCs w:val="20"/>
        </w:rPr>
      </w:pPr>
    </w:p>
    <w:p w14:paraId="196C82DA" w14:textId="286FACAF" w:rsidR="00AC6036" w:rsidRPr="00FC697A" w:rsidRDefault="00AC6036" w:rsidP="00AC6036">
      <w:pPr>
        <w:jc w:val="center"/>
        <w:rPr>
          <w:rFonts w:ascii="Arial" w:hAnsi="Arial"/>
          <w:bCs/>
          <w:sz w:val="20"/>
          <w:szCs w:val="20"/>
        </w:rPr>
      </w:pPr>
      <w:r w:rsidRPr="00FC697A">
        <w:rPr>
          <w:rFonts w:ascii="Arial" w:hAnsi="Arial"/>
          <w:sz w:val="20"/>
          <w:szCs w:val="20"/>
        </w:rPr>
        <w:t>Table</w:t>
      </w:r>
      <w:r w:rsidR="00FC697A" w:rsidRPr="00FC697A">
        <w:rPr>
          <w:rFonts w:ascii="Arial" w:hAnsi="Arial"/>
          <w:sz w:val="20"/>
          <w:szCs w:val="20"/>
        </w:rPr>
        <w:t xml:space="preserve"> 3</w:t>
      </w:r>
      <w:r w:rsidR="00263536" w:rsidRPr="00FC697A">
        <w:rPr>
          <w:rFonts w:ascii="Arial" w:hAnsi="Arial"/>
          <w:sz w:val="20"/>
          <w:szCs w:val="20"/>
        </w:rPr>
        <w:t>.</w:t>
      </w:r>
      <w:r w:rsidRPr="00FC697A">
        <w:rPr>
          <w:rFonts w:ascii="Arial" w:hAnsi="Arial"/>
          <w:sz w:val="20"/>
          <w:szCs w:val="20"/>
        </w:rPr>
        <w:t xml:space="preserve"> Kazakhstan TB application: Interventions </w:t>
      </w:r>
      <w:r w:rsidR="00FC697A">
        <w:rPr>
          <w:rFonts w:ascii="Arial" w:hAnsi="Arial"/>
          <w:sz w:val="20"/>
          <w:szCs w:val="20"/>
        </w:rPr>
        <w:t>and</w:t>
      </w:r>
      <w:r w:rsidRPr="00FC697A">
        <w:rPr>
          <w:rFonts w:ascii="Arial" w:hAnsi="Arial"/>
          <w:sz w:val="20"/>
          <w:szCs w:val="20"/>
        </w:rPr>
        <w:t xml:space="preserve"> Activities by Objective</w:t>
      </w:r>
    </w:p>
    <w:tbl>
      <w:tblPr>
        <w:tblW w:w="13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985"/>
        <w:gridCol w:w="6448"/>
        <w:gridCol w:w="344"/>
        <w:gridCol w:w="413"/>
        <w:gridCol w:w="414"/>
        <w:gridCol w:w="413"/>
        <w:gridCol w:w="414"/>
        <w:gridCol w:w="413"/>
        <w:gridCol w:w="413"/>
        <w:gridCol w:w="414"/>
        <w:gridCol w:w="413"/>
        <w:gridCol w:w="414"/>
        <w:gridCol w:w="413"/>
        <w:gridCol w:w="414"/>
      </w:tblGrid>
      <w:tr w:rsidR="00263536" w:rsidRPr="00F52D2E" w14:paraId="62023C4F" w14:textId="77777777" w:rsidTr="00B46482">
        <w:trPr>
          <w:tblHeader/>
        </w:trPr>
        <w:tc>
          <w:tcPr>
            <w:tcW w:w="560" w:type="dxa"/>
            <w:vMerge w:val="restart"/>
            <w:tcBorders>
              <w:top w:val="single" w:sz="4" w:space="0" w:color="auto"/>
              <w:left w:val="single" w:sz="4" w:space="0" w:color="auto"/>
              <w:right w:val="single" w:sz="4" w:space="0" w:color="auto"/>
            </w:tcBorders>
            <w:shd w:val="clear" w:color="auto" w:fill="F2F2F2" w:themeFill="background1" w:themeFillShade="F2"/>
            <w:tcMar>
              <w:left w:w="28" w:type="dxa"/>
              <w:right w:w="28" w:type="dxa"/>
            </w:tcMar>
            <w:vAlign w:val="center"/>
          </w:tcPr>
          <w:p w14:paraId="787B52CD" w14:textId="2F7B999D" w:rsidR="00263536" w:rsidRPr="00F52D2E" w:rsidRDefault="00263536" w:rsidP="00807FDF">
            <w:pPr>
              <w:spacing w:before="40" w:after="40" w:line="240" w:lineRule="auto"/>
              <w:jc w:val="center"/>
              <w:rPr>
                <w:rFonts w:ascii="Arial Narrow" w:hAnsi="Arial Narrow" w:cs="Times New Roman"/>
                <w:bCs/>
                <w:sz w:val="18"/>
                <w:szCs w:val="18"/>
              </w:rPr>
            </w:pPr>
            <w:r w:rsidRPr="00F52D2E">
              <w:rPr>
                <w:rFonts w:ascii="Arial Narrow" w:hAnsi="Arial Narrow" w:cs="Times New Roman"/>
                <w:bCs/>
                <w:sz w:val="18"/>
                <w:szCs w:val="18"/>
              </w:rPr>
              <w:t>No.</w:t>
            </w:r>
          </w:p>
        </w:tc>
        <w:tc>
          <w:tcPr>
            <w:tcW w:w="1985" w:type="dxa"/>
            <w:vMerge w:val="restart"/>
            <w:tcBorders>
              <w:top w:val="single" w:sz="4" w:space="0" w:color="auto"/>
              <w:left w:val="single" w:sz="4" w:space="0" w:color="auto"/>
              <w:right w:val="single" w:sz="4" w:space="0" w:color="auto"/>
            </w:tcBorders>
            <w:shd w:val="clear" w:color="auto" w:fill="F2F2F2" w:themeFill="background1" w:themeFillShade="F2"/>
            <w:tcMar>
              <w:left w:w="28" w:type="dxa"/>
              <w:right w:w="28" w:type="dxa"/>
            </w:tcMar>
            <w:vAlign w:val="center"/>
          </w:tcPr>
          <w:p w14:paraId="2E2483BA" w14:textId="0613C54C" w:rsidR="00263536" w:rsidRPr="00F52D2E" w:rsidRDefault="00263536" w:rsidP="00263536">
            <w:pPr>
              <w:spacing w:before="40" w:after="40" w:line="240" w:lineRule="auto"/>
              <w:jc w:val="center"/>
              <w:rPr>
                <w:rFonts w:ascii="Arial Narrow" w:hAnsi="Arial Narrow" w:cs="Times New Roman"/>
                <w:bCs/>
                <w:sz w:val="18"/>
                <w:szCs w:val="18"/>
              </w:rPr>
            </w:pPr>
            <w:r w:rsidRPr="00F52D2E">
              <w:rPr>
                <w:rFonts w:ascii="Arial Narrow" w:hAnsi="Arial Narrow" w:cs="Times New Roman"/>
                <w:bCs/>
                <w:sz w:val="18"/>
                <w:szCs w:val="18"/>
              </w:rPr>
              <w:t>Intervention / Activity</w:t>
            </w:r>
          </w:p>
        </w:tc>
        <w:tc>
          <w:tcPr>
            <w:tcW w:w="6448" w:type="dxa"/>
            <w:vMerge w:val="restart"/>
            <w:tcBorders>
              <w:top w:val="single" w:sz="4" w:space="0" w:color="auto"/>
              <w:left w:val="single" w:sz="4" w:space="0" w:color="auto"/>
              <w:right w:val="single" w:sz="4" w:space="0" w:color="auto"/>
            </w:tcBorders>
            <w:shd w:val="clear" w:color="auto" w:fill="F2F2F2" w:themeFill="background1" w:themeFillShade="F2"/>
            <w:tcMar>
              <w:left w:w="28" w:type="dxa"/>
              <w:right w:w="28" w:type="dxa"/>
            </w:tcMar>
            <w:vAlign w:val="center"/>
          </w:tcPr>
          <w:p w14:paraId="49DE36C9" w14:textId="3E65C912" w:rsidR="00263536" w:rsidRPr="00F52D2E" w:rsidRDefault="00263536" w:rsidP="00263536">
            <w:pPr>
              <w:spacing w:before="40" w:after="40" w:line="240" w:lineRule="auto"/>
              <w:jc w:val="center"/>
              <w:rPr>
                <w:rFonts w:ascii="Arial Narrow" w:hAnsi="Arial Narrow" w:cs="Times New Roman"/>
                <w:bCs/>
                <w:sz w:val="18"/>
                <w:szCs w:val="18"/>
              </w:rPr>
            </w:pPr>
            <w:r w:rsidRPr="00F52D2E">
              <w:rPr>
                <w:rFonts w:ascii="Arial Narrow" w:hAnsi="Arial Narrow" w:cs="Times New Roman"/>
                <w:bCs/>
                <w:sz w:val="18"/>
                <w:szCs w:val="18"/>
              </w:rPr>
              <w:t>Description</w:t>
            </w:r>
          </w:p>
        </w:tc>
        <w:tc>
          <w:tcPr>
            <w:tcW w:w="15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1FF15B19" w14:textId="42D4C17A" w:rsidR="00263536" w:rsidRPr="00F52D2E" w:rsidRDefault="00263536" w:rsidP="00263536">
            <w:pPr>
              <w:spacing w:before="40" w:after="40" w:line="240" w:lineRule="auto"/>
              <w:jc w:val="center"/>
              <w:rPr>
                <w:rFonts w:ascii="Arial Narrow" w:hAnsi="Arial Narrow" w:cs="Times New Roman"/>
                <w:bCs/>
                <w:sz w:val="18"/>
                <w:szCs w:val="18"/>
              </w:rPr>
            </w:pPr>
            <w:r w:rsidRPr="00F52D2E">
              <w:rPr>
                <w:rFonts w:ascii="Arial Narrow" w:hAnsi="Arial Narrow" w:cs="Times New Roman"/>
                <w:bCs/>
                <w:sz w:val="18"/>
                <w:szCs w:val="18"/>
              </w:rPr>
              <w:t>Year 1 (Jan-Dec 2020)</w:t>
            </w:r>
          </w:p>
        </w:tc>
        <w:tc>
          <w:tcPr>
            <w:tcW w:w="16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5E803282" w14:textId="49B3C3BD" w:rsidR="00263536" w:rsidRPr="00F52D2E" w:rsidRDefault="00263536" w:rsidP="00263536">
            <w:pPr>
              <w:spacing w:before="40" w:after="40" w:line="240" w:lineRule="auto"/>
              <w:jc w:val="center"/>
              <w:rPr>
                <w:rFonts w:ascii="Arial Narrow" w:hAnsi="Arial Narrow" w:cs="Times New Roman"/>
                <w:bCs/>
                <w:sz w:val="18"/>
                <w:szCs w:val="18"/>
              </w:rPr>
            </w:pPr>
            <w:r w:rsidRPr="00F52D2E">
              <w:rPr>
                <w:rFonts w:ascii="Arial Narrow" w:hAnsi="Arial Narrow" w:cs="Times New Roman"/>
                <w:bCs/>
                <w:sz w:val="18"/>
                <w:szCs w:val="18"/>
              </w:rPr>
              <w:t>Year 2 (Jan-Dec 2021)</w:t>
            </w:r>
          </w:p>
        </w:tc>
        <w:tc>
          <w:tcPr>
            <w:tcW w:w="16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vAlign w:val="center"/>
          </w:tcPr>
          <w:p w14:paraId="1FB0F05F" w14:textId="293C25B7" w:rsidR="00263536" w:rsidRPr="00F52D2E" w:rsidRDefault="00263536" w:rsidP="00263536">
            <w:pPr>
              <w:spacing w:before="40" w:after="40" w:line="240" w:lineRule="auto"/>
              <w:jc w:val="center"/>
              <w:rPr>
                <w:rFonts w:ascii="Arial Narrow" w:hAnsi="Arial Narrow" w:cs="Times New Roman"/>
                <w:bCs/>
                <w:sz w:val="18"/>
                <w:szCs w:val="18"/>
              </w:rPr>
            </w:pPr>
            <w:r w:rsidRPr="00F52D2E">
              <w:rPr>
                <w:rFonts w:ascii="Arial Narrow" w:hAnsi="Arial Narrow" w:cs="Times New Roman"/>
                <w:bCs/>
                <w:sz w:val="18"/>
                <w:szCs w:val="18"/>
              </w:rPr>
              <w:t>Year 3 (Jan-Dec 2022)</w:t>
            </w:r>
          </w:p>
        </w:tc>
      </w:tr>
      <w:tr w:rsidR="00F52D2E" w:rsidRPr="00F52D2E" w14:paraId="2AA9A8B7" w14:textId="77777777" w:rsidTr="00B46482">
        <w:trPr>
          <w:tblHeader/>
        </w:trPr>
        <w:tc>
          <w:tcPr>
            <w:tcW w:w="560" w:type="dxa"/>
            <w:vMerge/>
            <w:tcBorders>
              <w:left w:val="single" w:sz="4" w:space="0" w:color="auto"/>
              <w:right w:val="single" w:sz="4" w:space="0" w:color="auto"/>
            </w:tcBorders>
            <w:shd w:val="clear" w:color="auto" w:fill="F2F2F2" w:themeFill="background1" w:themeFillShade="F2"/>
            <w:tcMar>
              <w:left w:w="28" w:type="dxa"/>
              <w:right w:w="28" w:type="dxa"/>
            </w:tcMar>
            <w:vAlign w:val="center"/>
          </w:tcPr>
          <w:p w14:paraId="15921815" w14:textId="77777777" w:rsidR="00263536" w:rsidRPr="00F52D2E" w:rsidRDefault="00263536" w:rsidP="00807FDF">
            <w:pPr>
              <w:spacing w:before="40" w:after="40" w:line="240" w:lineRule="auto"/>
              <w:jc w:val="center"/>
              <w:rPr>
                <w:rFonts w:ascii="Arial Narrow" w:hAnsi="Arial Narrow" w:cs="Times New Roman"/>
                <w:bCs/>
                <w:sz w:val="18"/>
                <w:szCs w:val="18"/>
              </w:rPr>
            </w:pPr>
          </w:p>
        </w:tc>
        <w:tc>
          <w:tcPr>
            <w:tcW w:w="1985" w:type="dxa"/>
            <w:vMerge/>
            <w:tcBorders>
              <w:left w:val="single" w:sz="4" w:space="0" w:color="auto"/>
              <w:right w:val="single" w:sz="4" w:space="0" w:color="auto"/>
            </w:tcBorders>
            <w:shd w:val="clear" w:color="auto" w:fill="F2F2F2" w:themeFill="background1" w:themeFillShade="F2"/>
            <w:tcMar>
              <w:left w:w="28" w:type="dxa"/>
              <w:right w:w="28" w:type="dxa"/>
            </w:tcMar>
            <w:vAlign w:val="center"/>
          </w:tcPr>
          <w:p w14:paraId="20B28C63" w14:textId="77777777" w:rsidR="00263536" w:rsidRPr="00F52D2E" w:rsidRDefault="00263536" w:rsidP="00263536">
            <w:pPr>
              <w:spacing w:before="40" w:after="40" w:line="240" w:lineRule="auto"/>
              <w:jc w:val="center"/>
              <w:rPr>
                <w:rFonts w:ascii="Arial Narrow" w:hAnsi="Arial Narrow" w:cs="Times New Roman"/>
                <w:bCs/>
                <w:sz w:val="18"/>
                <w:szCs w:val="18"/>
              </w:rPr>
            </w:pPr>
          </w:p>
        </w:tc>
        <w:tc>
          <w:tcPr>
            <w:tcW w:w="6448" w:type="dxa"/>
            <w:vMerge/>
            <w:tcBorders>
              <w:left w:val="single" w:sz="4" w:space="0" w:color="auto"/>
              <w:right w:val="single" w:sz="4" w:space="0" w:color="auto"/>
            </w:tcBorders>
            <w:shd w:val="clear" w:color="auto" w:fill="F2F2F2" w:themeFill="background1" w:themeFillShade="F2"/>
            <w:tcMar>
              <w:left w:w="28" w:type="dxa"/>
              <w:right w:w="28" w:type="dxa"/>
            </w:tcMar>
            <w:vAlign w:val="center"/>
          </w:tcPr>
          <w:p w14:paraId="7CC072A0" w14:textId="77777777" w:rsidR="00263536" w:rsidRPr="00F52D2E" w:rsidRDefault="00263536" w:rsidP="00263536">
            <w:pPr>
              <w:spacing w:before="40" w:after="40" w:line="240" w:lineRule="auto"/>
              <w:jc w:val="center"/>
              <w:rPr>
                <w:rFonts w:ascii="Arial Narrow" w:hAnsi="Arial Narrow" w:cs="Times New Roman"/>
                <w:bCs/>
                <w:sz w:val="18"/>
                <w:szCs w:val="18"/>
              </w:rPr>
            </w:pPr>
          </w:p>
        </w:tc>
        <w:tc>
          <w:tcPr>
            <w:tcW w:w="344" w:type="dxa"/>
            <w:tcBorders>
              <w:left w:val="single" w:sz="4" w:space="0" w:color="auto"/>
            </w:tcBorders>
            <w:shd w:val="clear" w:color="auto" w:fill="F2F2F2" w:themeFill="background1" w:themeFillShade="F2"/>
            <w:tcMar>
              <w:left w:w="28" w:type="dxa"/>
              <w:right w:w="28" w:type="dxa"/>
            </w:tcMar>
            <w:vAlign w:val="center"/>
          </w:tcPr>
          <w:p w14:paraId="7DFA5AF5" w14:textId="1358BCE7"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Q1</w:t>
            </w:r>
          </w:p>
        </w:tc>
        <w:tc>
          <w:tcPr>
            <w:tcW w:w="413" w:type="dxa"/>
            <w:shd w:val="clear" w:color="auto" w:fill="F2F2F2" w:themeFill="background1" w:themeFillShade="F2"/>
            <w:tcMar>
              <w:left w:w="28" w:type="dxa"/>
              <w:right w:w="28" w:type="dxa"/>
            </w:tcMar>
            <w:vAlign w:val="center"/>
          </w:tcPr>
          <w:p w14:paraId="08806C82" w14:textId="4E53929A"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Q2</w:t>
            </w:r>
          </w:p>
        </w:tc>
        <w:tc>
          <w:tcPr>
            <w:tcW w:w="414" w:type="dxa"/>
            <w:shd w:val="clear" w:color="auto" w:fill="F2F2F2" w:themeFill="background1" w:themeFillShade="F2"/>
            <w:tcMar>
              <w:left w:w="28" w:type="dxa"/>
              <w:right w:w="28" w:type="dxa"/>
            </w:tcMar>
            <w:vAlign w:val="center"/>
          </w:tcPr>
          <w:p w14:paraId="41CF6250" w14:textId="772C0FFC"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Q3</w:t>
            </w:r>
          </w:p>
        </w:tc>
        <w:tc>
          <w:tcPr>
            <w:tcW w:w="413" w:type="dxa"/>
            <w:shd w:val="clear" w:color="auto" w:fill="F2F2F2" w:themeFill="background1" w:themeFillShade="F2"/>
            <w:tcMar>
              <w:left w:w="28" w:type="dxa"/>
              <w:right w:w="28" w:type="dxa"/>
            </w:tcMar>
            <w:vAlign w:val="center"/>
          </w:tcPr>
          <w:p w14:paraId="4BFB5B8C" w14:textId="706E21EB"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Q4</w:t>
            </w:r>
          </w:p>
        </w:tc>
        <w:tc>
          <w:tcPr>
            <w:tcW w:w="414" w:type="dxa"/>
            <w:shd w:val="clear" w:color="auto" w:fill="F2F2F2" w:themeFill="background1" w:themeFillShade="F2"/>
            <w:tcMar>
              <w:left w:w="28" w:type="dxa"/>
              <w:right w:w="28" w:type="dxa"/>
            </w:tcMar>
            <w:vAlign w:val="center"/>
          </w:tcPr>
          <w:p w14:paraId="04F3E474" w14:textId="4C181973"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Q5</w:t>
            </w:r>
          </w:p>
        </w:tc>
        <w:tc>
          <w:tcPr>
            <w:tcW w:w="413" w:type="dxa"/>
            <w:shd w:val="clear" w:color="auto" w:fill="F2F2F2" w:themeFill="background1" w:themeFillShade="F2"/>
            <w:tcMar>
              <w:left w:w="28" w:type="dxa"/>
              <w:right w:w="28" w:type="dxa"/>
            </w:tcMar>
            <w:vAlign w:val="center"/>
          </w:tcPr>
          <w:p w14:paraId="1B8FDA69" w14:textId="53952BF7"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Q6</w:t>
            </w:r>
          </w:p>
        </w:tc>
        <w:tc>
          <w:tcPr>
            <w:tcW w:w="413" w:type="dxa"/>
            <w:shd w:val="clear" w:color="auto" w:fill="F2F2F2" w:themeFill="background1" w:themeFillShade="F2"/>
            <w:tcMar>
              <w:left w:w="28" w:type="dxa"/>
              <w:right w:w="28" w:type="dxa"/>
            </w:tcMar>
            <w:vAlign w:val="center"/>
          </w:tcPr>
          <w:p w14:paraId="78BA9E52" w14:textId="1CC47EBF"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Q7</w:t>
            </w:r>
          </w:p>
        </w:tc>
        <w:tc>
          <w:tcPr>
            <w:tcW w:w="414" w:type="dxa"/>
            <w:shd w:val="clear" w:color="auto" w:fill="F2F2F2" w:themeFill="background1" w:themeFillShade="F2"/>
            <w:tcMar>
              <w:left w:w="28" w:type="dxa"/>
              <w:right w:w="28" w:type="dxa"/>
            </w:tcMar>
            <w:vAlign w:val="center"/>
          </w:tcPr>
          <w:p w14:paraId="2A58A820" w14:textId="393F1AF6"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Q8</w:t>
            </w:r>
          </w:p>
        </w:tc>
        <w:tc>
          <w:tcPr>
            <w:tcW w:w="413" w:type="dxa"/>
            <w:shd w:val="clear" w:color="auto" w:fill="F2F2F2" w:themeFill="background1" w:themeFillShade="F2"/>
            <w:tcMar>
              <w:left w:w="28" w:type="dxa"/>
              <w:right w:w="28" w:type="dxa"/>
            </w:tcMar>
            <w:vAlign w:val="center"/>
          </w:tcPr>
          <w:p w14:paraId="2636A2AD" w14:textId="44FA2456"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Q9</w:t>
            </w:r>
          </w:p>
        </w:tc>
        <w:tc>
          <w:tcPr>
            <w:tcW w:w="414" w:type="dxa"/>
            <w:shd w:val="clear" w:color="auto" w:fill="F2F2F2" w:themeFill="background1" w:themeFillShade="F2"/>
            <w:tcMar>
              <w:left w:w="28" w:type="dxa"/>
              <w:right w:w="28" w:type="dxa"/>
            </w:tcMar>
            <w:vAlign w:val="center"/>
          </w:tcPr>
          <w:p w14:paraId="190B9287" w14:textId="4B50D055"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Q10</w:t>
            </w:r>
          </w:p>
        </w:tc>
        <w:tc>
          <w:tcPr>
            <w:tcW w:w="413" w:type="dxa"/>
            <w:shd w:val="clear" w:color="auto" w:fill="F2F2F2" w:themeFill="background1" w:themeFillShade="F2"/>
            <w:tcMar>
              <w:left w:w="28" w:type="dxa"/>
              <w:right w:w="28" w:type="dxa"/>
            </w:tcMar>
            <w:vAlign w:val="center"/>
          </w:tcPr>
          <w:p w14:paraId="6C010A0D" w14:textId="76552597"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Q11</w:t>
            </w:r>
          </w:p>
        </w:tc>
        <w:tc>
          <w:tcPr>
            <w:tcW w:w="414" w:type="dxa"/>
            <w:shd w:val="clear" w:color="auto" w:fill="F2F2F2" w:themeFill="background1" w:themeFillShade="F2"/>
            <w:tcMar>
              <w:left w:w="28" w:type="dxa"/>
              <w:right w:w="28" w:type="dxa"/>
            </w:tcMar>
            <w:vAlign w:val="center"/>
          </w:tcPr>
          <w:p w14:paraId="7EEB79B9" w14:textId="3B901475" w:rsidR="00263536" w:rsidRPr="00F52D2E" w:rsidRDefault="00263536" w:rsidP="00263536">
            <w:pPr>
              <w:spacing w:before="40" w:after="40" w:line="240" w:lineRule="auto"/>
              <w:jc w:val="center"/>
              <w:rPr>
                <w:rFonts w:ascii="Arial Narrow" w:hAnsi="Arial Narrow" w:cs="Times New Roman"/>
                <w:bCs/>
                <w:i/>
                <w:sz w:val="16"/>
                <w:szCs w:val="16"/>
              </w:rPr>
            </w:pPr>
            <w:r w:rsidRPr="00F52D2E">
              <w:rPr>
                <w:rFonts w:ascii="Arial Narrow" w:hAnsi="Arial Narrow" w:cs="Arial Narrow"/>
                <w:i/>
                <w:sz w:val="16"/>
                <w:szCs w:val="16"/>
              </w:rPr>
              <w:t>Q12</w:t>
            </w:r>
          </w:p>
        </w:tc>
      </w:tr>
      <w:tr w:rsidR="00956DCA" w:rsidRPr="00956DCA" w14:paraId="44117848" w14:textId="77777777" w:rsidTr="00807FDF">
        <w:tc>
          <w:tcPr>
            <w:tcW w:w="560" w:type="dxa"/>
            <w:shd w:val="clear" w:color="auto" w:fill="B6DDE8" w:themeFill="accent5" w:themeFillTint="66"/>
            <w:tcMar>
              <w:left w:w="28" w:type="dxa"/>
              <w:right w:w="28" w:type="dxa"/>
            </w:tcMar>
          </w:tcPr>
          <w:p w14:paraId="1D97B71D" w14:textId="452143A4" w:rsidR="00956DCA" w:rsidRPr="00956DCA" w:rsidRDefault="00F52D2E" w:rsidP="00807FDF">
            <w:pPr>
              <w:spacing w:before="40" w:after="40" w:line="240" w:lineRule="auto"/>
              <w:jc w:val="center"/>
              <w:rPr>
                <w:rFonts w:ascii="Arial Narrow" w:hAnsi="Arial Narrow" w:cs="Times New Roman"/>
              </w:rPr>
            </w:pPr>
            <w:r>
              <w:rPr>
                <w:rFonts w:ascii="Arial Narrow" w:hAnsi="Arial Narrow" w:cs="Times New Roman"/>
              </w:rPr>
              <w:t>1</w:t>
            </w:r>
          </w:p>
        </w:tc>
        <w:tc>
          <w:tcPr>
            <w:tcW w:w="13325" w:type="dxa"/>
            <w:gridSpan w:val="14"/>
            <w:shd w:val="clear" w:color="auto" w:fill="B6DDE8" w:themeFill="accent5" w:themeFillTint="66"/>
            <w:tcMar>
              <w:left w:w="28" w:type="dxa"/>
              <w:right w:w="28" w:type="dxa"/>
            </w:tcMar>
          </w:tcPr>
          <w:p w14:paraId="6058A727" w14:textId="603DA1C2" w:rsidR="00956DCA" w:rsidRPr="00956DCA" w:rsidRDefault="00956DCA" w:rsidP="009413DD">
            <w:pPr>
              <w:spacing w:before="40" w:after="40" w:line="240" w:lineRule="auto"/>
              <w:rPr>
                <w:rFonts w:ascii="Arial Narrow" w:hAnsi="Arial Narrow" w:cs="Times New Roman"/>
              </w:rPr>
            </w:pPr>
            <w:r w:rsidRPr="00956DCA">
              <w:rPr>
                <w:rFonts w:ascii="Arial Narrow" w:hAnsi="Arial Narrow" w:cs="Times New Roman"/>
              </w:rPr>
              <w:t xml:space="preserve">Objective </w:t>
            </w:r>
            <w:r w:rsidR="00F52D2E">
              <w:rPr>
                <w:rFonts w:ascii="Arial Narrow" w:hAnsi="Arial Narrow" w:cs="Times New Roman"/>
              </w:rPr>
              <w:t>1</w:t>
            </w:r>
            <w:r w:rsidRPr="00956DCA">
              <w:rPr>
                <w:rFonts w:ascii="Arial Narrow" w:hAnsi="Arial Narrow" w:cs="Times New Roman"/>
              </w:rPr>
              <w:t xml:space="preserve">. </w:t>
            </w:r>
            <w:r w:rsidR="00CD11D2" w:rsidRPr="00CD11D2">
              <w:rPr>
                <w:rFonts w:ascii="Arial Narrow" w:hAnsi="Arial Narrow" w:cs="Times New Roman"/>
              </w:rPr>
              <w:t>To ensure comprehensive and sustainable health system responses to DR-TB challenge</w:t>
            </w:r>
          </w:p>
        </w:tc>
      </w:tr>
      <w:tr w:rsidR="00263536" w:rsidRPr="00263536" w14:paraId="293E8F7B" w14:textId="77777777" w:rsidTr="00B46482">
        <w:tc>
          <w:tcPr>
            <w:tcW w:w="560" w:type="dxa"/>
            <w:shd w:val="clear" w:color="auto" w:fill="FFFF99"/>
            <w:tcMar>
              <w:left w:w="28" w:type="dxa"/>
              <w:right w:w="28" w:type="dxa"/>
            </w:tcMar>
          </w:tcPr>
          <w:p w14:paraId="59418E0C" w14:textId="62AF29A5" w:rsidR="00263536" w:rsidRPr="00263536" w:rsidRDefault="00263536" w:rsidP="00807FDF">
            <w:pPr>
              <w:spacing w:before="40" w:after="40" w:line="240" w:lineRule="auto"/>
              <w:jc w:val="center"/>
              <w:rPr>
                <w:rFonts w:ascii="Arial Narrow" w:hAnsi="Arial Narrow" w:cs="Times New Roman"/>
                <w:sz w:val="18"/>
                <w:szCs w:val="18"/>
              </w:rPr>
            </w:pPr>
            <w:r>
              <w:rPr>
                <w:rFonts w:ascii="Arial Narrow" w:hAnsi="Arial Narrow" w:cs="Times New Roman"/>
                <w:sz w:val="18"/>
                <w:szCs w:val="18"/>
              </w:rPr>
              <w:t>1.1</w:t>
            </w:r>
          </w:p>
        </w:tc>
        <w:tc>
          <w:tcPr>
            <w:tcW w:w="8433" w:type="dxa"/>
            <w:gridSpan w:val="2"/>
            <w:shd w:val="clear" w:color="auto" w:fill="FFFF99"/>
            <w:tcMar>
              <w:left w:w="28" w:type="dxa"/>
              <w:right w:w="28" w:type="dxa"/>
            </w:tcMar>
          </w:tcPr>
          <w:p w14:paraId="7E7687A2" w14:textId="77777777" w:rsidR="00263536" w:rsidRPr="00263536" w:rsidRDefault="00263536" w:rsidP="00263536">
            <w:pPr>
              <w:spacing w:before="40" w:after="40" w:line="240" w:lineRule="auto"/>
              <w:rPr>
                <w:rFonts w:ascii="Arial Narrow" w:hAnsi="Arial Narrow" w:cs="Times New Roman"/>
                <w:bCs/>
                <w:sz w:val="18"/>
                <w:szCs w:val="18"/>
              </w:rPr>
            </w:pPr>
            <w:r w:rsidRPr="00263536">
              <w:rPr>
                <w:rFonts w:ascii="Arial Narrow" w:hAnsi="Arial Narrow" w:cs="Times New Roman"/>
                <w:bCs/>
                <w:sz w:val="18"/>
                <w:szCs w:val="18"/>
              </w:rPr>
              <w:t>Supportive policy and programmatic environment</w:t>
            </w:r>
          </w:p>
          <w:p w14:paraId="42F3511B" w14:textId="243E4FF5" w:rsidR="00263536" w:rsidRPr="00263536" w:rsidRDefault="00263536" w:rsidP="00263536">
            <w:pPr>
              <w:spacing w:before="40" w:after="40" w:line="240" w:lineRule="auto"/>
              <w:rPr>
                <w:rFonts w:ascii="Arial Narrow" w:hAnsi="Arial Narrow" w:cs="Times New Roman"/>
                <w:i/>
                <w:sz w:val="18"/>
                <w:szCs w:val="18"/>
              </w:rPr>
            </w:pPr>
            <w:r w:rsidRPr="00263536">
              <w:rPr>
                <w:rFonts w:ascii="Arial Narrow" w:hAnsi="Arial Narrow" w:cs="Times New Roman"/>
                <w:b w:val="0"/>
                <w:bCs/>
                <w:i/>
                <w:sz w:val="18"/>
                <w:szCs w:val="18"/>
              </w:rPr>
              <w:t>Module:</w:t>
            </w:r>
            <w:r w:rsidRPr="00263536">
              <w:rPr>
                <w:rFonts w:ascii="Arial Narrow" w:hAnsi="Arial Narrow" w:cs="Times New Roman"/>
                <w:b w:val="0"/>
                <w:bCs/>
                <w:i/>
                <w:sz w:val="18"/>
                <w:szCs w:val="18"/>
              </w:rPr>
              <w:tab/>
              <w:t xml:space="preserve"> RSSH – integrated service delivery and quality improvement</w:t>
            </w:r>
          </w:p>
        </w:tc>
        <w:tc>
          <w:tcPr>
            <w:tcW w:w="344" w:type="dxa"/>
            <w:shd w:val="clear" w:color="auto" w:fill="FFFF99"/>
            <w:tcMar>
              <w:left w:w="28" w:type="dxa"/>
              <w:right w:w="28" w:type="dxa"/>
            </w:tcMar>
            <w:vAlign w:val="center"/>
          </w:tcPr>
          <w:p w14:paraId="0B7B3E1F" w14:textId="77777777" w:rsidR="00263536" w:rsidRPr="00263536" w:rsidRDefault="00263536" w:rsidP="00263536">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120ADF6A" w14:textId="77777777" w:rsidR="00263536" w:rsidRPr="00263536" w:rsidRDefault="00263536" w:rsidP="00263536">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4629A92B" w14:textId="77777777" w:rsidR="00263536" w:rsidRPr="00263536" w:rsidRDefault="00263536" w:rsidP="00263536">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474BB149" w14:textId="77777777" w:rsidR="00263536" w:rsidRPr="00263536" w:rsidRDefault="00263536" w:rsidP="00263536">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3DDD0F1E" w14:textId="77777777" w:rsidR="00263536" w:rsidRPr="00263536" w:rsidRDefault="00263536" w:rsidP="00263536">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6499C451" w14:textId="77777777" w:rsidR="00263536" w:rsidRPr="00263536" w:rsidRDefault="00263536" w:rsidP="00263536">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7A0D5022" w14:textId="77777777" w:rsidR="00263536" w:rsidRPr="00263536" w:rsidRDefault="00263536" w:rsidP="00263536">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6BC81A17" w14:textId="77777777" w:rsidR="00263536" w:rsidRPr="00263536" w:rsidRDefault="00263536" w:rsidP="00263536">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769DDA5D" w14:textId="77777777" w:rsidR="00263536" w:rsidRPr="00263536" w:rsidRDefault="00263536" w:rsidP="00263536">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20CF2549" w14:textId="77777777" w:rsidR="00263536" w:rsidRPr="00263536" w:rsidRDefault="00263536" w:rsidP="00263536">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45D632F7" w14:textId="77777777" w:rsidR="00263536" w:rsidRPr="00263536" w:rsidRDefault="00263536" w:rsidP="00263536">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456E1894" w14:textId="77777777" w:rsidR="00263536" w:rsidRPr="00263536" w:rsidRDefault="00263536" w:rsidP="00263536">
            <w:pPr>
              <w:spacing w:before="40" w:after="40" w:line="240" w:lineRule="auto"/>
              <w:jc w:val="center"/>
              <w:rPr>
                <w:rFonts w:ascii="Arial Narrow" w:hAnsi="Arial Narrow" w:cs="Times New Roman"/>
                <w:sz w:val="18"/>
                <w:szCs w:val="18"/>
              </w:rPr>
            </w:pPr>
          </w:p>
        </w:tc>
      </w:tr>
      <w:tr w:rsidR="0068728A" w:rsidRPr="00263536" w14:paraId="7312C7CD" w14:textId="77777777" w:rsidTr="00B46482">
        <w:tc>
          <w:tcPr>
            <w:tcW w:w="560" w:type="dxa"/>
            <w:tcMar>
              <w:left w:w="28" w:type="dxa"/>
              <w:right w:w="28" w:type="dxa"/>
            </w:tcMar>
          </w:tcPr>
          <w:p w14:paraId="601333A7" w14:textId="3F45F8D7" w:rsidR="00263536" w:rsidRPr="0060605F" w:rsidRDefault="0068728A" w:rsidP="00807FDF">
            <w:pPr>
              <w:spacing w:before="40" w:after="40" w:line="240" w:lineRule="auto"/>
              <w:jc w:val="center"/>
              <w:rPr>
                <w:rFonts w:ascii="Arial Narrow" w:hAnsi="Arial Narrow" w:cs="Times New Roman"/>
                <w:b w:val="0"/>
                <w:bCs/>
                <w:sz w:val="18"/>
                <w:szCs w:val="18"/>
              </w:rPr>
            </w:pPr>
            <w:r w:rsidRPr="0060605F">
              <w:rPr>
                <w:rFonts w:ascii="Arial Narrow" w:hAnsi="Arial Narrow" w:cs="Times New Roman"/>
                <w:b w:val="0"/>
                <w:bCs/>
                <w:sz w:val="18"/>
                <w:szCs w:val="18"/>
              </w:rPr>
              <w:t>1.1.1</w:t>
            </w:r>
          </w:p>
        </w:tc>
        <w:tc>
          <w:tcPr>
            <w:tcW w:w="1985" w:type="dxa"/>
            <w:tcMar>
              <w:left w:w="28" w:type="dxa"/>
              <w:right w:w="28" w:type="dxa"/>
            </w:tcMar>
          </w:tcPr>
          <w:p w14:paraId="5BB182EE" w14:textId="47110557" w:rsidR="0068728A" w:rsidRPr="0060605F" w:rsidRDefault="00F66B1F" w:rsidP="00F66B1F">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 xml:space="preserve">Support to the </w:t>
            </w:r>
            <w:r w:rsidR="0068728A" w:rsidRPr="0060605F">
              <w:rPr>
                <w:rFonts w:ascii="Arial Narrow" w:hAnsi="Arial Narrow" w:cs="Times New Roman"/>
                <w:b w:val="0"/>
                <w:bCs/>
                <w:sz w:val="18"/>
                <w:szCs w:val="18"/>
              </w:rPr>
              <w:t xml:space="preserve">Working Group </w:t>
            </w:r>
            <w:r w:rsidR="00B1116D" w:rsidRPr="0060605F">
              <w:rPr>
                <w:rFonts w:ascii="Arial Narrow" w:hAnsi="Arial Narrow" w:cs="Times New Roman"/>
                <w:b w:val="0"/>
                <w:bCs/>
                <w:sz w:val="18"/>
                <w:szCs w:val="18"/>
              </w:rPr>
              <w:t>on health system strengthening for TB control</w:t>
            </w:r>
          </w:p>
        </w:tc>
        <w:tc>
          <w:tcPr>
            <w:tcW w:w="6448" w:type="dxa"/>
            <w:tcMar>
              <w:left w:w="28" w:type="dxa"/>
              <w:right w:w="28" w:type="dxa"/>
            </w:tcMar>
          </w:tcPr>
          <w:p w14:paraId="43F8C891" w14:textId="22C2F654" w:rsidR="00B1116D" w:rsidRPr="0060605F" w:rsidRDefault="00B1116D" w:rsidP="00D070F7">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 xml:space="preserve">The </w:t>
            </w:r>
            <w:proofErr w:type="spellStart"/>
            <w:r w:rsidRPr="0060605F">
              <w:rPr>
                <w:rFonts w:ascii="Arial Narrow" w:hAnsi="Arial Narrow" w:cs="Times New Roman"/>
                <w:b w:val="0"/>
                <w:bCs/>
                <w:sz w:val="18"/>
                <w:szCs w:val="18"/>
              </w:rPr>
              <w:t>multisectoral</w:t>
            </w:r>
            <w:proofErr w:type="spellEnd"/>
            <w:r w:rsidRPr="0060605F">
              <w:rPr>
                <w:rFonts w:ascii="Arial Narrow" w:hAnsi="Arial Narrow" w:cs="Times New Roman"/>
                <w:b w:val="0"/>
                <w:bCs/>
                <w:sz w:val="18"/>
                <w:szCs w:val="18"/>
              </w:rPr>
              <w:t xml:space="preserve"> working group, established under previous grant, will be further supported to perform high-level advocacy and enhance the political commitment for effective governance of the health system and sustainable financing of TB interventions, including strengthening and coordinating the non-governmental sector involvement. The new grant will allocate funding to support the national experts to develop relevant regulations for both civilian and penitentiary services and guidance for NGOs in line with the international recommendations and best practices.</w:t>
            </w:r>
          </w:p>
        </w:tc>
        <w:tc>
          <w:tcPr>
            <w:tcW w:w="344" w:type="dxa"/>
            <w:shd w:val="clear" w:color="auto" w:fill="D9D9D9" w:themeFill="background1" w:themeFillShade="D9"/>
            <w:tcMar>
              <w:left w:w="28" w:type="dxa"/>
              <w:right w:w="28" w:type="dxa"/>
            </w:tcMar>
            <w:vAlign w:val="center"/>
          </w:tcPr>
          <w:p w14:paraId="3A332FED"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8C27B5A"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80306E2"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72BE81D"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A747C7A"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1D802EE"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6F51730"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3876528"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C407C68"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0F1898E"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D36FC61"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17CEF61"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r>
      <w:tr w:rsidR="0068728A" w:rsidRPr="00263536" w14:paraId="67259CDB" w14:textId="77777777" w:rsidTr="00B46482">
        <w:tc>
          <w:tcPr>
            <w:tcW w:w="560" w:type="dxa"/>
            <w:tcMar>
              <w:left w:w="28" w:type="dxa"/>
              <w:right w:w="28" w:type="dxa"/>
            </w:tcMar>
          </w:tcPr>
          <w:p w14:paraId="3287E781" w14:textId="2B0A0DC5" w:rsidR="00263536" w:rsidRPr="0060605F" w:rsidRDefault="0068728A" w:rsidP="00807FDF">
            <w:pPr>
              <w:spacing w:before="40" w:after="40" w:line="240" w:lineRule="auto"/>
              <w:jc w:val="center"/>
              <w:rPr>
                <w:rFonts w:ascii="Arial Narrow" w:hAnsi="Arial Narrow" w:cs="Times New Roman"/>
                <w:b w:val="0"/>
                <w:bCs/>
                <w:sz w:val="18"/>
                <w:szCs w:val="18"/>
              </w:rPr>
            </w:pPr>
            <w:r w:rsidRPr="0060605F">
              <w:rPr>
                <w:rFonts w:ascii="Arial Narrow" w:hAnsi="Arial Narrow" w:cs="Times New Roman"/>
                <w:b w:val="0"/>
                <w:bCs/>
                <w:sz w:val="18"/>
                <w:szCs w:val="18"/>
              </w:rPr>
              <w:t>1.1.2</w:t>
            </w:r>
          </w:p>
        </w:tc>
        <w:tc>
          <w:tcPr>
            <w:tcW w:w="1985" w:type="dxa"/>
            <w:tcMar>
              <w:left w:w="28" w:type="dxa"/>
              <w:right w:w="28" w:type="dxa"/>
            </w:tcMar>
          </w:tcPr>
          <w:p w14:paraId="22C90639" w14:textId="7FE33849" w:rsidR="00263536" w:rsidRPr="0060605F" w:rsidRDefault="00527BBA" w:rsidP="00835CCA">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RSSH / TB c</w:t>
            </w:r>
            <w:r w:rsidR="0068728A" w:rsidRPr="0060605F">
              <w:rPr>
                <w:rFonts w:ascii="Arial Narrow" w:hAnsi="Arial Narrow" w:cs="Times New Roman"/>
                <w:b w:val="0"/>
                <w:bCs/>
                <w:sz w:val="18"/>
                <w:szCs w:val="18"/>
              </w:rPr>
              <w:t>oordination meetings</w:t>
            </w:r>
          </w:p>
        </w:tc>
        <w:tc>
          <w:tcPr>
            <w:tcW w:w="6448" w:type="dxa"/>
            <w:tcMar>
              <w:left w:w="28" w:type="dxa"/>
              <w:right w:w="28" w:type="dxa"/>
            </w:tcMar>
          </w:tcPr>
          <w:p w14:paraId="150081B1" w14:textId="6A3C012D" w:rsidR="00B1116D" w:rsidRPr="0060605F" w:rsidRDefault="00B1116D" w:rsidP="00D070F7">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The project will support coordination meetings with a broader participation of the governmental agencies (including the Ministry of Finance and the Committee for Criminal Executive System of the Ministry of Internal Affairs), health care managers at central and regional levels, academia, civil society and other non-state actors (quarterly meetings during Years 1-2).</w:t>
            </w:r>
          </w:p>
        </w:tc>
        <w:tc>
          <w:tcPr>
            <w:tcW w:w="344" w:type="dxa"/>
            <w:shd w:val="clear" w:color="auto" w:fill="D9D9D9" w:themeFill="background1" w:themeFillShade="D9"/>
            <w:tcMar>
              <w:left w:w="28" w:type="dxa"/>
              <w:right w:w="28" w:type="dxa"/>
            </w:tcMar>
            <w:vAlign w:val="center"/>
          </w:tcPr>
          <w:p w14:paraId="4F7C13A1"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609E765"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4FEFAB7"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4E4FCF8"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FC9A2AA"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572352A"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96E6B30"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C1315F6"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33E4C38"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7FECF9F"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56FC0FA"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B4B3C31"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r>
      <w:tr w:rsidR="0068728A" w:rsidRPr="00263536" w14:paraId="16822EF5" w14:textId="77777777" w:rsidTr="00B46482">
        <w:tc>
          <w:tcPr>
            <w:tcW w:w="560" w:type="dxa"/>
            <w:tcMar>
              <w:left w:w="28" w:type="dxa"/>
              <w:right w:w="28" w:type="dxa"/>
            </w:tcMar>
          </w:tcPr>
          <w:p w14:paraId="28FF70E0" w14:textId="37507A41" w:rsidR="00263536" w:rsidRPr="0060605F" w:rsidRDefault="0068728A" w:rsidP="00807FDF">
            <w:pPr>
              <w:spacing w:before="40" w:after="40" w:line="240" w:lineRule="auto"/>
              <w:jc w:val="center"/>
              <w:rPr>
                <w:rFonts w:ascii="Arial Narrow" w:hAnsi="Arial Narrow" w:cs="Times New Roman"/>
                <w:b w:val="0"/>
                <w:bCs/>
                <w:sz w:val="18"/>
                <w:szCs w:val="18"/>
              </w:rPr>
            </w:pPr>
            <w:r w:rsidRPr="0060605F">
              <w:rPr>
                <w:rFonts w:ascii="Arial Narrow" w:hAnsi="Arial Narrow" w:cs="Times New Roman"/>
                <w:b w:val="0"/>
                <w:bCs/>
                <w:sz w:val="18"/>
                <w:szCs w:val="18"/>
              </w:rPr>
              <w:t>1.1.3</w:t>
            </w:r>
          </w:p>
        </w:tc>
        <w:tc>
          <w:tcPr>
            <w:tcW w:w="1985" w:type="dxa"/>
            <w:tcMar>
              <w:left w:w="28" w:type="dxa"/>
              <w:right w:w="28" w:type="dxa"/>
            </w:tcMar>
          </w:tcPr>
          <w:p w14:paraId="6A9A09C1" w14:textId="22316F20" w:rsidR="00263536" w:rsidRPr="0060605F" w:rsidRDefault="00527BBA" w:rsidP="00835CCA">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 xml:space="preserve">RSSH / TB round tables at </w:t>
            </w:r>
            <w:r w:rsidR="000B00B0" w:rsidRPr="0060605F">
              <w:rPr>
                <w:rFonts w:ascii="Arial Narrow" w:hAnsi="Arial Narrow" w:cs="Times New Roman"/>
                <w:b w:val="0"/>
                <w:bCs/>
                <w:sz w:val="18"/>
                <w:szCs w:val="18"/>
              </w:rPr>
              <w:t>central/</w:t>
            </w:r>
            <w:r w:rsidRPr="0060605F">
              <w:rPr>
                <w:rFonts w:ascii="Arial Narrow" w:hAnsi="Arial Narrow" w:cs="Times New Roman"/>
                <w:b w:val="0"/>
                <w:bCs/>
                <w:sz w:val="18"/>
                <w:szCs w:val="18"/>
              </w:rPr>
              <w:t>regional level</w:t>
            </w:r>
            <w:r w:rsidR="00F66B1F" w:rsidRPr="0060605F">
              <w:rPr>
                <w:rFonts w:ascii="Arial Narrow" w:hAnsi="Arial Narrow" w:cs="Times New Roman"/>
                <w:b w:val="0"/>
                <w:bCs/>
                <w:sz w:val="18"/>
                <w:szCs w:val="18"/>
              </w:rPr>
              <w:t xml:space="preserve"> for high-level decision makers</w:t>
            </w:r>
          </w:p>
        </w:tc>
        <w:tc>
          <w:tcPr>
            <w:tcW w:w="6448" w:type="dxa"/>
            <w:tcMar>
              <w:left w:w="28" w:type="dxa"/>
              <w:right w:w="28" w:type="dxa"/>
            </w:tcMar>
          </w:tcPr>
          <w:p w14:paraId="32751CC9" w14:textId="7EEB6E68" w:rsidR="00B1116D" w:rsidRPr="0060605F" w:rsidRDefault="00527BBA" w:rsidP="00D070F7">
            <w:pPr>
              <w:spacing w:before="40" w:after="40" w:line="240" w:lineRule="auto"/>
              <w:jc w:val="both"/>
              <w:rPr>
                <w:rFonts w:ascii="Arial Narrow" w:hAnsi="Arial Narrow" w:cs="Times New Roman"/>
                <w:b w:val="0"/>
                <w:bCs/>
                <w:sz w:val="18"/>
                <w:szCs w:val="18"/>
              </w:rPr>
            </w:pPr>
            <w:proofErr w:type="gramStart"/>
            <w:r w:rsidRPr="0060605F">
              <w:rPr>
                <w:rFonts w:ascii="Arial Narrow" w:hAnsi="Arial Narrow" w:cs="Times New Roman"/>
                <w:b w:val="0"/>
                <w:bCs/>
                <w:sz w:val="18"/>
                <w:szCs w:val="18"/>
              </w:rPr>
              <w:t xml:space="preserve">The project will organize special training sessions and round tables at the </w:t>
            </w:r>
            <w:r w:rsidR="000B00B0" w:rsidRPr="0060605F">
              <w:rPr>
                <w:rFonts w:ascii="Arial Narrow" w:hAnsi="Arial Narrow" w:cs="Times New Roman"/>
                <w:b w:val="0"/>
                <w:bCs/>
                <w:sz w:val="18"/>
                <w:szCs w:val="18"/>
              </w:rPr>
              <w:t>central/</w:t>
            </w:r>
            <w:r w:rsidRPr="0060605F">
              <w:rPr>
                <w:rFonts w:ascii="Arial Narrow" w:hAnsi="Arial Narrow" w:cs="Times New Roman"/>
                <w:b w:val="0"/>
                <w:bCs/>
                <w:sz w:val="18"/>
                <w:szCs w:val="18"/>
              </w:rPr>
              <w:t>regional level with the involvement of local public administrations and relevant partners including businesses, which will focus on the End-TB Strategy implementation approaches, such as enabling people- and patient-centered TB care delivery with predominantly outpatient TB and DR-TB case management model, establishing functional local coalitions to end TB and mobilizing additional and alternative sources of funding for priority TB interventions (2 events per year during Years 1-3).</w:t>
            </w:r>
            <w:proofErr w:type="gramEnd"/>
          </w:p>
        </w:tc>
        <w:tc>
          <w:tcPr>
            <w:tcW w:w="344" w:type="dxa"/>
            <w:shd w:val="clear" w:color="auto" w:fill="auto"/>
            <w:tcMar>
              <w:left w:w="28" w:type="dxa"/>
              <w:right w:w="28" w:type="dxa"/>
            </w:tcMar>
            <w:vAlign w:val="center"/>
          </w:tcPr>
          <w:p w14:paraId="51DE2588"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252BC6E"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4B13A2A0"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B52A5B9"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CAC7CA1"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035FED6"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27E231E"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C162BC2"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999A70A"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6AA0453"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374A7E3"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D599118" w14:textId="77777777" w:rsidR="00263536" w:rsidRPr="00263536" w:rsidRDefault="00263536" w:rsidP="00263536">
            <w:pPr>
              <w:spacing w:before="40" w:after="40" w:line="240" w:lineRule="auto"/>
              <w:jc w:val="center"/>
              <w:rPr>
                <w:rFonts w:ascii="Arial Narrow" w:hAnsi="Arial Narrow" w:cs="Times New Roman"/>
                <w:b w:val="0"/>
                <w:bCs/>
                <w:sz w:val="18"/>
                <w:szCs w:val="18"/>
              </w:rPr>
            </w:pPr>
          </w:p>
        </w:tc>
      </w:tr>
      <w:tr w:rsidR="0068728A" w:rsidRPr="00263536" w14:paraId="7C10D3D8" w14:textId="77777777" w:rsidTr="00B46482">
        <w:tc>
          <w:tcPr>
            <w:tcW w:w="560" w:type="dxa"/>
            <w:tcMar>
              <w:left w:w="28" w:type="dxa"/>
              <w:right w:w="28" w:type="dxa"/>
            </w:tcMar>
          </w:tcPr>
          <w:p w14:paraId="10172744" w14:textId="7DF7031D" w:rsidR="00263536" w:rsidRPr="00263536" w:rsidRDefault="0068728A" w:rsidP="00807FDF">
            <w:pPr>
              <w:spacing w:before="40" w:after="40" w:line="240" w:lineRule="auto"/>
              <w:jc w:val="center"/>
              <w:rPr>
                <w:rFonts w:ascii="Arial Narrow" w:hAnsi="Arial Narrow" w:cs="Times New Roman"/>
                <w:b w:val="0"/>
                <w:bCs/>
                <w:sz w:val="18"/>
                <w:szCs w:val="18"/>
              </w:rPr>
            </w:pPr>
            <w:r w:rsidRPr="0068728A">
              <w:rPr>
                <w:rFonts w:ascii="Arial Narrow" w:hAnsi="Arial Narrow" w:cs="Times New Roman"/>
                <w:b w:val="0"/>
                <w:bCs/>
                <w:sz w:val="18"/>
                <w:szCs w:val="18"/>
              </w:rPr>
              <w:t>1.1.4</w:t>
            </w:r>
          </w:p>
        </w:tc>
        <w:tc>
          <w:tcPr>
            <w:tcW w:w="1985" w:type="dxa"/>
            <w:tcMar>
              <w:left w:w="28" w:type="dxa"/>
              <w:right w:w="28" w:type="dxa"/>
            </w:tcMar>
          </w:tcPr>
          <w:p w14:paraId="634A03CA" w14:textId="6F95D95B" w:rsidR="00263536" w:rsidRPr="00263536" w:rsidRDefault="0068728A" w:rsidP="00835CCA">
            <w:pPr>
              <w:spacing w:before="40" w:after="40" w:line="240" w:lineRule="auto"/>
              <w:jc w:val="both"/>
              <w:rPr>
                <w:rFonts w:ascii="Arial Narrow" w:hAnsi="Arial Narrow" w:cs="Times New Roman"/>
                <w:b w:val="0"/>
                <w:bCs/>
                <w:sz w:val="18"/>
                <w:szCs w:val="18"/>
              </w:rPr>
            </w:pPr>
            <w:r w:rsidRPr="0068728A">
              <w:rPr>
                <w:rFonts w:ascii="Arial Narrow" w:hAnsi="Arial Narrow" w:cs="Times New Roman"/>
                <w:b w:val="0"/>
                <w:bCs/>
                <w:sz w:val="18"/>
                <w:szCs w:val="18"/>
              </w:rPr>
              <w:t xml:space="preserve">Training </w:t>
            </w:r>
            <w:r w:rsidR="00527BBA">
              <w:rPr>
                <w:rFonts w:ascii="Arial Narrow" w:hAnsi="Arial Narrow" w:cs="Times New Roman"/>
                <w:b w:val="0"/>
                <w:bCs/>
                <w:sz w:val="18"/>
                <w:szCs w:val="18"/>
              </w:rPr>
              <w:t xml:space="preserve">on </w:t>
            </w:r>
            <w:r w:rsidRPr="0068728A">
              <w:rPr>
                <w:rFonts w:ascii="Arial Narrow" w:hAnsi="Arial Narrow" w:cs="Times New Roman"/>
                <w:b w:val="0"/>
                <w:bCs/>
                <w:sz w:val="18"/>
                <w:szCs w:val="18"/>
              </w:rPr>
              <w:t>institutionalizati</w:t>
            </w:r>
            <w:r>
              <w:rPr>
                <w:rFonts w:ascii="Arial Narrow" w:hAnsi="Arial Narrow" w:cs="Times New Roman"/>
                <w:b w:val="0"/>
                <w:bCs/>
                <w:sz w:val="18"/>
                <w:szCs w:val="18"/>
              </w:rPr>
              <w:t xml:space="preserve">on of </w:t>
            </w:r>
            <w:r w:rsidR="00527BBA">
              <w:rPr>
                <w:rFonts w:ascii="Arial Narrow" w:hAnsi="Arial Narrow" w:cs="Times New Roman"/>
                <w:b w:val="0"/>
                <w:bCs/>
                <w:sz w:val="18"/>
                <w:szCs w:val="18"/>
              </w:rPr>
              <w:t xml:space="preserve">new </w:t>
            </w:r>
            <w:r>
              <w:rPr>
                <w:rFonts w:ascii="Arial Narrow" w:hAnsi="Arial Narrow" w:cs="Times New Roman"/>
                <w:b w:val="0"/>
                <w:bCs/>
                <w:sz w:val="18"/>
                <w:szCs w:val="18"/>
              </w:rPr>
              <w:t>payment mechanisms</w:t>
            </w:r>
            <w:r w:rsidR="00527BBA">
              <w:rPr>
                <w:rFonts w:ascii="Arial Narrow" w:hAnsi="Arial Narrow" w:cs="Times New Roman"/>
                <w:b w:val="0"/>
                <w:bCs/>
                <w:sz w:val="18"/>
                <w:szCs w:val="18"/>
              </w:rPr>
              <w:t xml:space="preserve"> for TB services</w:t>
            </w:r>
          </w:p>
        </w:tc>
        <w:tc>
          <w:tcPr>
            <w:tcW w:w="6448" w:type="dxa"/>
            <w:tcMar>
              <w:left w:w="28" w:type="dxa"/>
              <w:right w:w="28" w:type="dxa"/>
            </w:tcMar>
          </w:tcPr>
          <w:p w14:paraId="29803D0B" w14:textId="62859AD4" w:rsidR="00527BBA" w:rsidRPr="00263536" w:rsidRDefault="00527BBA" w:rsidP="00D070F7">
            <w:pPr>
              <w:spacing w:before="40" w:after="40" w:line="240" w:lineRule="auto"/>
              <w:jc w:val="both"/>
              <w:rPr>
                <w:rFonts w:ascii="Arial Narrow" w:hAnsi="Arial Narrow" w:cs="Times New Roman"/>
                <w:b w:val="0"/>
                <w:bCs/>
                <w:sz w:val="18"/>
                <w:szCs w:val="18"/>
              </w:rPr>
            </w:pPr>
            <w:r w:rsidRPr="00B1116D">
              <w:rPr>
                <w:rFonts w:ascii="Arial Narrow" w:hAnsi="Arial Narrow" w:cs="Times New Roman"/>
                <w:b w:val="0"/>
                <w:bCs/>
                <w:sz w:val="18"/>
                <w:szCs w:val="18"/>
              </w:rPr>
              <w:t xml:space="preserve">In coordination with the regional TGF TB project (‘TB-REP 2.0’), capacity building of the regional (oblast-level) NTP managers will be supported through training on managerial and technical aspects related to the institutionalization of the new payment mechanisms for TB diagnostic and treatment services. </w:t>
            </w:r>
            <w:proofErr w:type="gramStart"/>
            <w:r w:rsidRPr="00B1116D">
              <w:rPr>
                <w:rFonts w:ascii="Arial Narrow" w:hAnsi="Arial Narrow" w:cs="Times New Roman"/>
                <w:b w:val="0"/>
                <w:bCs/>
                <w:sz w:val="18"/>
                <w:szCs w:val="18"/>
              </w:rPr>
              <w:t>These trainings will be held in continuation of TB-REP 2.0 technical assistance in 2019, which will be provided to support (</w:t>
            </w:r>
            <w:proofErr w:type="spellStart"/>
            <w:r w:rsidRPr="00B1116D">
              <w:rPr>
                <w:rFonts w:ascii="Arial Narrow" w:hAnsi="Arial Narrow" w:cs="Times New Roman"/>
                <w:b w:val="0"/>
                <w:bCs/>
                <w:sz w:val="18"/>
                <w:szCs w:val="18"/>
              </w:rPr>
              <w:t>i</w:t>
            </w:r>
            <w:proofErr w:type="spellEnd"/>
            <w:r w:rsidRPr="00B1116D">
              <w:rPr>
                <w:rFonts w:ascii="Arial Narrow" w:hAnsi="Arial Narrow" w:cs="Times New Roman"/>
                <w:b w:val="0"/>
                <w:bCs/>
                <w:sz w:val="18"/>
                <w:szCs w:val="18"/>
              </w:rPr>
              <w:t>) revision of the provider payment mechanisms to improve efficiency and promote patient-centered TB care delivery; and (ii) development and introduction of the incentives’ mechanism to improve recruitment and retention of TB service staff (doctors, nurses and laboratory personnel)</w:t>
            </w:r>
            <w:r>
              <w:rPr>
                <w:rFonts w:ascii="Arial Narrow" w:hAnsi="Arial Narrow" w:cs="Times New Roman"/>
                <w:b w:val="0"/>
                <w:bCs/>
                <w:sz w:val="18"/>
                <w:szCs w:val="18"/>
              </w:rPr>
              <w:t xml:space="preserve"> (</w:t>
            </w:r>
            <w:r w:rsidR="0068728A" w:rsidRPr="0068728A">
              <w:rPr>
                <w:rFonts w:ascii="Arial Narrow" w:hAnsi="Arial Narrow" w:cs="Times New Roman"/>
                <w:b w:val="0"/>
                <w:bCs/>
                <w:sz w:val="18"/>
                <w:szCs w:val="18"/>
              </w:rPr>
              <w:t xml:space="preserve">2 training courses per year, </w:t>
            </w:r>
            <w:r>
              <w:rPr>
                <w:rFonts w:ascii="Arial Narrow" w:hAnsi="Arial Narrow" w:cs="Times New Roman"/>
                <w:b w:val="0"/>
                <w:bCs/>
                <w:sz w:val="18"/>
                <w:szCs w:val="18"/>
              </w:rPr>
              <w:t>during Years 1-2; e</w:t>
            </w:r>
            <w:r w:rsidR="0068728A" w:rsidRPr="0068728A">
              <w:rPr>
                <w:rFonts w:ascii="Arial Narrow" w:hAnsi="Arial Narrow" w:cs="Times New Roman"/>
                <w:b w:val="0"/>
                <w:bCs/>
                <w:sz w:val="18"/>
                <w:szCs w:val="18"/>
              </w:rPr>
              <w:t>xternal consultant will be involved in tr</w:t>
            </w:r>
            <w:r w:rsidR="0068728A">
              <w:rPr>
                <w:rFonts w:ascii="Arial Narrow" w:hAnsi="Arial Narrow" w:cs="Times New Roman"/>
                <w:b w:val="0"/>
                <w:bCs/>
                <w:sz w:val="18"/>
                <w:szCs w:val="18"/>
              </w:rPr>
              <w:t xml:space="preserve">ainings </w:t>
            </w:r>
            <w:r>
              <w:rPr>
                <w:rFonts w:ascii="Arial Narrow" w:hAnsi="Arial Narrow" w:cs="Times New Roman"/>
                <w:b w:val="0"/>
                <w:bCs/>
                <w:sz w:val="18"/>
                <w:szCs w:val="18"/>
              </w:rPr>
              <w:t>in Year 1)</w:t>
            </w:r>
            <w:r w:rsidR="0068728A">
              <w:rPr>
                <w:rFonts w:ascii="Arial Narrow" w:hAnsi="Arial Narrow" w:cs="Times New Roman"/>
                <w:b w:val="0"/>
                <w:bCs/>
                <w:sz w:val="18"/>
                <w:szCs w:val="18"/>
              </w:rPr>
              <w:t>.</w:t>
            </w:r>
            <w:proofErr w:type="gramEnd"/>
          </w:p>
        </w:tc>
        <w:tc>
          <w:tcPr>
            <w:tcW w:w="344" w:type="dxa"/>
            <w:shd w:val="clear" w:color="auto" w:fill="auto"/>
            <w:tcMar>
              <w:left w:w="28" w:type="dxa"/>
              <w:right w:w="28" w:type="dxa"/>
            </w:tcMar>
            <w:vAlign w:val="center"/>
          </w:tcPr>
          <w:p w14:paraId="37B28E9C"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815D8AD"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5926552A"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2E9E10D0"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0F7CC44"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D63F1DE"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E42AF16"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F43B157"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2F721FD"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DDF900B"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4A5EB7C"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C47DDB2"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r>
      <w:tr w:rsidR="0068728A" w:rsidRPr="00263536" w14:paraId="6563B049" w14:textId="77777777" w:rsidTr="00B46482">
        <w:tc>
          <w:tcPr>
            <w:tcW w:w="560" w:type="dxa"/>
            <w:tcMar>
              <w:left w:w="28" w:type="dxa"/>
              <w:right w:w="28" w:type="dxa"/>
            </w:tcMar>
          </w:tcPr>
          <w:p w14:paraId="00AE85BE" w14:textId="0682D660" w:rsidR="00263536" w:rsidRPr="00263536" w:rsidRDefault="0068728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1.1.5</w:t>
            </w:r>
          </w:p>
        </w:tc>
        <w:tc>
          <w:tcPr>
            <w:tcW w:w="1985" w:type="dxa"/>
            <w:tcMar>
              <w:left w:w="28" w:type="dxa"/>
              <w:right w:w="28" w:type="dxa"/>
            </w:tcMar>
          </w:tcPr>
          <w:p w14:paraId="424D800C" w14:textId="79E98B97" w:rsidR="00263536" w:rsidRPr="00263536" w:rsidRDefault="0068728A" w:rsidP="00835CCA">
            <w:pPr>
              <w:spacing w:before="40" w:after="40" w:line="240" w:lineRule="auto"/>
              <w:jc w:val="both"/>
              <w:rPr>
                <w:rFonts w:ascii="Arial Narrow" w:hAnsi="Arial Narrow" w:cs="Times New Roman"/>
                <w:b w:val="0"/>
                <w:bCs/>
                <w:sz w:val="18"/>
                <w:szCs w:val="18"/>
              </w:rPr>
            </w:pPr>
            <w:r w:rsidRPr="0068728A">
              <w:rPr>
                <w:rFonts w:ascii="Arial Narrow" w:hAnsi="Arial Narrow" w:cs="Times New Roman"/>
                <w:b w:val="0"/>
                <w:bCs/>
                <w:sz w:val="18"/>
                <w:szCs w:val="18"/>
              </w:rPr>
              <w:t>Technical assistance</w:t>
            </w:r>
            <w:r w:rsidR="00434906">
              <w:rPr>
                <w:rFonts w:ascii="Arial Narrow" w:hAnsi="Arial Narrow" w:cs="Times New Roman"/>
                <w:b w:val="0"/>
                <w:bCs/>
                <w:sz w:val="18"/>
                <w:szCs w:val="18"/>
              </w:rPr>
              <w:t xml:space="preserve">, </w:t>
            </w:r>
            <w:r w:rsidR="00F50954" w:rsidRPr="00F50954">
              <w:rPr>
                <w:rFonts w:ascii="Arial Narrow" w:hAnsi="Arial Narrow" w:cs="Times New Roman"/>
                <w:b w:val="0"/>
                <w:bCs/>
                <w:sz w:val="18"/>
                <w:szCs w:val="18"/>
              </w:rPr>
              <w:t>outpatient TB care delivery model</w:t>
            </w:r>
          </w:p>
        </w:tc>
        <w:tc>
          <w:tcPr>
            <w:tcW w:w="6448" w:type="dxa"/>
            <w:tcMar>
              <w:left w:w="28" w:type="dxa"/>
              <w:right w:w="28" w:type="dxa"/>
            </w:tcMar>
          </w:tcPr>
          <w:p w14:paraId="323624C7" w14:textId="263F0D56" w:rsidR="00F50954" w:rsidRPr="00263536" w:rsidRDefault="0068728A" w:rsidP="00D070F7">
            <w:pPr>
              <w:spacing w:before="40" w:after="40" w:line="240" w:lineRule="auto"/>
              <w:jc w:val="both"/>
              <w:rPr>
                <w:rFonts w:ascii="Arial Narrow" w:hAnsi="Arial Narrow" w:cs="Times New Roman"/>
                <w:b w:val="0"/>
                <w:bCs/>
                <w:sz w:val="18"/>
                <w:szCs w:val="18"/>
              </w:rPr>
            </w:pPr>
            <w:r w:rsidRPr="0068728A">
              <w:rPr>
                <w:rFonts w:ascii="Arial Narrow" w:hAnsi="Arial Narrow" w:cs="Times New Roman"/>
                <w:b w:val="0"/>
                <w:bCs/>
                <w:sz w:val="18"/>
                <w:szCs w:val="18"/>
              </w:rPr>
              <w:t xml:space="preserve">An external </w:t>
            </w:r>
            <w:r w:rsidR="00F50954">
              <w:rPr>
                <w:rFonts w:ascii="Arial Narrow" w:hAnsi="Arial Narrow" w:cs="Times New Roman"/>
                <w:b w:val="0"/>
                <w:bCs/>
                <w:sz w:val="18"/>
                <w:szCs w:val="18"/>
              </w:rPr>
              <w:t xml:space="preserve">consultant </w:t>
            </w:r>
            <w:r w:rsidRPr="0068728A">
              <w:rPr>
                <w:rFonts w:ascii="Arial Narrow" w:hAnsi="Arial Narrow" w:cs="Times New Roman"/>
                <w:b w:val="0"/>
                <w:bCs/>
                <w:sz w:val="18"/>
                <w:szCs w:val="18"/>
              </w:rPr>
              <w:t xml:space="preserve">will be contracted to evaluate </w:t>
            </w:r>
            <w:r w:rsidR="00F50954">
              <w:rPr>
                <w:rFonts w:ascii="Arial Narrow" w:hAnsi="Arial Narrow" w:cs="Times New Roman"/>
                <w:b w:val="0"/>
                <w:bCs/>
                <w:sz w:val="18"/>
                <w:szCs w:val="18"/>
              </w:rPr>
              <w:t xml:space="preserve">the </w:t>
            </w:r>
            <w:r w:rsidRPr="0068728A">
              <w:rPr>
                <w:rFonts w:ascii="Arial Narrow" w:hAnsi="Arial Narrow" w:cs="Times New Roman"/>
                <w:b w:val="0"/>
                <w:bCs/>
                <w:sz w:val="18"/>
                <w:szCs w:val="18"/>
              </w:rPr>
              <w:t>implementation of outpatient TB care model</w:t>
            </w:r>
            <w:r w:rsidR="00F50954">
              <w:rPr>
                <w:rFonts w:ascii="Arial Narrow" w:hAnsi="Arial Narrow" w:cs="Times New Roman"/>
                <w:b w:val="0"/>
                <w:bCs/>
                <w:sz w:val="18"/>
                <w:szCs w:val="18"/>
              </w:rPr>
              <w:t xml:space="preserve"> </w:t>
            </w:r>
            <w:r w:rsidR="00F50954" w:rsidRPr="00F50954">
              <w:rPr>
                <w:rFonts w:ascii="Arial Narrow" w:hAnsi="Arial Narrow" w:cs="Times New Roman"/>
                <w:b w:val="0"/>
                <w:bCs/>
                <w:sz w:val="18"/>
                <w:szCs w:val="18"/>
              </w:rPr>
              <w:t>(including DR-TB cases and children</w:t>
            </w:r>
            <w:r w:rsidR="00F50954">
              <w:rPr>
                <w:rFonts w:ascii="Arial Narrow" w:hAnsi="Arial Narrow" w:cs="Times New Roman"/>
                <w:b w:val="0"/>
                <w:bCs/>
                <w:sz w:val="18"/>
                <w:szCs w:val="18"/>
              </w:rPr>
              <w:t>)</w:t>
            </w:r>
            <w:r w:rsidRPr="0068728A">
              <w:rPr>
                <w:rFonts w:ascii="Arial Narrow" w:hAnsi="Arial Narrow" w:cs="Times New Roman"/>
                <w:b w:val="0"/>
                <w:bCs/>
                <w:sz w:val="18"/>
                <w:szCs w:val="18"/>
              </w:rPr>
              <w:t>,</w:t>
            </w:r>
            <w:r w:rsidR="00F50954">
              <w:rPr>
                <w:rFonts w:ascii="Arial Narrow" w:hAnsi="Arial Narrow" w:cs="Times New Roman"/>
                <w:b w:val="0"/>
                <w:bCs/>
                <w:sz w:val="18"/>
                <w:szCs w:val="18"/>
              </w:rPr>
              <w:t xml:space="preserve"> </w:t>
            </w:r>
            <w:r w:rsidR="00F50954" w:rsidRPr="00F50954">
              <w:rPr>
                <w:rFonts w:ascii="Arial Narrow" w:hAnsi="Arial Narrow" w:cs="Times New Roman"/>
                <w:b w:val="0"/>
                <w:bCs/>
                <w:sz w:val="18"/>
                <w:szCs w:val="18"/>
              </w:rPr>
              <w:t>initiated within the ongoing TGF project in three pilot regions (</w:t>
            </w:r>
            <w:proofErr w:type="spellStart"/>
            <w:r w:rsidR="00F50954" w:rsidRPr="00F50954">
              <w:rPr>
                <w:rFonts w:ascii="Arial Narrow" w:hAnsi="Arial Narrow" w:cs="Times New Roman"/>
                <w:b w:val="0"/>
                <w:bCs/>
                <w:sz w:val="18"/>
                <w:szCs w:val="18"/>
              </w:rPr>
              <w:t>Akmola</w:t>
            </w:r>
            <w:proofErr w:type="spellEnd"/>
            <w:r w:rsidR="00F50954" w:rsidRPr="00F50954">
              <w:rPr>
                <w:rFonts w:ascii="Arial Narrow" w:hAnsi="Arial Narrow" w:cs="Times New Roman"/>
                <w:b w:val="0"/>
                <w:bCs/>
                <w:sz w:val="18"/>
                <w:szCs w:val="18"/>
              </w:rPr>
              <w:t xml:space="preserve">, </w:t>
            </w:r>
            <w:proofErr w:type="spellStart"/>
            <w:r w:rsidR="00F50954" w:rsidRPr="00F50954">
              <w:rPr>
                <w:rFonts w:ascii="Arial Narrow" w:hAnsi="Arial Narrow" w:cs="Times New Roman"/>
                <w:b w:val="0"/>
                <w:bCs/>
                <w:sz w:val="18"/>
                <w:szCs w:val="18"/>
              </w:rPr>
              <w:t>Aktobe</w:t>
            </w:r>
            <w:proofErr w:type="spellEnd"/>
            <w:r w:rsidR="00F50954" w:rsidRPr="00F50954">
              <w:rPr>
                <w:rFonts w:ascii="Arial Narrow" w:hAnsi="Arial Narrow" w:cs="Times New Roman"/>
                <w:b w:val="0"/>
                <w:bCs/>
                <w:sz w:val="18"/>
                <w:szCs w:val="18"/>
              </w:rPr>
              <w:t xml:space="preserve"> and East Kazakhstan oblasts</w:t>
            </w:r>
            <w:r w:rsidR="00434906">
              <w:rPr>
                <w:rFonts w:ascii="Arial Narrow" w:hAnsi="Arial Narrow" w:cs="Times New Roman"/>
                <w:b w:val="0"/>
                <w:bCs/>
                <w:sz w:val="18"/>
                <w:szCs w:val="18"/>
              </w:rPr>
              <w:t>), and develop recommendations for further actions for rollout in other regions (in Year 1).</w:t>
            </w:r>
          </w:p>
        </w:tc>
        <w:tc>
          <w:tcPr>
            <w:tcW w:w="344" w:type="dxa"/>
            <w:shd w:val="clear" w:color="auto" w:fill="auto"/>
            <w:tcMar>
              <w:left w:w="28" w:type="dxa"/>
              <w:right w:w="28" w:type="dxa"/>
            </w:tcMar>
            <w:vAlign w:val="center"/>
          </w:tcPr>
          <w:p w14:paraId="622DB21E"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E172236"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8882804"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A73F65A"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DBE8675"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138ECFA"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FE80EAE"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4881D93"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4E36DB0"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3F3D840"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CBBC486"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A6F2824"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r>
      <w:tr w:rsidR="0068728A" w:rsidRPr="00263536" w14:paraId="2C09AD7E" w14:textId="77777777" w:rsidTr="00B46482">
        <w:tc>
          <w:tcPr>
            <w:tcW w:w="560" w:type="dxa"/>
            <w:tcMar>
              <w:left w:w="28" w:type="dxa"/>
              <w:right w:w="28" w:type="dxa"/>
            </w:tcMar>
          </w:tcPr>
          <w:p w14:paraId="3C6EDE1A" w14:textId="1B80FB00" w:rsidR="00263536" w:rsidRPr="00263536" w:rsidRDefault="0068728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1.1.6</w:t>
            </w:r>
          </w:p>
        </w:tc>
        <w:tc>
          <w:tcPr>
            <w:tcW w:w="1985" w:type="dxa"/>
            <w:tcMar>
              <w:left w:w="28" w:type="dxa"/>
              <w:right w:w="28" w:type="dxa"/>
            </w:tcMar>
          </w:tcPr>
          <w:p w14:paraId="044B4F69" w14:textId="00EE7F1D" w:rsidR="00263536" w:rsidRPr="00263536" w:rsidRDefault="0068728A" w:rsidP="00835CCA">
            <w:pPr>
              <w:spacing w:before="40" w:after="40" w:line="240" w:lineRule="auto"/>
              <w:jc w:val="both"/>
              <w:rPr>
                <w:rFonts w:ascii="Arial Narrow" w:hAnsi="Arial Narrow" w:cs="Times New Roman"/>
                <w:b w:val="0"/>
                <w:bCs/>
                <w:sz w:val="18"/>
                <w:szCs w:val="18"/>
              </w:rPr>
            </w:pPr>
            <w:r w:rsidRPr="0068728A">
              <w:rPr>
                <w:rFonts w:ascii="Arial Narrow" w:hAnsi="Arial Narrow" w:cs="Times New Roman"/>
                <w:b w:val="0"/>
                <w:bCs/>
                <w:sz w:val="18"/>
                <w:szCs w:val="18"/>
              </w:rPr>
              <w:t>Technical assistance</w:t>
            </w:r>
            <w:r w:rsidR="00434906">
              <w:rPr>
                <w:rFonts w:ascii="Arial Narrow" w:hAnsi="Arial Narrow" w:cs="Times New Roman"/>
                <w:b w:val="0"/>
                <w:bCs/>
                <w:sz w:val="18"/>
                <w:szCs w:val="18"/>
              </w:rPr>
              <w:t xml:space="preserve">, </w:t>
            </w:r>
            <w:r w:rsidR="00434906" w:rsidRPr="00F50954">
              <w:rPr>
                <w:rFonts w:ascii="Arial Narrow" w:hAnsi="Arial Narrow" w:cs="Times New Roman"/>
                <w:b w:val="0"/>
                <w:bCs/>
                <w:sz w:val="18"/>
                <w:szCs w:val="18"/>
              </w:rPr>
              <w:t xml:space="preserve">intensified patient support and follow-up </w:t>
            </w:r>
            <w:r w:rsidR="00434906">
              <w:rPr>
                <w:rFonts w:ascii="Arial Narrow" w:hAnsi="Arial Narrow" w:cs="Times New Roman"/>
                <w:b w:val="0"/>
                <w:bCs/>
                <w:sz w:val="18"/>
                <w:szCs w:val="18"/>
              </w:rPr>
              <w:t>of DR-TB treatment</w:t>
            </w:r>
          </w:p>
        </w:tc>
        <w:tc>
          <w:tcPr>
            <w:tcW w:w="6448" w:type="dxa"/>
            <w:tcMar>
              <w:left w:w="28" w:type="dxa"/>
              <w:right w:w="28" w:type="dxa"/>
            </w:tcMar>
          </w:tcPr>
          <w:p w14:paraId="583218F4" w14:textId="3FB3A69E" w:rsidR="00434906" w:rsidRPr="00263536" w:rsidRDefault="00434906" w:rsidP="00D070F7">
            <w:pPr>
              <w:spacing w:before="40" w:after="40" w:line="240" w:lineRule="auto"/>
              <w:jc w:val="both"/>
              <w:rPr>
                <w:rFonts w:ascii="Arial Narrow" w:hAnsi="Arial Narrow" w:cs="Times New Roman"/>
                <w:b w:val="0"/>
                <w:bCs/>
                <w:sz w:val="18"/>
                <w:szCs w:val="18"/>
              </w:rPr>
            </w:pPr>
            <w:r w:rsidRPr="0068728A">
              <w:rPr>
                <w:rFonts w:ascii="Arial Narrow" w:hAnsi="Arial Narrow" w:cs="Times New Roman"/>
                <w:b w:val="0"/>
                <w:bCs/>
                <w:sz w:val="18"/>
                <w:szCs w:val="18"/>
              </w:rPr>
              <w:t xml:space="preserve">An external </w:t>
            </w:r>
            <w:r>
              <w:rPr>
                <w:rFonts w:ascii="Arial Narrow" w:hAnsi="Arial Narrow" w:cs="Times New Roman"/>
                <w:b w:val="0"/>
                <w:bCs/>
                <w:sz w:val="18"/>
                <w:szCs w:val="18"/>
              </w:rPr>
              <w:t xml:space="preserve">consultant </w:t>
            </w:r>
            <w:r w:rsidRPr="0068728A">
              <w:rPr>
                <w:rFonts w:ascii="Arial Narrow" w:hAnsi="Arial Narrow" w:cs="Times New Roman"/>
                <w:b w:val="0"/>
                <w:bCs/>
                <w:sz w:val="18"/>
                <w:szCs w:val="18"/>
              </w:rPr>
              <w:t xml:space="preserve">will be contracted to evaluate </w:t>
            </w:r>
            <w:r>
              <w:rPr>
                <w:rFonts w:ascii="Arial Narrow" w:hAnsi="Arial Narrow" w:cs="Times New Roman"/>
                <w:b w:val="0"/>
                <w:bCs/>
                <w:sz w:val="18"/>
                <w:szCs w:val="18"/>
              </w:rPr>
              <w:t xml:space="preserve">the </w:t>
            </w:r>
            <w:r w:rsidRPr="0068728A">
              <w:rPr>
                <w:rFonts w:ascii="Arial Narrow" w:hAnsi="Arial Narrow" w:cs="Times New Roman"/>
                <w:b w:val="0"/>
                <w:bCs/>
                <w:sz w:val="18"/>
                <w:szCs w:val="18"/>
              </w:rPr>
              <w:t xml:space="preserve">implementation of </w:t>
            </w:r>
            <w:r w:rsidRPr="00F50954">
              <w:rPr>
                <w:rFonts w:ascii="Arial Narrow" w:hAnsi="Arial Narrow" w:cs="Times New Roman"/>
                <w:b w:val="0"/>
                <w:bCs/>
                <w:sz w:val="18"/>
                <w:szCs w:val="18"/>
              </w:rPr>
              <w:t xml:space="preserve">intensified patient </w:t>
            </w:r>
            <w:r>
              <w:rPr>
                <w:rFonts w:ascii="Arial Narrow" w:hAnsi="Arial Narrow" w:cs="Times New Roman"/>
                <w:b w:val="0"/>
                <w:bCs/>
                <w:sz w:val="18"/>
                <w:szCs w:val="18"/>
              </w:rPr>
              <w:t xml:space="preserve">adherence </w:t>
            </w:r>
            <w:r w:rsidRPr="00F50954">
              <w:rPr>
                <w:rFonts w:ascii="Arial Narrow" w:hAnsi="Arial Narrow" w:cs="Times New Roman"/>
                <w:b w:val="0"/>
                <w:bCs/>
                <w:sz w:val="18"/>
                <w:szCs w:val="18"/>
              </w:rPr>
              <w:t xml:space="preserve">support and follow-up </w:t>
            </w:r>
            <w:r>
              <w:rPr>
                <w:rFonts w:ascii="Arial Narrow" w:hAnsi="Arial Narrow" w:cs="Times New Roman"/>
                <w:b w:val="0"/>
                <w:bCs/>
                <w:sz w:val="18"/>
                <w:szCs w:val="18"/>
              </w:rPr>
              <w:t xml:space="preserve">program for DR-TB patients, implemented </w:t>
            </w:r>
            <w:r w:rsidRPr="00F50954">
              <w:rPr>
                <w:rFonts w:ascii="Arial Narrow" w:hAnsi="Arial Narrow" w:cs="Times New Roman"/>
                <w:b w:val="0"/>
                <w:bCs/>
                <w:sz w:val="18"/>
                <w:szCs w:val="18"/>
              </w:rPr>
              <w:t>within the ongoing TGF project in three pilot regions (</w:t>
            </w:r>
            <w:proofErr w:type="spellStart"/>
            <w:r w:rsidRPr="00F50954">
              <w:rPr>
                <w:rFonts w:ascii="Arial Narrow" w:hAnsi="Arial Narrow" w:cs="Times New Roman"/>
                <w:b w:val="0"/>
                <w:bCs/>
                <w:sz w:val="18"/>
                <w:szCs w:val="18"/>
              </w:rPr>
              <w:t>Akmola</w:t>
            </w:r>
            <w:proofErr w:type="spellEnd"/>
            <w:r w:rsidRPr="00F50954">
              <w:rPr>
                <w:rFonts w:ascii="Arial Narrow" w:hAnsi="Arial Narrow" w:cs="Times New Roman"/>
                <w:b w:val="0"/>
                <w:bCs/>
                <w:sz w:val="18"/>
                <w:szCs w:val="18"/>
              </w:rPr>
              <w:t xml:space="preserve">, </w:t>
            </w:r>
            <w:proofErr w:type="spellStart"/>
            <w:r w:rsidRPr="00F50954">
              <w:rPr>
                <w:rFonts w:ascii="Arial Narrow" w:hAnsi="Arial Narrow" w:cs="Times New Roman"/>
                <w:b w:val="0"/>
                <w:bCs/>
                <w:sz w:val="18"/>
                <w:szCs w:val="18"/>
              </w:rPr>
              <w:t>Aktobe</w:t>
            </w:r>
            <w:proofErr w:type="spellEnd"/>
            <w:r w:rsidRPr="00F50954">
              <w:rPr>
                <w:rFonts w:ascii="Arial Narrow" w:hAnsi="Arial Narrow" w:cs="Times New Roman"/>
                <w:b w:val="0"/>
                <w:bCs/>
                <w:sz w:val="18"/>
                <w:szCs w:val="18"/>
              </w:rPr>
              <w:t xml:space="preserve"> and East Kazakhstan oblasts</w:t>
            </w:r>
            <w:r>
              <w:rPr>
                <w:rFonts w:ascii="Arial Narrow" w:hAnsi="Arial Narrow" w:cs="Times New Roman"/>
                <w:b w:val="0"/>
                <w:bCs/>
                <w:sz w:val="18"/>
                <w:szCs w:val="18"/>
              </w:rPr>
              <w:t>), and develop recommendations for further actions for rollout in other regions (in Year 1).</w:t>
            </w:r>
          </w:p>
        </w:tc>
        <w:tc>
          <w:tcPr>
            <w:tcW w:w="344" w:type="dxa"/>
            <w:shd w:val="clear" w:color="auto" w:fill="auto"/>
            <w:tcMar>
              <w:left w:w="28" w:type="dxa"/>
              <w:right w:w="28" w:type="dxa"/>
            </w:tcMar>
            <w:vAlign w:val="center"/>
          </w:tcPr>
          <w:p w14:paraId="14F4301F"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6E6C2D1"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DCCB68D"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18404FC"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0BFEF25"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E462FBE"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5A24E0A"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E988A15"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CF62729"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A494071"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739DBEF"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1B73219"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r>
      <w:tr w:rsidR="0068728A" w:rsidRPr="00263536" w14:paraId="5BD69E8E" w14:textId="77777777" w:rsidTr="00B46482">
        <w:tc>
          <w:tcPr>
            <w:tcW w:w="560" w:type="dxa"/>
            <w:tcMar>
              <w:left w:w="28" w:type="dxa"/>
              <w:right w:w="28" w:type="dxa"/>
            </w:tcMar>
          </w:tcPr>
          <w:p w14:paraId="0B41B1EC" w14:textId="418367D6" w:rsidR="0068728A" w:rsidRPr="00263536" w:rsidRDefault="0068728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lastRenderedPageBreak/>
              <w:t>1.1.7</w:t>
            </w:r>
          </w:p>
        </w:tc>
        <w:tc>
          <w:tcPr>
            <w:tcW w:w="1985" w:type="dxa"/>
            <w:tcMar>
              <w:left w:w="28" w:type="dxa"/>
              <w:right w:w="28" w:type="dxa"/>
            </w:tcMar>
          </w:tcPr>
          <w:p w14:paraId="72534F12" w14:textId="43AA28D5" w:rsidR="0068728A" w:rsidRPr="00263536" w:rsidRDefault="0068728A" w:rsidP="00835CCA">
            <w:pPr>
              <w:spacing w:before="40" w:after="40" w:line="240" w:lineRule="auto"/>
              <w:jc w:val="both"/>
              <w:rPr>
                <w:rFonts w:ascii="Arial Narrow" w:hAnsi="Arial Narrow" w:cs="Times New Roman"/>
                <w:b w:val="0"/>
                <w:bCs/>
                <w:sz w:val="18"/>
                <w:szCs w:val="18"/>
              </w:rPr>
            </w:pPr>
            <w:r w:rsidRPr="0068728A">
              <w:rPr>
                <w:rFonts w:ascii="Arial Narrow" w:hAnsi="Arial Narrow" w:cs="Times New Roman"/>
                <w:b w:val="0"/>
                <w:bCs/>
                <w:sz w:val="18"/>
                <w:szCs w:val="18"/>
              </w:rPr>
              <w:t>Technical assistance</w:t>
            </w:r>
            <w:r w:rsidR="00434906">
              <w:rPr>
                <w:rFonts w:ascii="Arial Narrow" w:hAnsi="Arial Narrow" w:cs="Times New Roman"/>
                <w:b w:val="0"/>
                <w:bCs/>
                <w:sz w:val="18"/>
                <w:szCs w:val="18"/>
              </w:rPr>
              <w:t xml:space="preserve">, DR-TB </w:t>
            </w:r>
            <w:r w:rsidR="00342296">
              <w:rPr>
                <w:rFonts w:ascii="Arial Narrow" w:hAnsi="Arial Narrow" w:cs="Times New Roman"/>
                <w:b w:val="0"/>
                <w:bCs/>
                <w:sz w:val="18"/>
                <w:szCs w:val="18"/>
              </w:rPr>
              <w:t>inpatient treatment</w:t>
            </w:r>
          </w:p>
        </w:tc>
        <w:tc>
          <w:tcPr>
            <w:tcW w:w="6448" w:type="dxa"/>
            <w:tcMar>
              <w:left w:w="28" w:type="dxa"/>
              <w:right w:w="28" w:type="dxa"/>
            </w:tcMar>
          </w:tcPr>
          <w:p w14:paraId="010D696B" w14:textId="7BCBC2FB" w:rsidR="00434906" w:rsidRPr="00263536" w:rsidRDefault="00434906" w:rsidP="00D070F7">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 xml:space="preserve">An external consultant will be contracted to evaluate the implementation of optimization of hospitalization practices among TB and DR-TB patients, implemented </w:t>
            </w:r>
            <w:r w:rsidR="00AE6877" w:rsidRPr="0060605F">
              <w:rPr>
                <w:rFonts w:ascii="Arial Narrow" w:hAnsi="Arial Narrow" w:cs="Times New Roman"/>
                <w:b w:val="0"/>
                <w:bCs/>
                <w:sz w:val="18"/>
                <w:szCs w:val="18"/>
              </w:rPr>
              <w:t>during period 2014-2018</w:t>
            </w:r>
            <w:r w:rsidRPr="0060605F">
              <w:rPr>
                <w:rFonts w:ascii="Arial Narrow" w:hAnsi="Arial Narrow" w:cs="Times New Roman"/>
                <w:b w:val="0"/>
                <w:bCs/>
                <w:sz w:val="18"/>
                <w:szCs w:val="18"/>
              </w:rPr>
              <w:t>, and assist in developing a national plan for TB hospital infrastructure optimization for years 2021-2025 (in Year 1).</w:t>
            </w:r>
          </w:p>
        </w:tc>
        <w:tc>
          <w:tcPr>
            <w:tcW w:w="344" w:type="dxa"/>
            <w:shd w:val="clear" w:color="auto" w:fill="auto"/>
            <w:tcMar>
              <w:left w:w="28" w:type="dxa"/>
              <w:right w:w="28" w:type="dxa"/>
            </w:tcMar>
            <w:vAlign w:val="center"/>
          </w:tcPr>
          <w:p w14:paraId="7A91D55B"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7B2F9B2"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8220DC9"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D77B5FC"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48D2F7B"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7635E97"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A30D00D"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DAA4CAC"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94C6D68"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40DD944"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254DF2B"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D0249D0"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r>
      <w:tr w:rsidR="0068728A" w:rsidRPr="00263536" w14:paraId="11755034" w14:textId="77777777" w:rsidTr="00B46482">
        <w:tc>
          <w:tcPr>
            <w:tcW w:w="560" w:type="dxa"/>
            <w:tcMar>
              <w:left w:w="28" w:type="dxa"/>
              <w:right w:w="28" w:type="dxa"/>
            </w:tcMar>
          </w:tcPr>
          <w:p w14:paraId="538DA04D" w14:textId="7B267F7F" w:rsidR="0068728A" w:rsidRPr="00263536" w:rsidRDefault="0068728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1.1.8</w:t>
            </w:r>
          </w:p>
        </w:tc>
        <w:tc>
          <w:tcPr>
            <w:tcW w:w="1985" w:type="dxa"/>
            <w:tcMar>
              <w:left w:w="28" w:type="dxa"/>
              <w:right w:w="28" w:type="dxa"/>
            </w:tcMar>
          </w:tcPr>
          <w:p w14:paraId="7B4B8754" w14:textId="5765C1FE" w:rsidR="0068728A" w:rsidRPr="00263536" w:rsidRDefault="0068728A" w:rsidP="00835CCA">
            <w:pPr>
              <w:spacing w:before="40" w:after="40" w:line="240" w:lineRule="auto"/>
              <w:jc w:val="both"/>
              <w:rPr>
                <w:rFonts w:ascii="Arial Narrow" w:hAnsi="Arial Narrow" w:cs="Times New Roman"/>
                <w:b w:val="0"/>
                <w:bCs/>
                <w:sz w:val="18"/>
                <w:szCs w:val="18"/>
              </w:rPr>
            </w:pPr>
            <w:r w:rsidRPr="0068728A">
              <w:rPr>
                <w:rFonts w:ascii="Arial Narrow" w:hAnsi="Arial Narrow" w:cs="Times New Roman"/>
                <w:b w:val="0"/>
                <w:bCs/>
                <w:sz w:val="18"/>
                <w:szCs w:val="18"/>
              </w:rPr>
              <w:t xml:space="preserve">Training </w:t>
            </w:r>
            <w:r w:rsidR="00342296">
              <w:rPr>
                <w:rFonts w:ascii="Arial Narrow" w:hAnsi="Arial Narrow" w:cs="Times New Roman"/>
                <w:b w:val="0"/>
                <w:bCs/>
                <w:sz w:val="18"/>
                <w:szCs w:val="18"/>
              </w:rPr>
              <w:t>on implementation of outpatient TB care and hospital optimization plan</w:t>
            </w:r>
            <w:r>
              <w:rPr>
                <w:rFonts w:ascii="Arial Narrow" w:hAnsi="Arial Narrow" w:cs="Times New Roman"/>
                <w:b w:val="0"/>
                <w:bCs/>
                <w:sz w:val="18"/>
                <w:szCs w:val="18"/>
              </w:rPr>
              <w:t xml:space="preserve"> </w:t>
            </w:r>
          </w:p>
        </w:tc>
        <w:tc>
          <w:tcPr>
            <w:tcW w:w="6448" w:type="dxa"/>
            <w:tcMar>
              <w:left w:w="28" w:type="dxa"/>
              <w:right w:w="28" w:type="dxa"/>
            </w:tcMar>
          </w:tcPr>
          <w:p w14:paraId="1B93AE29" w14:textId="5AFC9827" w:rsidR="00342296" w:rsidRPr="00263536" w:rsidRDefault="00342296" w:rsidP="00D070F7">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 xml:space="preserve">Realization of the concept of outpatient TB care and the </w:t>
            </w:r>
            <w:r w:rsidRPr="00F50954">
              <w:rPr>
                <w:rFonts w:ascii="Arial Narrow" w:hAnsi="Arial Narrow" w:cs="Times New Roman"/>
                <w:b w:val="0"/>
                <w:bCs/>
                <w:sz w:val="18"/>
                <w:szCs w:val="18"/>
              </w:rPr>
              <w:t>national</w:t>
            </w:r>
            <w:r>
              <w:rPr>
                <w:rFonts w:ascii="Arial Narrow" w:hAnsi="Arial Narrow" w:cs="Times New Roman"/>
                <w:b w:val="0"/>
                <w:bCs/>
                <w:sz w:val="18"/>
                <w:szCs w:val="18"/>
              </w:rPr>
              <w:t xml:space="preserve"> </w:t>
            </w:r>
            <w:r w:rsidRPr="00F50954">
              <w:rPr>
                <w:rFonts w:ascii="Arial Narrow" w:hAnsi="Arial Narrow" w:cs="Times New Roman"/>
                <w:b w:val="0"/>
                <w:bCs/>
                <w:sz w:val="18"/>
                <w:szCs w:val="18"/>
              </w:rPr>
              <w:t xml:space="preserve">plan for </w:t>
            </w:r>
            <w:r>
              <w:rPr>
                <w:rFonts w:ascii="Arial Narrow" w:hAnsi="Arial Narrow" w:cs="Times New Roman"/>
                <w:b w:val="0"/>
                <w:bCs/>
                <w:sz w:val="18"/>
                <w:szCs w:val="18"/>
              </w:rPr>
              <w:t xml:space="preserve">TB </w:t>
            </w:r>
            <w:r w:rsidRPr="00F50954">
              <w:rPr>
                <w:rFonts w:ascii="Arial Narrow" w:hAnsi="Arial Narrow" w:cs="Times New Roman"/>
                <w:b w:val="0"/>
                <w:bCs/>
                <w:sz w:val="18"/>
                <w:szCs w:val="18"/>
              </w:rPr>
              <w:t>hospital</w:t>
            </w:r>
            <w:r>
              <w:rPr>
                <w:rFonts w:ascii="Arial Narrow" w:hAnsi="Arial Narrow" w:cs="Times New Roman"/>
                <w:b w:val="0"/>
                <w:bCs/>
                <w:sz w:val="18"/>
                <w:szCs w:val="18"/>
              </w:rPr>
              <w:t xml:space="preserve">s’ </w:t>
            </w:r>
            <w:r w:rsidRPr="00F50954">
              <w:rPr>
                <w:rFonts w:ascii="Arial Narrow" w:hAnsi="Arial Narrow" w:cs="Times New Roman"/>
                <w:b w:val="0"/>
                <w:bCs/>
                <w:sz w:val="18"/>
                <w:szCs w:val="18"/>
              </w:rPr>
              <w:t xml:space="preserve">optimization </w:t>
            </w:r>
            <w:proofErr w:type="gramStart"/>
            <w:r w:rsidRPr="00F50954">
              <w:rPr>
                <w:rFonts w:ascii="Arial Narrow" w:hAnsi="Arial Narrow" w:cs="Times New Roman"/>
                <w:b w:val="0"/>
                <w:bCs/>
                <w:sz w:val="18"/>
                <w:szCs w:val="18"/>
              </w:rPr>
              <w:t>will be supported</w:t>
            </w:r>
            <w:proofErr w:type="gramEnd"/>
            <w:r w:rsidRPr="00F50954">
              <w:rPr>
                <w:rFonts w:ascii="Arial Narrow" w:hAnsi="Arial Narrow" w:cs="Times New Roman"/>
                <w:b w:val="0"/>
                <w:bCs/>
                <w:sz w:val="18"/>
                <w:szCs w:val="18"/>
              </w:rPr>
              <w:t xml:space="preserve"> by </w:t>
            </w:r>
            <w:r>
              <w:rPr>
                <w:rFonts w:ascii="Arial Narrow" w:hAnsi="Arial Narrow" w:cs="Times New Roman"/>
                <w:b w:val="0"/>
                <w:bCs/>
                <w:sz w:val="18"/>
                <w:szCs w:val="18"/>
              </w:rPr>
              <w:t xml:space="preserve">capacity building of </w:t>
            </w:r>
            <w:r w:rsidRPr="00F50954">
              <w:rPr>
                <w:rFonts w:ascii="Arial Narrow" w:hAnsi="Arial Narrow" w:cs="Times New Roman"/>
                <w:b w:val="0"/>
                <w:bCs/>
                <w:sz w:val="18"/>
                <w:szCs w:val="18"/>
              </w:rPr>
              <w:t xml:space="preserve">health care managers from </w:t>
            </w:r>
            <w:r>
              <w:rPr>
                <w:rFonts w:ascii="Arial Narrow" w:hAnsi="Arial Narrow" w:cs="Times New Roman"/>
                <w:b w:val="0"/>
                <w:bCs/>
                <w:sz w:val="18"/>
                <w:szCs w:val="18"/>
              </w:rPr>
              <w:t xml:space="preserve">the regions </w:t>
            </w:r>
            <w:r w:rsidRPr="00F50954">
              <w:rPr>
                <w:rFonts w:ascii="Arial Narrow" w:hAnsi="Arial Narrow" w:cs="Times New Roman"/>
                <w:b w:val="0"/>
                <w:bCs/>
                <w:sz w:val="18"/>
                <w:szCs w:val="18"/>
              </w:rPr>
              <w:t>in the</w:t>
            </w:r>
            <w:r>
              <w:rPr>
                <w:rFonts w:ascii="Arial Narrow" w:hAnsi="Arial Narrow" w:cs="Times New Roman"/>
                <w:b w:val="0"/>
                <w:bCs/>
                <w:sz w:val="18"/>
                <w:szCs w:val="18"/>
              </w:rPr>
              <w:t>ir</w:t>
            </w:r>
            <w:r w:rsidRPr="00F50954">
              <w:rPr>
                <w:rFonts w:ascii="Arial Narrow" w:hAnsi="Arial Narrow" w:cs="Times New Roman"/>
                <w:b w:val="0"/>
                <w:bCs/>
                <w:sz w:val="18"/>
                <w:szCs w:val="18"/>
              </w:rPr>
              <w:t xml:space="preserve"> implementation, improving TB hospital performance and strengthening the links between different levels of service along the patient pathway and care continuum</w:t>
            </w:r>
            <w:r>
              <w:rPr>
                <w:rFonts w:ascii="Arial Narrow" w:hAnsi="Arial Narrow" w:cs="Times New Roman"/>
                <w:b w:val="0"/>
                <w:bCs/>
                <w:sz w:val="18"/>
                <w:szCs w:val="18"/>
              </w:rPr>
              <w:t xml:space="preserve"> (2 training courses per year in Years 2-3)</w:t>
            </w:r>
            <w:r w:rsidRPr="00F50954">
              <w:rPr>
                <w:rFonts w:ascii="Arial Narrow" w:hAnsi="Arial Narrow" w:cs="Times New Roman"/>
                <w:b w:val="0"/>
                <w:bCs/>
                <w:sz w:val="18"/>
                <w:szCs w:val="18"/>
              </w:rPr>
              <w:t>.</w:t>
            </w:r>
          </w:p>
        </w:tc>
        <w:tc>
          <w:tcPr>
            <w:tcW w:w="344" w:type="dxa"/>
            <w:shd w:val="clear" w:color="auto" w:fill="auto"/>
            <w:tcMar>
              <w:left w:w="28" w:type="dxa"/>
              <w:right w:w="28" w:type="dxa"/>
            </w:tcMar>
            <w:vAlign w:val="center"/>
          </w:tcPr>
          <w:p w14:paraId="0B8D0C20"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D16E810"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2D18FBF"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C845560"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BCC062F"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D162FC4"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27331AE4"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E9B6881"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B05083C"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B19CADF"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788CE7D"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6666674" w14:textId="77777777" w:rsidR="0068728A" w:rsidRPr="00263536" w:rsidRDefault="0068728A" w:rsidP="009413DD">
            <w:pPr>
              <w:spacing w:before="40" w:after="40" w:line="240" w:lineRule="auto"/>
              <w:jc w:val="center"/>
              <w:rPr>
                <w:rFonts w:ascii="Arial Narrow" w:hAnsi="Arial Narrow" w:cs="Times New Roman"/>
                <w:b w:val="0"/>
                <w:bCs/>
                <w:sz w:val="18"/>
                <w:szCs w:val="18"/>
              </w:rPr>
            </w:pPr>
          </w:p>
        </w:tc>
      </w:tr>
      <w:tr w:rsidR="0068728A" w:rsidRPr="00263536" w14:paraId="65AE4399" w14:textId="77777777" w:rsidTr="00B46482">
        <w:tc>
          <w:tcPr>
            <w:tcW w:w="560" w:type="dxa"/>
            <w:tcMar>
              <w:left w:w="28" w:type="dxa"/>
              <w:right w:w="28" w:type="dxa"/>
            </w:tcMar>
          </w:tcPr>
          <w:p w14:paraId="0A518E66" w14:textId="6A331169" w:rsidR="00263536" w:rsidRPr="00263536" w:rsidRDefault="0068728A" w:rsidP="00807FDF">
            <w:pPr>
              <w:spacing w:before="40" w:after="40" w:line="240" w:lineRule="auto"/>
              <w:jc w:val="center"/>
              <w:rPr>
                <w:rFonts w:ascii="Arial Narrow" w:hAnsi="Arial Narrow" w:cs="Times New Roman"/>
                <w:b w:val="0"/>
                <w:bCs/>
                <w:sz w:val="18"/>
                <w:szCs w:val="18"/>
              </w:rPr>
            </w:pPr>
            <w:r w:rsidRPr="0068728A">
              <w:rPr>
                <w:rFonts w:ascii="Arial Narrow" w:hAnsi="Arial Narrow" w:cs="Times New Roman"/>
                <w:b w:val="0"/>
                <w:bCs/>
                <w:sz w:val="18"/>
                <w:szCs w:val="18"/>
              </w:rPr>
              <w:t>1.1.9</w:t>
            </w:r>
          </w:p>
        </w:tc>
        <w:tc>
          <w:tcPr>
            <w:tcW w:w="1985" w:type="dxa"/>
            <w:tcMar>
              <w:left w:w="28" w:type="dxa"/>
              <w:right w:w="28" w:type="dxa"/>
            </w:tcMar>
          </w:tcPr>
          <w:p w14:paraId="75D08770" w14:textId="51F8D005" w:rsidR="00263536" w:rsidRPr="00263536" w:rsidRDefault="009E3A41" w:rsidP="00835CCA">
            <w:pPr>
              <w:spacing w:before="40" w:after="40" w:line="240" w:lineRule="auto"/>
              <w:jc w:val="both"/>
              <w:rPr>
                <w:rFonts w:ascii="Arial Narrow" w:hAnsi="Arial Narrow" w:cs="Times New Roman"/>
                <w:b w:val="0"/>
                <w:bCs/>
                <w:sz w:val="18"/>
                <w:szCs w:val="18"/>
              </w:rPr>
            </w:pPr>
            <w:r w:rsidRPr="009E3A41">
              <w:rPr>
                <w:rFonts w:ascii="Arial Narrow" w:hAnsi="Arial Narrow" w:cs="Times New Roman"/>
                <w:b w:val="0"/>
                <w:bCs/>
                <w:sz w:val="18"/>
                <w:szCs w:val="18"/>
              </w:rPr>
              <w:t>Center for Clinical Mentoring and Advanced Training</w:t>
            </w:r>
          </w:p>
        </w:tc>
        <w:tc>
          <w:tcPr>
            <w:tcW w:w="6448" w:type="dxa"/>
            <w:tcMar>
              <w:left w:w="28" w:type="dxa"/>
              <w:right w:w="28" w:type="dxa"/>
            </w:tcMar>
          </w:tcPr>
          <w:p w14:paraId="5BE8D038" w14:textId="2144E6CA" w:rsidR="009E3A41" w:rsidRPr="00263536" w:rsidRDefault="009E3A41" w:rsidP="00D070F7">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S</w:t>
            </w:r>
            <w:r w:rsidRPr="009E3A41">
              <w:rPr>
                <w:rFonts w:ascii="Arial Narrow" w:hAnsi="Arial Narrow" w:cs="Times New Roman"/>
                <w:b w:val="0"/>
                <w:bCs/>
                <w:sz w:val="18"/>
                <w:szCs w:val="18"/>
              </w:rPr>
              <w:t xml:space="preserve">upport to development of the Center for Clinical Mentoring and Advanced Training at the NSPC </w:t>
            </w:r>
            <w:proofErr w:type="gramStart"/>
            <w:r>
              <w:rPr>
                <w:rFonts w:ascii="Arial Narrow" w:hAnsi="Arial Narrow" w:cs="Times New Roman"/>
                <w:b w:val="0"/>
                <w:bCs/>
                <w:sz w:val="18"/>
                <w:szCs w:val="18"/>
              </w:rPr>
              <w:t>will be provided</w:t>
            </w:r>
            <w:proofErr w:type="gramEnd"/>
            <w:r>
              <w:rPr>
                <w:rFonts w:ascii="Arial Narrow" w:hAnsi="Arial Narrow" w:cs="Times New Roman"/>
                <w:b w:val="0"/>
                <w:bCs/>
                <w:sz w:val="18"/>
                <w:szCs w:val="18"/>
              </w:rPr>
              <w:t xml:space="preserve">. </w:t>
            </w:r>
            <w:r w:rsidRPr="009E3A41">
              <w:rPr>
                <w:rFonts w:ascii="Arial Narrow" w:hAnsi="Arial Narrow" w:cs="Times New Roman"/>
                <w:b w:val="0"/>
                <w:bCs/>
                <w:sz w:val="18"/>
                <w:szCs w:val="18"/>
              </w:rPr>
              <w:t xml:space="preserve">The Center will engage in conducting the distance learning education in TB and lung diseases clinical management for different categories of medical providers, including postgraduate students. </w:t>
            </w:r>
          </w:p>
        </w:tc>
        <w:tc>
          <w:tcPr>
            <w:tcW w:w="344" w:type="dxa"/>
            <w:shd w:val="clear" w:color="auto" w:fill="D9D9D9" w:themeFill="background1" w:themeFillShade="D9"/>
            <w:tcMar>
              <w:left w:w="28" w:type="dxa"/>
              <w:right w:w="28" w:type="dxa"/>
            </w:tcMar>
            <w:vAlign w:val="center"/>
          </w:tcPr>
          <w:p w14:paraId="0D88C9FD"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3B9B9FD"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720F8E7"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6F96F29"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A2A6F69"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900B7C2"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B96522F"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0DBC491"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A10D34D"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2872F01"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72300C5"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54E16360" w14:textId="77777777" w:rsidR="00263536" w:rsidRPr="00263536" w:rsidRDefault="00263536" w:rsidP="009413DD">
            <w:pPr>
              <w:spacing w:before="40" w:after="40" w:line="240" w:lineRule="auto"/>
              <w:jc w:val="center"/>
              <w:rPr>
                <w:rFonts w:ascii="Arial Narrow" w:hAnsi="Arial Narrow" w:cs="Times New Roman"/>
                <w:b w:val="0"/>
                <w:bCs/>
                <w:sz w:val="18"/>
                <w:szCs w:val="18"/>
              </w:rPr>
            </w:pPr>
          </w:p>
        </w:tc>
      </w:tr>
      <w:tr w:rsidR="0068728A" w:rsidRPr="00263536" w14:paraId="37197C37" w14:textId="77777777" w:rsidTr="00B46482">
        <w:tc>
          <w:tcPr>
            <w:tcW w:w="560" w:type="dxa"/>
            <w:tcMar>
              <w:left w:w="28" w:type="dxa"/>
              <w:right w:w="28" w:type="dxa"/>
            </w:tcMar>
          </w:tcPr>
          <w:p w14:paraId="2C9C1209" w14:textId="1A39417E" w:rsidR="0068728A" w:rsidRPr="00263536" w:rsidRDefault="0068728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1.1.10</w:t>
            </w:r>
          </w:p>
        </w:tc>
        <w:tc>
          <w:tcPr>
            <w:tcW w:w="1985" w:type="dxa"/>
            <w:tcMar>
              <w:left w:w="28" w:type="dxa"/>
              <w:right w:w="28" w:type="dxa"/>
            </w:tcMar>
          </w:tcPr>
          <w:p w14:paraId="7A6CB3D0" w14:textId="19F7846E" w:rsidR="0068728A" w:rsidRPr="00263536" w:rsidRDefault="0068728A" w:rsidP="00835CCA">
            <w:pPr>
              <w:spacing w:before="40" w:after="40" w:line="240" w:lineRule="auto"/>
              <w:jc w:val="both"/>
              <w:rPr>
                <w:rFonts w:ascii="Arial Narrow" w:hAnsi="Arial Narrow" w:cs="Times New Roman"/>
                <w:b w:val="0"/>
                <w:bCs/>
                <w:sz w:val="18"/>
                <w:szCs w:val="18"/>
              </w:rPr>
            </w:pPr>
            <w:r w:rsidRPr="0068728A">
              <w:rPr>
                <w:rFonts w:ascii="Arial Narrow" w:hAnsi="Arial Narrow" w:cs="Times New Roman"/>
                <w:b w:val="0"/>
                <w:bCs/>
                <w:sz w:val="18"/>
                <w:szCs w:val="18"/>
              </w:rPr>
              <w:t>Attendance of international meetings ab</w:t>
            </w:r>
            <w:r w:rsidR="00452812">
              <w:rPr>
                <w:rFonts w:ascii="Arial Narrow" w:hAnsi="Arial Narrow" w:cs="Times New Roman"/>
                <w:b w:val="0"/>
                <w:bCs/>
                <w:sz w:val="18"/>
                <w:szCs w:val="18"/>
              </w:rPr>
              <w:t>road</w:t>
            </w:r>
          </w:p>
        </w:tc>
        <w:tc>
          <w:tcPr>
            <w:tcW w:w="6448" w:type="dxa"/>
            <w:tcMar>
              <w:left w:w="28" w:type="dxa"/>
              <w:right w:w="28" w:type="dxa"/>
            </w:tcMar>
          </w:tcPr>
          <w:p w14:paraId="373B3CE2" w14:textId="3567D68B" w:rsidR="009E3A41" w:rsidRPr="00263536" w:rsidRDefault="009E3A41" w:rsidP="00D070F7">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S</w:t>
            </w:r>
            <w:r w:rsidRPr="009E3A41">
              <w:rPr>
                <w:rFonts w:ascii="Arial Narrow" w:hAnsi="Arial Narrow" w:cs="Times New Roman"/>
                <w:b w:val="0"/>
                <w:bCs/>
                <w:sz w:val="18"/>
                <w:szCs w:val="18"/>
              </w:rPr>
              <w:t xml:space="preserve">upport </w:t>
            </w:r>
            <w:r>
              <w:rPr>
                <w:rFonts w:ascii="Arial Narrow" w:hAnsi="Arial Narrow" w:cs="Times New Roman"/>
                <w:b w:val="0"/>
                <w:bCs/>
                <w:sz w:val="18"/>
                <w:szCs w:val="18"/>
              </w:rPr>
              <w:t xml:space="preserve">is included </w:t>
            </w:r>
            <w:r w:rsidRPr="009E3A41">
              <w:rPr>
                <w:rFonts w:ascii="Arial Narrow" w:hAnsi="Arial Narrow" w:cs="Times New Roman"/>
                <w:b w:val="0"/>
                <w:bCs/>
                <w:sz w:val="18"/>
                <w:szCs w:val="18"/>
              </w:rPr>
              <w:t>for participation of key NTP staff in relevant international conferences and meetings abroad</w:t>
            </w:r>
            <w:r>
              <w:rPr>
                <w:rFonts w:ascii="Arial Narrow" w:hAnsi="Arial Narrow" w:cs="Times New Roman"/>
                <w:b w:val="0"/>
                <w:bCs/>
                <w:sz w:val="18"/>
                <w:szCs w:val="18"/>
              </w:rPr>
              <w:t xml:space="preserve"> (</w:t>
            </w:r>
            <w:r w:rsidR="004D4FA5" w:rsidRPr="004D4FA5">
              <w:rPr>
                <w:rFonts w:ascii="Arial Narrow" w:hAnsi="Arial Narrow" w:cs="Times New Roman"/>
                <w:b w:val="0"/>
                <w:bCs/>
                <w:sz w:val="18"/>
                <w:szCs w:val="18"/>
              </w:rPr>
              <w:t>4 persons per year in Years 1-2 and 3 persons in Year 3</w:t>
            </w:r>
            <w:r>
              <w:rPr>
                <w:rFonts w:ascii="Arial Narrow" w:hAnsi="Arial Narrow" w:cs="Times New Roman"/>
                <w:b w:val="0"/>
                <w:bCs/>
                <w:sz w:val="18"/>
                <w:szCs w:val="18"/>
              </w:rPr>
              <w:t>)</w:t>
            </w:r>
            <w:r w:rsidRPr="009E3A41">
              <w:rPr>
                <w:rFonts w:ascii="Arial Narrow" w:hAnsi="Arial Narrow" w:cs="Times New Roman"/>
                <w:b w:val="0"/>
                <w:bCs/>
                <w:sz w:val="18"/>
                <w:szCs w:val="18"/>
              </w:rPr>
              <w:t>.</w:t>
            </w:r>
          </w:p>
        </w:tc>
        <w:tc>
          <w:tcPr>
            <w:tcW w:w="344" w:type="dxa"/>
            <w:shd w:val="clear" w:color="auto" w:fill="auto"/>
            <w:tcMar>
              <w:left w:w="28" w:type="dxa"/>
              <w:right w:w="28" w:type="dxa"/>
            </w:tcMar>
            <w:vAlign w:val="center"/>
          </w:tcPr>
          <w:p w14:paraId="769B6990"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32DB3BF"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4B5578BC"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29058FAD"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565AF58"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904B875"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5253327"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7F28200D"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1629E77"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7F660BED"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8E474FE"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F68EB59" w14:textId="77777777" w:rsidR="0068728A" w:rsidRPr="00263536" w:rsidRDefault="0068728A" w:rsidP="0068728A">
            <w:pPr>
              <w:spacing w:before="40" w:after="40" w:line="240" w:lineRule="auto"/>
              <w:jc w:val="center"/>
              <w:rPr>
                <w:rFonts w:ascii="Arial Narrow" w:hAnsi="Arial Narrow" w:cs="Times New Roman"/>
                <w:b w:val="0"/>
                <w:bCs/>
                <w:sz w:val="18"/>
                <w:szCs w:val="18"/>
              </w:rPr>
            </w:pPr>
          </w:p>
        </w:tc>
      </w:tr>
      <w:tr w:rsidR="00975364" w:rsidRPr="00263536" w14:paraId="1DB775B8" w14:textId="77777777" w:rsidTr="00B46482">
        <w:tc>
          <w:tcPr>
            <w:tcW w:w="560" w:type="dxa"/>
            <w:shd w:val="clear" w:color="auto" w:fill="FFFF99"/>
            <w:tcMar>
              <w:left w:w="28" w:type="dxa"/>
              <w:right w:w="28" w:type="dxa"/>
            </w:tcMar>
          </w:tcPr>
          <w:p w14:paraId="1B501B89" w14:textId="71008541" w:rsidR="00975364" w:rsidRPr="00263536" w:rsidRDefault="00975364" w:rsidP="00807FDF">
            <w:pPr>
              <w:spacing w:before="40" w:after="40" w:line="240" w:lineRule="auto"/>
              <w:jc w:val="center"/>
              <w:rPr>
                <w:rFonts w:ascii="Arial Narrow" w:hAnsi="Arial Narrow" w:cs="Times New Roman"/>
                <w:sz w:val="18"/>
                <w:szCs w:val="18"/>
              </w:rPr>
            </w:pPr>
            <w:r>
              <w:rPr>
                <w:rFonts w:ascii="Arial Narrow" w:hAnsi="Arial Narrow" w:cs="Times New Roman"/>
                <w:sz w:val="18"/>
                <w:szCs w:val="18"/>
              </w:rPr>
              <w:t>1.2</w:t>
            </w:r>
          </w:p>
        </w:tc>
        <w:tc>
          <w:tcPr>
            <w:tcW w:w="8433" w:type="dxa"/>
            <w:gridSpan w:val="2"/>
            <w:shd w:val="clear" w:color="auto" w:fill="FFFF99"/>
            <w:tcMar>
              <w:left w:w="28" w:type="dxa"/>
              <w:right w:w="28" w:type="dxa"/>
            </w:tcMar>
          </w:tcPr>
          <w:p w14:paraId="0A9C9A1D" w14:textId="2115A359" w:rsidR="00975364" w:rsidRPr="00975364" w:rsidRDefault="00975364" w:rsidP="00975364">
            <w:pPr>
              <w:spacing w:before="40" w:after="40" w:line="240" w:lineRule="auto"/>
              <w:rPr>
                <w:rFonts w:ascii="Arial Narrow" w:hAnsi="Arial Narrow" w:cs="Times New Roman"/>
                <w:bCs/>
                <w:sz w:val="18"/>
                <w:szCs w:val="18"/>
              </w:rPr>
            </w:pPr>
            <w:r w:rsidRPr="00975364">
              <w:rPr>
                <w:rFonts w:ascii="Arial Narrow" w:hAnsi="Arial Narrow" w:cs="Times New Roman"/>
                <w:bCs/>
                <w:sz w:val="18"/>
                <w:szCs w:val="18"/>
              </w:rPr>
              <w:t>Program and data quality</w:t>
            </w:r>
          </w:p>
          <w:p w14:paraId="6B3D28E3" w14:textId="02B2DCE5" w:rsidR="00975364" w:rsidRPr="00263536" w:rsidRDefault="00975364" w:rsidP="00975364">
            <w:pPr>
              <w:spacing w:before="40" w:after="40" w:line="240" w:lineRule="auto"/>
              <w:rPr>
                <w:rFonts w:ascii="Arial Narrow" w:hAnsi="Arial Narrow" w:cs="Times New Roman"/>
                <w:sz w:val="18"/>
                <w:szCs w:val="18"/>
              </w:rPr>
            </w:pPr>
            <w:r w:rsidRPr="00975364">
              <w:rPr>
                <w:rFonts w:ascii="Arial Narrow" w:hAnsi="Arial Narrow" w:cs="Times New Roman"/>
                <w:b w:val="0"/>
                <w:bCs/>
                <w:i/>
                <w:sz w:val="18"/>
                <w:szCs w:val="18"/>
              </w:rPr>
              <w:t>Module: RSSH – Health management information systems and M&amp;E</w:t>
            </w:r>
            <w:r w:rsidRPr="00975364">
              <w:rPr>
                <w:rFonts w:ascii="Arial Narrow" w:hAnsi="Arial Narrow" w:cs="Times New Roman"/>
                <w:b w:val="0"/>
                <w:bCs/>
                <w:i/>
                <w:sz w:val="18"/>
                <w:szCs w:val="18"/>
              </w:rPr>
              <w:tab/>
            </w:r>
          </w:p>
        </w:tc>
        <w:tc>
          <w:tcPr>
            <w:tcW w:w="344" w:type="dxa"/>
            <w:shd w:val="clear" w:color="auto" w:fill="FFFF99"/>
            <w:tcMar>
              <w:left w:w="28" w:type="dxa"/>
              <w:right w:w="28" w:type="dxa"/>
            </w:tcMar>
            <w:vAlign w:val="center"/>
          </w:tcPr>
          <w:p w14:paraId="24568FAB" w14:textId="77777777" w:rsidR="00975364" w:rsidRPr="00263536" w:rsidRDefault="00975364" w:rsidP="00975364">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27D248B2" w14:textId="77777777" w:rsidR="00975364" w:rsidRPr="00263536" w:rsidRDefault="00975364" w:rsidP="00975364">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493BA9A2" w14:textId="77777777" w:rsidR="00975364" w:rsidRPr="00263536" w:rsidRDefault="00975364" w:rsidP="00975364">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10E784F2" w14:textId="77777777" w:rsidR="00975364" w:rsidRPr="00263536" w:rsidRDefault="00975364" w:rsidP="00975364">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1CE3EA45" w14:textId="77777777" w:rsidR="00975364" w:rsidRPr="00263536" w:rsidRDefault="00975364" w:rsidP="00975364">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6E9F0EF0" w14:textId="77777777" w:rsidR="00975364" w:rsidRPr="00263536" w:rsidRDefault="00975364" w:rsidP="00975364">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670CFE07" w14:textId="77777777" w:rsidR="00975364" w:rsidRPr="00263536" w:rsidRDefault="00975364" w:rsidP="00975364">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787A41A9" w14:textId="77777777" w:rsidR="00975364" w:rsidRPr="00263536" w:rsidRDefault="00975364" w:rsidP="00975364">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0535D88C" w14:textId="77777777" w:rsidR="00975364" w:rsidRPr="00263536" w:rsidRDefault="00975364" w:rsidP="00975364">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7DC138EA" w14:textId="77777777" w:rsidR="00975364" w:rsidRPr="00263536" w:rsidRDefault="00975364" w:rsidP="00975364">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78B162D7" w14:textId="77777777" w:rsidR="00975364" w:rsidRPr="00263536" w:rsidRDefault="00975364" w:rsidP="00975364">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4829B96E" w14:textId="77777777" w:rsidR="00975364" w:rsidRPr="00263536" w:rsidRDefault="00975364" w:rsidP="00975364">
            <w:pPr>
              <w:spacing w:before="40" w:after="40" w:line="240" w:lineRule="auto"/>
              <w:jc w:val="center"/>
              <w:rPr>
                <w:rFonts w:ascii="Arial Narrow" w:hAnsi="Arial Narrow" w:cs="Times New Roman"/>
                <w:sz w:val="18"/>
                <w:szCs w:val="18"/>
              </w:rPr>
            </w:pPr>
          </w:p>
        </w:tc>
      </w:tr>
      <w:tr w:rsidR="00975364" w:rsidRPr="00263536" w14:paraId="0A239BEA" w14:textId="77777777" w:rsidTr="00B46482">
        <w:tc>
          <w:tcPr>
            <w:tcW w:w="560" w:type="dxa"/>
            <w:tcMar>
              <w:left w:w="28" w:type="dxa"/>
              <w:right w:w="28" w:type="dxa"/>
            </w:tcMar>
          </w:tcPr>
          <w:p w14:paraId="222BCBE4" w14:textId="02E8EB15" w:rsidR="00975364" w:rsidRPr="00263536" w:rsidRDefault="00975364"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1.2.1</w:t>
            </w:r>
          </w:p>
        </w:tc>
        <w:tc>
          <w:tcPr>
            <w:tcW w:w="1985" w:type="dxa"/>
            <w:tcMar>
              <w:left w:w="28" w:type="dxa"/>
              <w:right w:w="28" w:type="dxa"/>
            </w:tcMar>
          </w:tcPr>
          <w:p w14:paraId="0539BE93" w14:textId="3C8F3675" w:rsidR="00975364" w:rsidRPr="00263536" w:rsidRDefault="00975364" w:rsidP="00835CCA">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NTP supervision visits</w:t>
            </w:r>
          </w:p>
        </w:tc>
        <w:tc>
          <w:tcPr>
            <w:tcW w:w="6448" w:type="dxa"/>
            <w:tcMar>
              <w:left w:w="28" w:type="dxa"/>
              <w:right w:w="28" w:type="dxa"/>
            </w:tcMar>
          </w:tcPr>
          <w:p w14:paraId="1350D197" w14:textId="7769A395" w:rsidR="00DE2108" w:rsidRPr="00263536" w:rsidRDefault="00DE2108" w:rsidP="00D070F7">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 xml:space="preserve">Support </w:t>
            </w:r>
            <w:proofErr w:type="gramStart"/>
            <w:r>
              <w:rPr>
                <w:rFonts w:ascii="Arial Narrow" w:hAnsi="Arial Narrow" w:cs="Times New Roman"/>
                <w:b w:val="0"/>
                <w:bCs/>
                <w:sz w:val="18"/>
                <w:szCs w:val="18"/>
              </w:rPr>
              <w:t>will be provided</w:t>
            </w:r>
            <w:proofErr w:type="gramEnd"/>
            <w:r>
              <w:rPr>
                <w:rFonts w:ascii="Arial Narrow" w:hAnsi="Arial Narrow" w:cs="Times New Roman"/>
                <w:b w:val="0"/>
                <w:bCs/>
                <w:sz w:val="18"/>
                <w:szCs w:val="18"/>
              </w:rPr>
              <w:t xml:space="preserve"> for regular </w:t>
            </w:r>
            <w:r w:rsidRPr="00DE2108">
              <w:rPr>
                <w:rFonts w:ascii="Arial Narrow" w:hAnsi="Arial Narrow" w:cs="Times New Roman"/>
                <w:b w:val="0"/>
                <w:bCs/>
                <w:sz w:val="18"/>
                <w:szCs w:val="18"/>
              </w:rPr>
              <w:t xml:space="preserve">supportive supervision / M&amp;E visits by the NTP central unit (NSCP) / PR to the regions, to oversee program implementation including innovative DR-TB management interventions. Each of 14 oblasts and 3 cities (Astana, Almaty and </w:t>
            </w:r>
            <w:proofErr w:type="spellStart"/>
            <w:r w:rsidRPr="00DE2108">
              <w:rPr>
                <w:rFonts w:ascii="Arial Narrow" w:hAnsi="Arial Narrow" w:cs="Times New Roman"/>
                <w:b w:val="0"/>
                <w:bCs/>
                <w:sz w:val="18"/>
                <w:szCs w:val="18"/>
              </w:rPr>
              <w:t>Shymkent</w:t>
            </w:r>
            <w:proofErr w:type="spellEnd"/>
            <w:r w:rsidRPr="00DE2108">
              <w:rPr>
                <w:rFonts w:ascii="Arial Narrow" w:hAnsi="Arial Narrow" w:cs="Times New Roman"/>
                <w:b w:val="0"/>
                <w:bCs/>
                <w:sz w:val="18"/>
                <w:szCs w:val="18"/>
              </w:rPr>
              <w:t xml:space="preserve">) will be visited once a year during Years 1 and 2; additional visits, including regional supervision within oblasts, </w:t>
            </w:r>
            <w:proofErr w:type="gramStart"/>
            <w:r w:rsidRPr="00DE2108">
              <w:rPr>
                <w:rFonts w:ascii="Arial Narrow" w:hAnsi="Arial Narrow" w:cs="Times New Roman"/>
                <w:b w:val="0"/>
                <w:bCs/>
                <w:sz w:val="18"/>
                <w:szCs w:val="18"/>
              </w:rPr>
              <w:t>will be covered</w:t>
            </w:r>
            <w:proofErr w:type="gramEnd"/>
            <w:r w:rsidRPr="00DE2108">
              <w:rPr>
                <w:rFonts w:ascii="Arial Narrow" w:hAnsi="Arial Narrow" w:cs="Times New Roman"/>
                <w:b w:val="0"/>
                <w:bCs/>
                <w:sz w:val="18"/>
                <w:szCs w:val="18"/>
              </w:rPr>
              <w:t xml:space="preserve"> from domestic sources.</w:t>
            </w:r>
          </w:p>
        </w:tc>
        <w:tc>
          <w:tcPr>
            <w:tcW w:w="344" w:type="dxa"/>
            <w:shd w:val="clear" w:color="auto" w:fill="D9D9D9" w:themeFill="background1" w:themeFillShade="D9"/>
            <w:tcMar>
              <w:left w:w="28" w:type="dxa"/>
              <w:right w:w="28" w:type="dxa"/>
            </w:tcMar>
            <w:vAlign w:val="center"/>
          </w:tcPr>
          <w:p w14:paraId="1E854C93"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AD75826"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25DA536"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D97E8C0"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57C8E950"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1AB7A8D"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A8960EB" w14:textId="3D116394"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4357EE37"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F5A7B77" w14:textId="7AEEFA9D"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D3F42A5"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EEC998C" w14:textId="3B13A00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5CB4F06"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r>
      <w:tr w:rsidR="00975364" w:rsidRPr="00263536" w14:paraId="4ED3C1D1" w14:textId="77777777" w:rsidTr="00B46482">
        <w:tc>
          <w:tcPr>
            <w:tcW w:w="560" w:type="dxa"/>
            <w:tcMar>
              <w:left w:w="28" w:type="dxa"/>
              <w:right w:w="28" w:type="dxa"/>
            </w:tcMar>
          </w:tcPr>
          <w:p w14:paraId="13211F7A" w14:textId="5A3E11B8" w:rsidR="00975364" w:rsidRPr="00263536" w:rsidRDefault="00975364"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1.2.2</w:t>
            </w:r>
          </w:p>
        </w:tc>
        <w:tc>
          <w:tcPr>
            <w:tcW w:w="1985" w:type="dxa"/>
            <w:tcMar>
              <w:left w:w="28" w:type="dxa"/>
              <w:right w:w="28" w:type="dxa"/>
            </w:tcMar>
          </w:tcPr>
          <w:p w14:paraId="78C13906" w14:textId="1EC3C517" w:rsidR="00975364" w:rsidRPr="00263536" w:rsidRDefault="00975364" w:rsidP="00835CCA">
            <w:pPr>
              <w:spacing w:before="40" w:after="40" w:line="240" w:lineRule="auto"/>
              <w:jc w:val="both"/>
              <w:rPr>
                <w:rFonts w:ascii="Arial Narrow" w:hAnsi="Arial Narrow" w:cs="Times New Roman"/>
                <w:b w:val="0"/>
                <w:bCs/>
                <w:sz w:val="18"/>
                <w:szCs w:val="18"/>
              </w:rPr>
            </w:pPr>
            <w:r w:rsidRPr="008A1283">
              <w:rPr>
                <w:rFonts w:ascii="Arial Narrow" w:hAnsi="Arial Narrow" w:cs="Times New Roman"/>
                <w:b w:val="0"/>
                <w:bCs/>
                <w:sz w:val="18"/>
                <w:szCs w:val="18"/>
              </w:rPr>
              <w:t>NT</w:t>
            </w:r>
            <w:r>
              <w:rPr>
                <w:rFonts w:ascii="Arial Narrow" w:hAnsi="Arial Narrow" w:cs="Times New Roman"/>
                <w:b w:val="0"/>
                <w:bCs/>
                <w:sz w:val="18"/>
                <w:szCs w:val="18"/>
              </w:rPr>
              <w:t>P program coordination meetings</w:t>
            </w:r>
          </w:p>
        </w:tc>
        <w:tc>
          <w:tcPr>
            <w:tcW w:w="6448" w:type="dxa"/>
            <w:tcMar>
              <w:left w:w="28" w:type="dxa"/>
              <w:right w:w="28" w:type="dxa"/>
            </w:tcMar>
          </w:tcPr>
          <w:p w14:paraId="27B593BE" w14:textId="65287DFF" w:rsidR="00975364" w:rsidRPr="00263536" w:rsidRDefault="00DE2108" w:rsidP="00E34A9F">
            <w:pPr>
              <w:spacing w:before="40" w:after="40" w:line="240" w:lineRule="auto"/>
              <w:jc w:val="both"/>
              <w:rPr>
                <w:rFonts w:ascii="Arial Narrow" w:hAnsi="Arial Narrow" w:cs="Times New Roman"/>
                <w:b w:val="0"/>
                <w:bCs/>
                <w:sz w:val="18"/>
                <w:szCs w:val="18"/>
              </w:rPr>
            </w:pPr>
            <w:r w:rsidRPr="00DE2108">
              <w:rPr>
                <w:rFonts w:ascii="Arial Narrow" w:hAnsi="Arial Narrow" w:cs="Times New Roman"/>
                <w:b w:val="0"/>
                <w:bCs/>
                <w:sz w:val="18"/>
                <w:szCs w:val="18"/>
              </w:rPr>
              <w:t xml:space="preserve">Program coordination meetings </w:t>
            </w:r>
            <w:r>
              <w:rPr>
                <w:rFonts w:ascii="Arial Narrow" w:hAnsi="Arial Narrow" w:cs="Times New Roman"/>
                <w:b w:val="0"/>
                <w:bCs/>
                <w:sz w:val="18"/>
                <w:szCs w:val="18"/>
              </w:rPr>
              <w:t xml:space="preserve">(2 days) </w:t>
            </w:r>
            <w:proofErr w:type="gramStart"/>
            <w:r w:rsidRPr="00DE2108">
              <w:rPr>
                <w:rFonts w:ascii="Arial Narrow" w:hAnsi="Arial Narrow" w:cs="Times New Roman"/>
                <w:b w:val="0"/>
                <w:bCs/>
                <w:sz w:val="18"/>
                <w:szCs w:val="18"/>
              </w:rPr>
              <w:t xml:space="preserve">will be </w:t>
            </w:r>
            <w:r>
              <w:rPr>
                <w:rFonts w:ascii="Arial Narrow" w:hAnsi="Arial Narrow" w:cs="Times New Roman"/>
                <w:b w:val="0"/>
                <w:bCs/>
                <w:sz w:val="18"/>
                <w:szCs w:val="18"/>
              </w:rPr>
              <w:t>convened</w:t>
            </w:r>
            <w:proofErr w:type="gramEnd"/>
            <w:r>
              <w:rPr>
                <w:rFonts w:ascii="Arial Narrow" w:hAnsi="Arial Narrow" w:cs="Times New Roman"/>
                <w:b w:val="0"/>
                <w:bCs/>
                <w:sz w:val="18"/>
                <w:szCs w:val="18"/>
              </w:rPr>
              <w:t xml:space="preserve"> in the </w:t>
            </w:r>
            <w:r w:rsidRPr="0060605F">
              <w:rPr>
                <w:rFonts w:ascii="Arial Narrow" w:hAnsi="Arial Narrow" w:cs="Times New Roman"/>
                <w:b w:val="0"/>
                <w:bCs/>
                <w:sz w:val="18"/>
                <w:szCs w:val="18"/>
              </w:rPr>
              <w:t>first quarter of Years 1-</w:t>
            </w:r>
            <w:r w:rsidR="00E34A9F" w:rsidRPr="0060605F">
              <w:rPr>
                <w:rFonts w:ascii="Arial Narrow" w:hAnsi="Arial Narrow" w:cs="Times New Roman"/>
                <w:b w:val="0"/>
                <w:bCs/>
                <w:sz w:val="18"/>
                <w:szCs w:val="18"/>
              </w:rPr>
              <w:t>3</w:t>
            </w:r>
            <w:r w:rsidRPr="0060605F">
              <w:rPr>
                <w:rFonts w:ascii="Arial Narrow" w:hAnsi="Arial Narrow" w:cs="Times New Roman"/>
                <w:b w:val="0"/>
                <w:bCs/>
                <w:sz w:val="18"/>
                <w:szCs w:val="18"/>
              </w:rPr>
              <w:t xml:space="preserve"> at </w:t>
            </w:r>
            <w:r w:rsidRPr="00DE2108">
              <w:rPr>
                <w:rFonts w:ascii="Arial Narrow" w:hAnsi="Arial Narrow" w:cs="Times New Roman"/>
                <w:b w:val="0"/>
                <w:bCs/>
                <w:sz w:val="18"/>
                <w:szCs w:val="18"/>
              </w:rPr>
              <w:t>NSCP, to discuss the implementation progress and plan actions to addr</w:t>
            </w:r>
            <w:r>
              <w:rPr>
                <w:rFonts w:ascii="Arial Narrow" w:hAnsi="Arial Narrow" w:cs="Times New Roman"/>
                <w:b w:val="0"/>
                <w:bCs/>
                <w:sz w:val="18"/>
                <w:szCs w:val="18"/>
              </w:rPr>
              <w:t>ess the challenges identified.</w:t>
            </w:r>
            <w:r w:rsidR="00975364">
              <w:rPr>
                <w:rFonts w:ascii="Arial Narrow" w:hAnsi="Arial Narrow" w:cs="Times New Roman"/>
                <w:b w:val="0"/>
                <w:bCs/>
                <w:sz w:val="18"/>
                <w:szCs w:val="18"/>
              </w:rPr>
              <w:tab/>
            </w:r>
            <w:r w:rsidR="00975364">
              <w:rPr>
                <w:rFonts w:ascii="Arial Narrow" w:hAnsi="Arial Narrow" w:cs="Times New Roman"/>
                <w:b w:val="0"/>
                <w:bCs/>
                <w:sz w:val="18"/>
                <w:szCs w:val="18"/>
              </w:rPr>
              <w:tab/>
            </w:r>
          </w:p>
        </w:tc>
        <w:tc>
          <w:tcPr>
            <w:tcW w:w="344" w:type="dxa"/>
            <w:shd w:val="clear" w:color="auto" w:fill="D9D9D9" w:themeFill="background1" w:themeFillShade="D9"/>
            <w:tcMar>
              <w:left w:w="28" w:type="dxa"/>
              <w:right w:w="28" w:type="dxa"/>
            </w:tcMar>
            <w:vAlign w:val="center"/>
          </w:tcPr>
          <w:p w14:paraId="7BF19D89"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F3595D7"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5C249B9"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9931858" w14:textId="4F97E8CF"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B19D584"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920F1DC" w14:textId="0BEE49F5"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FEB54A6"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21B21F9" w14:textId="554D276C"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5F313BE"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9492209" w14:textId="562B46EF"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5AB8E15"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1769B2B" w14:textId="0A861DA0" w:rsidR="00975364" w:rsidRPr="00263536" w:rsidRDefault="00975364" w:rsidP="00975364">
            <w:pPr>
              <w:spacing w:before="40" w:after="40" w:line="240" w:lineRule="auto"/>
              <w:jc w:val="center"/>
              <w:rPr>
                <w:rFonts w:ascii="Arial Narrow" w:hAnsi="Arial Narrow" w:cs="Times New Roman"/>
                <w:b w:val="0"/>
                <w:bCs/>
                <w:sz w:val="18"/>
                <w:szCs w:val="18"/>
              </w:rPr>
            </w:pPr>
          </w:p>
        </w:tc>
      </w:tr>
      <w:tr w:rsidR="00975364" w:rsidRPr="00263536" w14:paraId="2552E660" w14:textId="77777777" w:rsidTr="00B46482">
        <w:tc>
          <w:tcPr>
            <w:tcW w:w="560" w:type="dxa"/>
            <w:tcMar>
              <w:left w:w="28" w:type="dxa"/>
              <w:right w:w="28" w:type="dxa"/>
            </w:tcMar>
          </w:tcPr>
          <w:p w14:paraId="2CBF59ED" w14:textId="5A8D474B" w:rsidR="00975364" w:rsidRPr="00263536" w:rsidRDefault="00975364"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1.2.3</w:t>
            </w:r>
          </w:p>
        </w:tc>
        <w:tc>
          <w:tcPr>
            <w:tcW w:w="1985" w:type="dxa"/>
            <w:tcMar>
              <w:left w:w="28" w:type="dxa"/>
              <w:right w:w="28" w:type="dxa"/>
            </w:tcMar>
          </w:tcPr>
          <w:p w14:paraId="43E99B42" w14:textId="3BFF4FB6" w:rsidR="00975364" w:rsidRPr="00263536" w:rsidRDefault="00975364" w:rsidP="00835CCA">
            <w:pPr>
              <w:spacing w:before="40" w:after="40" w:line="240" w:lineRule="auto"/>
              <w:jc w:val="both"/>
              <w:rPr>
                <w:rFonts w:ascii="Arial Narrow" w:hAnsi="Arial Narrow" w:cs="Times New Roman"/>
                <w:b w:val="0"/>
                <w:bCs/>
                <w:sz w:val="18"/>
                <w:szCs w:val="18"/>
              </w:rPr>
            </w:pPr>
            <w:r w:rsidRPr="008A1283">
              <w:rPr>
                <w:rFonts w:ascii="Arial Narrow" w:hAnsi="Arial Narrow" w:cs="Times New Roman"/>
                <w:b w:val="0"/>
                <w:bCs/>
                <w:sz w:val="18"/>
                <w:szCs w:val="18"/>
              </w:rPr>
              <w:t xml:space="preserve">National consultant, </w:t>
            </w:r>
            <w:r w:rsidR="00DE2108">
              <w:rPr>
                <w:rFonts w:ascii="Arial Narrow" w:hAnsi="Arial Narrow" w:cs="Times New Roman"/>
                <w:b w:val="0"/>
                <w:bCs/>
                <w:sz w:val="18"/>
                <w:szCs w:val="18"/>
              </w:rPr>
              <w:t xml:space="preserve">maintenance of national </w:t>
            </w:r>
            <w:r>
              <w:rPr>
                <w:rFonts w:ascii="Arial Narrow" w:hAnsi="Arial Narrow" w:cs="Times New Roman"/>
                <w:b w:val="0"/>
                <w:bCs/>
                <w:sz w:val="18"/>
                <w:szCs w:val="18"/>
              </w:rPr>
              <w:t>TB database</w:t>
            </w:r>
          </w:p>
        </w:tc>
        <w:tc>
          <w:tcPr>
            <w:tcW w:w="6448" w:type="dxa"/>
            <w:tcMar>
              <w:left w:w="28" w:type="dxa"/>
              <w:right w:w="28" w:type="dxa"/>
            </w:tcMar>
          </w:tcPr>
          <w:p w14:paraId="73F61BB9" w14:textId="7235D490" w:rsidR="00DE2108" w:rsidRPr="00263536" w:rsidRDefault="00DE2108" w:rsidP="00D070F7">
            <w:pPr>
              <w:spacing w:before="40" w:after="40" w:line="240" w:lineRule="auto"/>
              <w:jc w:val="both"/>
              <w:rPr>
                <w:rFonts w:ascii="Arial Narrow" w:hAnsi="Arial Narrow" w:cs="Times New Roman"/>
                <w:b w:val="0"/>
                <w:bCs/>
                <w:sz w:val="18"/>
                <w:szCs w:val="18"/>
              </w:rPr>
            </w:pPr>
            <w:r w:rsidRPr="00DE2108">
              <w:rPr>
                <w:rFonts w:ascii="Arial Narrow" w:hAnsi="Arial Narrow" w:cs="Times New Roman"/>
                <w:b w:val="0"/>
                <w:bCs/>
                <w:sz w:val="18"/>
                <w:szCs w:val="18"/>
              </w:rPr>
              <w:t xml:space="preserve">A national consultant </w:t>
            </w:r>
            <w:proofErr w:type="gramStart"/>
            <w:r w:rsidRPr="00DE2108">
              <w:rPr>
                <w:rFonts w:ascii="Arial Narrow" w:hAnsi="Arial Narrow" w:cs="Times New Roman"/>
                <w:b w:val="0"/>
                <w:bCs/>
                <w:sz w:val="18"/>
                <w:szCs w:val="18"/>
              </w:rPr>
              <w:t>will be employed</w:t>
            </w:r>
            <w:proofErr w:type="gramEnd"/>
            <w:r w:rsidRPr="00DE2108">
              <w:rPr>
                <w:rFonts w:ascii="Arial Narrow" w:hAnsi="Arial Narrow" w:cs="Times New Roman"/>
                <w:b w:val="0"/>
                <w:bCs/>
                <w:sz w:val="18"/>
                <w:szCs w:val="18"/>
              </w:rPr>
              <w:t xml:space="preserve"> to perform maintenance of the updated electronic national TB register (</w:t>
            </w:r>
            <w:r>
              <w:rPr>
                <w:rFonts w:ascii="Arial Narrow" w:hAnsi="Arial Narrow" w:cs="Times New Roman"/>
                <w:b w:val="0"/>
                <w:bCs/>
                <w:sz w:val="18"/>
                <w:szCs w:val="18"/>
              </w:rPr>
              <w:t xml:space="preserve">with TGF </w:t>
            </w:r>
            <w:r w:rsidRPr="00DE2108">
              <w:rPr>
                <w:rFonts w:ascii="Arial Narrow" w:hAnsi="Arial Narrow" w:cs="Times New Roman"/>
                <w:b w:val="0"/>
                <w:bCs/>
                <w:sz w:val="18"/>
                <w:szCs w:val="18"/>
              </w:rPr>
              <w:t xml:space="preserve">support </w:t>
            </w:r>
            <w:r>
              <w:rPr>
                <w:rFonts w:ascii="Arial Narrow" w:hAnsi="Arial Narrow" w:cs="Times New Roman"/>
                <w:b w:val="0"/>
                <w:bCs/>
                <w:sz w:val="18"/>
                <w:szCs w:val="18"/>
              </w:rPr>
              <w:t>during Years 1-2).</w:t>
            </w:r>
          </w:p>
        </w:tc>
        <w:tc>
          <w:tcPr>
            <w:tcW w:w="344" w:type="dxa"/>
            <w:shd w:val="clear" w:color="auto" w:fill="D9D9D9" w:themeFill="background1" w:themeFillShade="D9"/>
            <w:tcMar>
              <w:left w:w="28" w:type="dxa"/>
              <w:right w:w="28" w:type="dxa"/>
            </w:tcMar>
            <w:vAlign w:val="center"/>
          </w:tcPr>
          <w:p w14:paraId="439285DD"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7263A49"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4096FBE7"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B4AB0A5"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7B67A113" w14:textId="1C5AA958"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19B4EE9"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E2F27F8" w14:textId="08ED8D84"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21D4172"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764588E" w14:textId="75EFBB33"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FA60486"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F08575B" w14:textId="23AE6F4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E0C0D42"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r>
      <w:tr w:rsidR="00975364" w:rsidRPr="00263536" w14:paraId="3183B393" w14:textId="77777777" w:rsidTr="00B46482">
        <w:tc>
          <w:tcPr>
            <w:tcW w:w="560" w:type="dxa"/>
            <w:tcMar>
              <w:left w:w="28" w:type="dxa"/>
              <w:right w:w="28" w:type="dxa"/>
            </w:tcMar>
          </w:tcPr>
          <w:p w14:paraId="785CC4F1" w14:textId="4659FB90" w:rsidR="00975364" w:rsidRPr="00263536" w:rsidRDefault="00975364"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1.2.4</w:t>
            </w:r>
          </w:p>
        </w:tc>
        <w:tc>
          <w:tcPr>
            <w:tcW w:w="1985" w:type="dxa"/>
            <w:tcMar>
              <w:left w:w="28" w:type="dxa"/>
              <w:right w:w="28" w:type="dxa"/>
            </w:tcMar>
          </w:tcPr>
          <w:p w14:paraId="19FC4A1D" w14:textId="73EDD7CA" w:rsidR="00975364" w:rsidRPr="00263536" w:rsidRDefault="00975364" w:rsidP="00835CCA">
            <w:pPr>
              <w:spacing w:before="40" w:after="40" w:line="240" w:lineRule="auto"/>
              <w:jc w:val="both"/>
              <w:rPr>
                <w:rFonts w:ascii="Arial Narrow" w:hAnsi="Arial Narrow" w:cs="Times New Roman"/>
                <w:b w:val="0"/>
                <w:bCs/>
                <w:sz w:val="18"/>
                <w:szCs w:val="18"/>
              </w:rPr>
            </w:pPr>
            <w:r w:rsidRPr="008A1283">
              <w:rPr>
                <w:rFonts w:ascii="Arial Narrow" w:hAnsi="Arial Narrow" w:cs="Times New Roman"/>
                <w:b w:val="0"/>
                <w:bCs/>
                <w:sz w:val="18"/>
                <w:szCs w:val="18"/>
              </w:rPr>
              <w:t xml:space="preserve">Operational research in </w:t>
            </w:r>
            <w:r>
              <w:rPr>
                <w:rFonts w:ascii="Arial Narrow" w:hAnsi="Arial Narrow" w:cs="Times New Roman"/>
                <w:b w:val="0"/>
                <w:bCs/>
                <w:sz w:val="18"/>
                <w:szCs w:val="18"/>
              </w:rPr>
              <w:t>priority issues of DR-TB</w:t>
            </w:r>
            <w:r w:rsidR="00DE2108">
              <w:rPr>
                <w:rFonts w:ascii="Arial Narrow" w:hAnsi="Arial Narrow" w:cs="Times New Roman"/>
                <w:b w:val="0"/>
                <w:bCs/>
                <w:sz w:val="18"/>
                <w:szCs w:val="18"/>
              </w:rPr>
              <w:t xml:space="preserve"> management</w:t>
            </w:r>
          </w:p>
        </w:tc>
        <w:tc>
          <w:tcPr>
            <w:tcW w:w="6448" w:type="dxa"/>
            <w:tcMar>
              <w:left w:w="28" w:type="dxa"/>
              <w:right w:w="28" w:type="dxa"/>
            </w:tcMar>
          </w:tcPr>
          <w:p w14:paraId="7EB3F80C" w14:textId="59B47A12" w:rsidR="00DE2108" w:rsidRPr="00263536" w:rsidRDefault="00DE2108" w:rsidP="00D070F7">
            <w:pPr>
              <w:spacing w:before="40" w:after="40" w:line="240" w:lineRule="auto"/>
              <w:jc w:val="both"/>
              <w:rPr>
                <w:rFonts w:ascii="Arial Narrow" w:hAnsi="Arial Narrow" w:cs="Times New Roman"/>
                <w:b w:val="0"/>
                <w:bCs/>
                <w:sz w:val="18"/>
                <w:szCs w:val="18"/>
              </w:rPr>
            </w:pPr>
            <w:proofErr w:type="gramStart"/>
            <w:r w:rsidRPr="00DE2108">
              <w:rPr>
                <w:rFonts w:ascii="Arial Narrow" w:hAnsi="Arial Narrow" w:cs="Times New Roman"/>
                <w:b w:val="0"/>
                <w:bCs/>
                <w:sz w:val="18"/>
                <w:szCs w:val="18"/>
              </w:rPr>
              <w:t xml:space="preserve">The application includes support to </w:t>
            </w:r>
            <w:r>
              <w:rPr>
                <w:rFonts w:ascii="Arial Narrow" w:hAnsi="Arial Narrow" w:cs="Times New Roman"/>
                <w:b w:val="0"/>
                <w:bCs/>
                <w:sz w:val="18"/>
                <w:szCs w:val="18"/>
              </w:rPr>
              <w:t>6</w:t>
            </w:r>
            <w:r w:rsidRPr="00DE2108">
              <w:rPr>
                <w:rFonts w:ascii="Arial Narrow" w:hAnsi="Arial Narrow" w:cs="Times New Roman"/>
                <w:b w:val="0"/>
                <w:bCs/>
                <w:sz w:val="18"/>
                <w:szCs w:val="18"/>
              </w:rPr>
              <w:t xml:space="preserve"> </w:t>
            </w:r>
            <w:r>
              <w:rPr>
                <w:rFonts w:ascii="Arial Narrow" w:hAnsi="Arial Narrow" w:cs="Times New Roman"/>
                <w:b w:val="0"/>
                <w:bCs/>
                <w:sz w:val="18"/>
                <w:szCs w:val="18"/>
              </w:rPr>
              <w:t xml:space="preserve">OR </w:t>
            </w:r>
            <w:r w:rsidRPr="00DE2108">
              <w:rPr>
                <w:rFonts w:ascii="Arial Narrow" w:hAnsi="Arial Narrow" w:cs="Times New Roman"/>
                <w:b w:val="0"/>
                <w:bCs/>
                <w:sz w:val="18"/>
                <w:szCs w:val="18"/>
              </w:rPr>
              <w:t>studies in priority program areas related to DR-TB case detection and case management, as well as to the interventions in populations at risk</w:t>
            </w:r>
            <w:r>
              <w:rPr>
                <w:rFonts w:ascii="Arial Narrow" w:hAnsi="Arial Narrow" w:cs="Times New Roman"/>
                <w:b w:val="0"/>
                <w:bCs/>
                <w:sz w:val="18"/>
                <w:szCs w:val="18"/>
              </w:rPr>
              <w:t xml:space="preserve">, </w:t>
            </w:r>
            <w:r w:rsidRPr="00DE2108">
              <w:rPr>
                <w:rFonts w:ascii="Arial Narrow" w:hAnsi="Arial Narrow" w:cs="Times New Roman"/>
                <w:b w:val="0"/>
                <w:bCs/>
                <w:sz w:val="18"/>
                <w:szCs w:val="18"/>
              </w:rPr>
              <w:t xml:space="preserve">in the following areas: 1) Referral patterns and delays in the provision of DR-TB diagnostic and treatment services; 2) Survey of resistance to second-line anti-TB drugs among RR/MDR-TB patients; 3) Effectiveness and efficiency of the use of </w:t>
            </w:r>
            <w:proofErr w:type="spellStart"/>
            <w:r w:rsidRPr="00DE2108">
              <w:rPr>
                <w:rFonts w:ascii="Arial Narrow" w:hAnsi="Arial Narrow" w:cs="Times New Roman"/>
                <w:b w:val="0"/>
                <w:bCs/>
                <w:sz w:val="18"/>
                <w:szCs w:val="18"/>
              </w:rPr>
              <w:t>Xpert</w:t>
            </w:r>
            <w:proofErr w:type="spellEnd"/>
            <w:r w:rsidRPr="00DE2108">
              <w:rPr>
                <w:rFonts w:ascii="Arial Narrow" w:hAnsi="Arial Narrow" w:cs="Times New Roman"/>
                <w:b w:val="0"/>
                <w:bCs/>
                <w:sz w:val="18"/>
                <w:szCs w:val="18"/>
              </w:rPr>
              <w:t xml:space="preserve"> MTB/RIF at the district level; 4) Administration of modified shorter regimens for treatment of RR/MDR-TB cases without resistance to second-line drugs;  5) TB screening and preventive treatment for latent TB infection among contacts of DR-TB patients; and 6) Active TB and DR-TB case finding and preventive treatment in high-risk population groups.</w:t>
            </w:r>
            <w:proofErr w:type="gramEnd"/>
            <w:r w:rsidRPr="00DE2108">
              <w:rPr>
                <w:rFonts w:ascii="Arial Narrow" w:hAnsi="Arial Narrow" w:cs="Times New Roman"/>
                <w:b w:val="0"/>
                <w:bCs/>
                <w:sz w:val="18"/>
                <w:szCs w:val="18"/>
              </w:rPr>
              <w:t xml:space="preserve"> The studies </w:t>
            </w:r>
            <w:proofErr w:type="gramStart"/>
            <w:r w:rsidRPr="00DE2108">
              <w:rPr>
                <w:rFonts w:ascii="Arial Narrow" w:hAnsi="Arial Narrow" w:cs="Times New Roman"/>
                <w:b w:val="0"/>
                <w:bCs/>
                <w:sz w:val="18"/>
                <w:szCs w:val="18"/>
              </w:rPr>
              <w:t>will be performed</w:t>
            </w:r>
            <w:proofErr w:type="gramEnd"/>
            <w:r w:rsidRPr="00DE2108">
              <w:rPr>
                <w:rFonts w:ascii="Arial Narrow" w:hAnsi="Arial Narrow" w:cs="Times New Roman"/>
                <w:b w:val="0"/>
                <w:bCs/>
                <w:sz w:val="18"/>
                <w:szCs w:val="18"/>
              </w:rPr>
              <w:t xml:space="preserve"> by </w:t>
            </w:r>
            <w:r>
              <w:rPr>
                <w:rFonts w:ascii="Arial Narrow" w:hAnsi="Arial Narrow" w:cs="Times New Roman"/>
                <w:b w:val="0"/>
                <w:bCs/>
                <w:sz w:val="18"/>
                <w:szCs w:val="18"/>
              </w:rPr>
              <w:t xml:space="preserve">NSCP </w:t>
            </w:r>
            <w:r w:rsidRPr="00DE2108">
              <w:rPr>
                <w:rFonts w:ascii="Arial Narrow" w:hAnsi="Arial Narrow" w:cs="Times New Roman"/>
                <w:b w:val="0"/>
                <w:bCs/>
                <w:sz w:val="18"/>
                <w:szCs w:val="18"/>
              </w:rPr>
              <w:t xml:space="preserve">in collaboration with the National Medical University and other partners. The studies’ results will inform the NTP decisions in DR-TB management and </w:t>
            </w:r>
            <w:r w:rsidRPr="00DE2108">
              <w:rPr>
                <w:rFonts w:ascii="Arial Narrow" w:hAnsi="Arial Narrow" w:cs="Times New Roman"/>
                <w:b w:val="0"/>
                <w:bCs/>
                <w:sz w:val="18"/>
                <w:szCs w:val="18"/>
              </w:rPr>
              <w:lastRenderedPageBreak/>
              <w:t xml:space="preserve">addressing the needs of vulnerable and at-risk population groups in line with the new WHO guidance and taking into account the country context including transition from </w:t>
            </w:r>
            <w:r>
              <w:rPr>
                <w:rFonts w:ascii="Arial Narrow" w:hAnsi="Arial Narrow" w:cs="Times New Roman"/>
                <w:b w:val="0"/>
                <w:bCs/>
                <w:sz w:val="18"/>
                <w:szCs w:val="18"/>
              </w:rPr>
              <w:t>TGF support</w:t>
            </w:r>
            <w:r w:rsidRPr="00DE2108">
              <w:rPr>
                <w:rFonts w:ascii="Arial Narrow" w:hAnsi="Arial Narrow" w:cs="Times New Roman"/>
                <w:b w:val="0"/>
                <w:bCs/>
                <w:sz w:val="18"/>
                <w:szCs w:val="18"/>
              </w:rPr>
              <w:t>.</w:t>
            </w:r>
          </w:p>
        </w:tc>
        <w:tc>
          <w:tcPr>
            <w:tcW w:w="344" w:type="dxa"/>
            <w:shd w:val="clear" w:color="auto" w:fill="D9D9D9" w:themeFill="background1" w:themeFillShade="D9"/>
            <w:tcMar>
              <w:left w:w="28" w:type="dxa"/>
              <w:right w:w="28" w:type="dxa"/>
            </w:tcMar>
            <w:vAlign w:val="center"/>
          </w:tcPr>
          <w:p w14:paraId="593FE96E"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3EB1195"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C0E34D4"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80D8F97"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B4A8752"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5362B2F" w14:textId="1AFEF3E3"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A236E1B"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C43FF50" w14:textId="606EF020"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7A6837F"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A0F5409" w14:textId="6F7B18AF"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917C03F" w14:textId="77777777" w:rsidR="00975364" w:rsidRPr="00263536" w:rsidRDefault="00975364" w:rsidP="00975364">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4F372F11" w14:textId="04BD5BE5" w:rsidR="00975364" w:rsidRPr="00263536" w:rsidRDefault="00975364" w:rsidP="00975364">
            <w:pPr>
              <w:spacing w:before="40" w:after="40" w:line="240" w:lineRule="auto"/>
              <w:jc w:val="center"/>
              <w:rPr>
                <w:rFonts w:ascii="Arial Narrow" w:hAnsi="Arial Narrow" w:cs="Times New Roman"/>
                <w:b w:val="0"/>
                <w:bCs/>
                <w:sz w:val="18"/>
                <w:szCs w:val="18"/>
              </w:rPr>
            </w:pPr>
          </w:p>
        </w:tc>
      </w:tr>
      <w:tr w:rsidR="00956DCA" w:rsidRPr="00956DCA" w14:paraId="463710B9" w14:textId="77777777" w:rsidTr="00807FDF">
        <w:tc>
          <w:tcPr>
            <w:tcW w:w="560" w:type="dxa"/>
            <w:shd w:val="clear" w:color="auto" w:fill="B6DDE8" w:themeFill="accent5" w:themeFillTint="66"/>
            <w:tcMar>
              <w:left w:w="28" w:type="dxa"/>
              <w:right w:w="28" w:type="dxa"/>
            </w:tcMar>
          </w:tcPr>
          <w:p w14:paraId="1A03365E" w14:textId="7F97B266" w:rsidR="00956DCA" w:rsidRPr="00956DCA" w:rsidRDefault="00956DCA" w:rsidP="00807FDF">
            <w:pPr>
              <w:spacing w:before="40" w:after="40" w:line="240" w:lineRule="auto"/>
              <w:jc w:val="center"/>
              <w:rPr>
                <w:rFonts w:ascii="Arial Narrow" w:hAnsi="Arial Narrow" w:cs="Times New Roman"/>
              </w:rPr>
            </w:pPr>
            <w:r w:rsidRPr="00956DCA">
              <w:rPr>
                <w:rFonts w:ascii="Arial Narrow" w:hAnsi="Arial Narrow" w:cs="Times New Roman"/>
              </w:rPr>
              <w:lastRenderedPageBreak/>
              <w:t>2</w:t>
            </w:r>
          </w:p>
        </w:tc>
        <w:tc>
          <w:tcPr>
            <w:tcW w:w="13325" w:type="dxa"/>
            <w:gridSpan w:val="14"/>
            <w:shd w:val="clear" w:color="auto" w:fill="B6DDE8" w:themeFill="accent5" w:themeFillTint="66"/>
            <w:tcMar>
              <w:left w:w="28" w:type="dxa"/>
              <w:right w:w="28" w:type="dxa"/>
            </w:tcMar>
          </w:tcPr>
          <w:p w14:paraId="7FFA73BD" w14:textId="11C14C22" w:rsidR="00956DCA" w:rsidRPr="00956DCA" w:rsidRDefault="00956DCA" w:rsidP="00956DCA">
            <w:pPr>
              <w:spacing w:before="40" w:after="40" w:line="240" w:lineRule="auto"/>
              <w:rPr>
                <w:rFonts w:ascii="Arial Narrow" w:hAnsi="Arial Narrow" w:cs="Times New Roman"/>
              </w:rPr>
            </w:pPr>
            <w:r w:rsidRPr="00956DCA">
              <w:rPr>
                <w:rFonts w:ascii="Arial Narrow" w:hAnsi="Arial Narrow" w:cs="Times New Roman"/>
              </w:rPr>
              <w:t xml:space="preserve">Objective 2. </w:t>
            </w:r>
            <w:r w:rsidR="00CD11D2" w:rsidRPr="00CD11D2">
              <w:rPr>
                <w:rFonts w:ascii="Arial Narrow" w:hAnsi="Arial Narrow" w:cs="Times New Roman"/>
              </w:rPr>
              <w:t>To sustain universal access to quality and people-centered DR-TB diagnosis, treatment and prevention</w:t>
            </w:r>
          </w:p>
        </w:tc>
      </w:tr>
      <w:tr w:rsidR="00E03F7A" w:rsidRPr="00263536" w14:paraId="2A443F14" w14:textId="77777777" w:rsidTr="00B46482">
        <w:tc>
          <w:tcPr>
            <w:tcW w:w="560" w:type="dxa"/>
            <w:shd w:val="clear" w:color="auto" w:fill="FFFF99"/>
            <w:tcMar>
              <w:left w:w="28" w:type="dxa"/>
              <w:right w:w="28" w:type="dxa"/>
            </w:tcMar>
          </w:tcPr>
          <w:p w14:paraId="0D9A2870" w14:textId="20F35AA7" w:rsidR="00E03F7A" w:rsidRPr="00263536" w:rsidRDefault="00E03F7A" w:rsidP="00807FDF">
            <w:pPr>
              <w:spacing w:before="40" w:after="40" w:line="240" w:lineRule="auto"/>
              <w:jc w:val="center"/>
              <w:rPr>
                <w:rFonts w:ascii="Arial Narrow" w:hAnsi="Arial Narrow" w:cs="Times New Roman"/>
                <w:sz w:val="18"/>
                <w:szCs w:val="18"/>
              </w:rPr>
            </w:pPr>
            <w:r>
              <w:rPr>
                <w:rFonts w:ascii="Arial Narrow" w:hAnsi="Arial Narrow" w:cs="Times New Roman"/>
                <w:sz w:val="18"/>
                <w:szCs w:val="18"/>
              </w:rPr>
              <w:t>2.1</w:t>
            </w:r>
          </w:p>
        </w:tc>
        <w:tc>
          <w:tcPr>
            <w:tcW w:w="8433" w:type="dxa"/>
            <w:gridSpan w:val="2"/>
            <w:shd w:val="clear" w:color="auto" w:fill="FFFF99"/>
            <w:tcMar>
              <w:left w:w="28" w:type="dxa"/>
              <w:right w:w="28" w:type="dxa"/>
            </w:tcMar>
          </w:tcPr>
          <w:p w14:paraId="0F37D2E8" w14:textId="2CD80EDD" w:rsidR="00E03F7A" w:rsidRPr="002B520C" w:rsidRDefault="00E03F7A" w:rsidP="00E03F7A">
            <w:pPr>
              <w:spacing w:before="40" w:after="40" w:line="240" w:lineRule="auto"/>
              <w:rPr>
                <w:rFonts w:ascii="Arial Narrow" w:hAnsi="Arial Narrow" w:cs="Times New Roman"/>
                <w:sz w:val="18"/>
                <w:szCs w:val="18"/>
              </w:rPr>
            </w:pPr>
            <w:r w:rsidRPr="00E03F7A">
              <w:rPr>
                <w:rFonts w:ascii="Arial Narrow" w:hAnsi="Arial Narrow" w:cs="Times New Roman"/>
                <w:sz w:val="18"/>
                <w:szCs w:val="18"/>
              </w:rPr>
              <w:t>Case detection and diagnosis: MDR-TB</w:t>
            </w:r>
          </w:p>
          <w:p w14:paraId="2A2A37C9" w14:textId="6BA2CFB1" w:rsidR="00E03F7A" w:rsidRPr="00263536" w:rsidRDefault="00E03F7A" w:rsidP="00E03F7A">
            <w:pPr>
              <w:spacing w:before="40" w:after="40" w:line="240" w:lineRule="auto"/>
              <w:rPr>
                <w:rFonts w:ascii="Arial Narrow" w:hAnsi="Arial Narrow" w:cs="Times New Roman"/>
                <w:i/>
                <w:sz w:val="18"/>
                <w:szCs w:val="18"/>
              </w:rPr>
            </w:pPr>
            <w:r w:rsidRPr="002B520C">
              <w:rPr>
                <w:rFonts w:ascii="Arial Narrow" w:hAnsi="Arial Narrow" w:cs="Times New Roman"/>
                <w:b w:val="0"/>
                <w:i/>
                <w:sz w:val="18"/>
                <w:szCs w:val="18"/>
              </w:rPr>
              <w:t>Module:</w:t>
            </w:r>
            <w:r w:rsidRPr="002B520C">
              <w:rPr>
                <w:rFonts w:ascii="Arial Narrow" w:hAnsi="Arial Narrow" w:cs="Times New Roman"/>
                <w:b w:val="0"/>
                <w:i/>
                <w:sz w:val="18"/>
                <w:szCs w:val="18"/>
              </w:rPr>
              <w:tab/>
              <w:t xml:space="preserve"> Multidrug-resistant tuberculosis (MDR-TB)</w:t>
            </w:r>
          </w:p>
        </w:tc>
        <w:tc>
          <w:tcPr>
            <w:tcW w:w="344" w:type="dxa"/>
            <w:shd w:val="clear" w:color="auto" w:fill="FFFF99"/>
            <w:tcMar>
              <w:left w:w="28" w:type="dxa"/>
              <w:right w:w="28" w:type="dxa"/>
            </w:tcMar>
            <w:vAlign w:val="center"/>
          </w:tcPr>
          <w:p w14:paraId="30AAE7B9"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2788658C"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36AC6E52"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10111E0D"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7BBA9F87"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4186F0D5"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70D1FFB5"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434BA4E9"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480256AF"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1CC461D3"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34E9A4DC"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02665129" w14:textId="77777777" w:rsidR="00E03F7A" w:rsidRPr="00263536" w:rsidRDefault="00E03F7A" w:rsidP="00E03F7A">
            <w:pPr>
              <w:spacing w:before="40" w:after="40" w:line="240" w:lineRule="auto"/>
              <w:jc w:val="center"/>
              <w:rPr>
                <w:rFonts w:ascii="Arial Narrow" w:hAnsi="Arial Narrow" w:cs="Times New Roman"/>
                <w:sz w:val="18"/>
                <w:szCs w:val="18"/>
              </w:rPr>
            </w:pPr>
          </w:p>
        </w:tc>
      </w:tr>
      <w:tr w:rsidR="00E03F7A" w:rsidRPr="00263536" w14:paraId="3F204930" w14:textId="77777777" w:rsidTr="00B46482">
        <w:tc>
          <w:tcPr>
            <w:tcW w:w="560" w:type="dxa"/>
            <w:tcMar>
              <w:left w:w="28" w:type="dxa"/>
              <w:right w:w="28" w:type="dxa"/>
            </w:tcMar>
          </w:tcPr>
          <w:p w14:paraId="1734AA0D" w14:textId="0CCF2A34" w:rsidR="00E03F7A" w:rsidRPr="00263536" w:rsidRDefault="00E03F7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2.1.1</w:t>
            </w:r>
          </w:p>
        </w:tc>
        <w:tc>
          <w:tcPr>
            <w:tcW w:w="1985" w:type="dxa"/>
            <w:tcMar>
              <w:left w:w="28" w:type="dxa"/>
              <w:right w:w="28" w:type="dxa"/>
            </w:tcMar>
          </w:tcPr>
          <w:p w14:paraId="5A6C7FA6" w14:textId="1D86EED9" w:rsidR="00E03F7A" w:rsidRPr="00F52D2E" w:rsidRDefault="0000438F" w:rsidP="00835CCA">
            <w:pPr>
              <w:spacing w:before="40" w:after="40" w:line="240" w:lineRule="auto"/>
              <w:jc w:val="both"/>
              <w:rPr>
                <w:rFonts w:ascii="Arial Narrow" w:hAnsi="Arial Narrow" w:cs="Times New Roman"/>
                <w:b w:val="0"/>
                <w:bCs/>
                <w:sz w:val="18"/>
                <w:szCs w:val="18"/>
                <w:highlight w:val="yellow"/>
              </w:rPr>
            </w:pPr>
            <w:r w:rsidRPr="0000438F">
              <w:rPr>
                <w:rFonts w:ascii="Arial Narrow" w:hAnsi="Arial Narrow" w:cs="Times New Roman"/>
                <w:b w:val="0"/>
                <w:bCs/>
                <w:sz w:val="18"/>
                <w:szCs w:val="18"/>
              </w:rPr>
              <w:t xml:space="preserve">Procurement of </w:t>
            </w:r>
            <w:proofErr w:type="spellStart"/>
            <w:r w:rsidR="00E03F7A" w:rsidRPr="0000438F">
              <w:rPr>
                <w:rFonts w:ascii="Arial Narrow" w:hAnsi="Arial Narrow" w:cs="Times New Roman"/>
                <w:b w:val="0"/>
                <w:bCs/>
                <w:sz w:val="18"/>
                <w:szCs w:val="18"/>
              </w:rPr>
              <w:t>Xpert</w:t>
            </w:r>
            <w:proofErr w:type="spellEnd"/>
            <w:r w:rsidRPr="0000438F">
              <w:rPr>
                <w:rFonts w:ascii="Arial Narrow" w:hAnsi="Arial Narrow" w:cs="Times New Roman"/>
                <w:b w:val="0"/>
                <w:bCs/>
                <w:sz w:val="18"/>
                <w:szCs w:val="18"/>
              </w:rPr>
              <w:t xml:space="preserve"> MTB/RIF</w:t>
            </w:r>
            <w:r w:rsidR="00E03F7A" w:rsidRPr="0000438F">
              <w:rPr>
                <w:rFonts w:ascii="Arial Narrow" w:hAnsi="Arial Narrow" w:cs="Times New Roman"/>
                <w:b w:val="0"/>
                <w:bCs/>
                <w:sz w:val="18"/>
                <w:szCs w:val="18"/>
              </w:rPr>
              <w:t xml:space="preserve"> instruments</w:t>
            </w:r>
          </w:p>
        </w:tc>
        <w:tc>
          <w:tcPr>
            <w:tcW w:w="6448" w:type="dxa"/>
            <w:tcMar>
              <w:left w:w="28" w:type="dxa"/>
              <w:right w:w="28" w:type="dxa"/>
            </w:tcMar>
          </w:tcPr>
          <w:p w14:paraId="0F69F5B9" w14:textId="2C3D542E" w:rsidR="00E03F7A" w:rsidRPr="00263536" w:rsidRDefault="00692BF5" w:rsidP="00A43D01">
            <w:pPr>
              <w:spacing w:before="40" w:after="40" w:line="240" w:lineRule="auto"/>
              <w:jc w:val="both"/>
              <w:rPr>
                <w:rFonts w:ascii="Arial Narrow" w:hAnsi="Arial Narrow" w:cs="Times New Roman"/>
                <w:b w:val="0"/>
                <w:bCs/>
                <w:sz w:val="18"/>
                <w:szCs w:val="18"/>
              </w:rPr>
            </w:pPr>
            <w:r w:rsidRPr="00692BF5">
              <w:rPr>
                <w:rFonts w:ascii="Arial Narrow" w:hAnsi="Arial Narrow" w:cs="Times New Roman"/>
                <w:b w:val="0"/>
                <w:bCs/>
                <w:sz w:val="18"/>
                <w:szCs w:val="18"/>
              </w:rPr>
              <w:t xml:space="preserve">This project proposal includes </w:t>
            </w:r>
            <w:r w:rsidRPr="0060605F">
              <w:rPr>
                <w:rFonts w:ascii="Arial Narrow" w:hAnsi="Arial Narrow" w:cs="Times New Roman"/>
                <w:b w:val="0"/>
                <w:bCs/>
                <w:sz w:val="18"/>
                <w:szCs w:val="18"/>
              </w:rPr>
              <w:t xml:space="preserve">procurement of 25 </w:t>
            </w:r>
            <w:proofErr w:type="spellStart"/>
            <w:r w:rsidRPr="0060605F">
              <w:rPr>
                <w:rFonts w:ascii="Arial Narrow" w:hAnsi="Arial Narrow" w:cs="Times New Roman"/>
                <w:b w:val="0"/>
                <w:bCs/>
                <w:sz w:val="18"/>
                <w:szCs w:val="18"/>
              </w:rPr>
              <w:t>Xpert</w:t>
            </w:r>
            <w:proofErr w:type="spellEnd"/>
            <w:r w:rsidRPr="0060605F">
              <w:rPr>
                <w:rFonts w:ascii="Arial Narrow" w:hAnsi="Arial Narrow" w:cs="Times New Roman"/>
                <w:b w:val="0"/>
                <w:bCs/>
                <w:sz w:val="18"/>
                <w:szCs w:val="18"/>
              </w:rPr>
              <w:t xml:space="preserve"> MTB</w:t>
            </w:r>
            <w:r w:rsidRPr="00692BF5">
              <w:rPr>
                <w:rFonts w:ascii="Arial Narrow" w:hAnsi="Arial Narrow" w:cs="Times New Roman"/>
                <w:b w:val="0"/>
                <w:bCs/>
                <w:sz w:val="18"/>
                <w:szCs w:val="18"/>
              </w:rPr>
              <w:t xml:space="preserve">/RIF instruments for district-level </w:t>
            </w:r>
            <w:r w:rsidR="0000438F">
              <w:rPr>
                <w:rFonts w:ascii="Arial Narrow" w:hAnsi="Arial Narrow" w:cs="Times New Roman"/>
                <w:b w:val="0"/>
                <w:bCs/>
                <w:sz w:val="18"/>
                <w:szCs w:val="18"/>
              </w:rPr>
              <w:t xml:space="preserve">and city </w:t>
            </w:r>
            <w:r w:rsidRPr="00692BF5">
              <w:rPr>
                <w:rFonts w:ascii="Arial Narrow" w:hAnsi="Arial Narrow" w:cs="Times New Roman"/>
                <w:b w:val="0"/>
                <w:bCs/>
                <w:sz w:val="18"/>
                <w:szCs w:val="18"/>
              </w:rPr>
              <w:t xml:space="preserve">TB service units, to </w:t>
            </w:r>
            <w:r w:rsidR="0000438F">
              <w:rPr>
                <w:rFonts w:ascii="Arial Narrow" w:hAnsi="Arial Narrow" w:cs="Times New Roman"/>
                <w:b w:val="0"/>
                <w:bCs/>
                <w:sz w:val="18"/>
                <w:szCs w:val="18"/>
              </w:rPr>
              <w:t xml:space="preserve">complete the </w:t>
            </w:r>
            <w:r w:rsidRPr="00692BF5">
              <w:rPr>
                <w:rFonts w:ascii="Arial Narrow" w:hAnsi="Arial Narrow" w:cs="Times New Roman"/>
                <w:b w:val="0"/>
                <w:bCs/>
                <w:sz w:val="18"/>
                <w:szCs w:val="18"/>
              </w:rPr>
              <w:t xml:space="preserve">full coverage of the country needs in rapid molecular testing for TB and DR-TB by the end of 2020. This procurement will be undertaken in accordance to the NTP </w:t>
            </w:r>
            <w:proofErr w:type="spellStart"/>
            <w:r w:rsidRPr="00692BF5">
              <w:rPr>
                <w:rFonts w:ascii="Arial Narrow" w:hAnsi="Arial Narrow" w:cs="Times New Roman"/>
                <w:b w:val="0"/>
                <w:bCs/>
                <w:sz w:val="18"/>
                <w:szCs w:val="18"/>
              </w:rPr>
              <w:t>Xpert</w:t>
            </w:r>
            <w:proofErr w:type="spellEnd"/>
            <w:r w:rsidRPr="00692BF5">
              <w:rPr>
                <w:rFonts w:ascii="Arial Narrow" w:hAnsi="Arial Narrow" w:cs="Times New Roman"/>
                <w:b w:val="0"/>
                <w:bCs/>
                <w:sz w:val="18"/>
                <w:szCs w:val="18"/>
              </w:rPr>
              <w:t xml:space="preserve"> rollout plan, which includes support from different sources (the ongoing TGF project, USAID and state budget) and is based on the detailed assessment of </w:t>
            </w:r>
            <w:proofErr w:type="spellStart"/>
            <w:r w:rsidRPr="00692BF5">
              <w:rPr>
                <w:rFonts w:ascii="Arial Narrow" w:hAnsi="Arial Narrow" w:cs="Times New Roman"/>
                <w:b w:val="0"/>
                <w:bCs/>
                <w:sz w:val="18"/>
                <w:szCs w:val="18"/>
              </w:rPr>
              <w:t>Xpert</w:t>
            </w:r>
            <w:proofErr w:type="spellEnd"/>
            <w:r w:rsidRPr="00692BF5">
              <w:rPr>
                <w:rFonts w:ascii="Arial Narrow" w:hAnsi="Arial Narrow" w:cs="Times New Roman"/>
                <w:b w:val="0"/>
                <w:bCs/>
                <w:sz w:val="18"/>
                <w:szCs w:val="18"/>
              </w:rPr>
              <w:t xml:space="preserve"> MTB/RIF needs by region</w:t>
            </w:r>
            <w:r w:rsidR="0000438F">
              <w:rPr>
                <w:rFonts w:ascii="Arial Narrow" w:hAnsi="Arial Narrow" w:cs="Times New Roman"/>
                <w:b w:val="0"/>
                <w:bCs/>
                <w:sz w:val="18"/>
                <w:szCs w:val="18"/>
              </w:rPr>
              <w:t xml:space="preserve"> (</w:t>
            </w:r>
            <w:r w:rsidRPr="00692BF5">
              <w:rPr>
                <w:rFonts w:ascii="Arial Narrow" w:hAnsi="Arial Narrow" w:cs="Times New Roman"/>
                <w:b w:val="0"/>
                <w:bCs/>
                <w:sz w:val="18"/>
                <w:szCs w:val="18"/>
              </w:rPr>
              <w:t>December 2018</w:t>
            </w:r>
            <w:r w:rsidR="0000438F">
              <w:rPr>
                <w:rFonts w:ascii="Arial Narrow" w:hAnsi="Arial Narrow" w:cs="Times New Roman"/>
                <w:b w:val="0"/>
                <w:bCs/>
                <w:sz w:val="18"/>
                <w:szCs w:val="18"/>
              </w:rPr>
              <w:t xml:space="preserve">). </w:t>
            </w:r>
            <w:r w:rsidRPr="00692BF5">
              <w:rPr>
                <w:rFonts w:ascii="Arial Narrow" w:hAnsi="Arial Narrow" w:cs="Times New Roman"/>
                <w:b w:val="0"/>
                <w:bCs/>
                <w:sz w:val="18"/>
                <w:szCs w:val="18"/>
              </w:rPr>
              <w:t xml:space="preserve">The procurement </w:t>
            </w:r>
            <w:proofErr w:type="gramStart"/>
            <w:r w:rsidRPr="00692BF5">
              <w:rPr>
                <w:rFonts w:ascii="Arial Narrow" w:hAnsi="Arial Narrow" w:cs="Times New Roman"/>
                <w:b w:val="0"/>
                <w:bCs/>
                <w:sz w:val="18"/>
                <w:szCs w:val="18"/>
              </w:rPr>
              <w:t>will be carried out</w:t>
            </w:r>
            <w:proofErr w:type="gramEnd"/>
            <w:r w:rsidRPr="00692BF5">
              <w:rPr>
                <w:rFonts w:ascii="Arial Narrow" w:hAnsi="Arial Narrow" w:cs="Times New Roman"/>
                <w:b w:val="0"/>
                <w:bCs/>
                <w:sz w:val="18"/>
                <w:szCs w:val="18"/>
              </w:rPr>
              <w:t xml:space="preserve"> in Year 1 through </w:t>
            </w:r>
            <w:r w:rsidR="0000438F">
              <w:rPr>
                <w:rFonts w:ascii="Arial Narrow" w:hAnsi="Arial Narrow" w:cs="Times New Roman"/>
                <w:b w:val="0"/>
                <w:bCs/>
                <w:sz w:val="18"/>
                <w:szCs w:val="18"/>
              </w:rPr>
              <w:t>GDF. T</w:t>
            </w:r>
            <w:r w:rsidRPr="00692BF5">
              <w:rPr>
                <w:rFonts w:ascii="Arial Narrow" w:hAnsi="Arial Narrow" w:cs="Times New Roman"/>
                <w:b w:val="0"/>
                <w:bCs/>
                <w:sz w:val="18"/>
                <w:szCs w:val="18"/>
              </w:rPr>
              <w:t xml:space="preserve">he package includes 2-module instruments, </w:t>
            </w:r>
            <w:r w:rsidR="0000438F">
              <w:rPr>
                <w:rFonts w:ascii="Arial Narrow" w:hAnsi="Arial Narrow" w:cs="Times New Roman"/>
                <w:b w:val="0"/>
                <w:bCs/>
                <w:sz w:val="18"/>
                <w:szCs w:val="18"/>
              </w:rPr>
              <w:t xml:space="preserve">UPS </w:t>
            </w:r>
            <w:r w:rsidRPr="00692BF5">
              <w:rPr>
                <w:rFonts w:ascii="Arial Narrow" w:hAnsi="Arial Narrow" w:cs="Times New Roman"/>
                <w:b w:val="0"/>
                <w:bCs/>
                <w:sz w:val="18"/>
                <w:szCs w:val="18"/>
              </w:rPr>
              <w:t>devices, delivery costs and 3-year warranty with calibration / check kits.</w:t>
            </w:r>
          </w:p>
        </w:tc>
        <w:tc>
          <w:tcPr>
            <w:tcW w:w="344" w:type="dxa"/>
            <w:shd w:val="clear" w:color="auto" w:fill="D9D9D9" w:themeFill="background1" w:themeFillShade="D9"/>
            <w:tcMar>
              <w:left w:w="28" w:type="dxa"/>
              <w:right w:w="28" w:type="dxa"/>
            </w:tcMar>
            <w:vAlign w:val="center"/>
          </w:tcPr>
          <w:p w14:paraId="6F047BB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FFFFFF" w:themeFill="background1"/>
            <w:tcMar>
              <w:left w:w="28" w:type="dxa"/>
              <w:right w:w="28" w:type="dxa"/>
            </w:tcMar>
            <w:vAlign w:val="center"/>
          </w:tcPr>
          <w:p w14:paraId="1A0A2C1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FFFFFF" w:themeFill="background1"/>
            <w:tcMar>
              <w:left w:w="28" w:type="dxa"/>
              <w:right w:w="28" w:type="dxa"/>
            </w:tcMar>
            <w:vAlign w:val="center"/>
          </w:tcPr>
          <w:p w14:paraId="134937E8"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FFFFFF" w:themeFill="background1"/>
            <w:tcMar>
              <w:left w:w="28" w:type="dxa"/>
              <w:right w:w="28" w:type="dxa"/>
            </w:tcMar>
            <w:vAlign w:val="center"/>
          </w:tcPr>
          <w:p w14:paraId="7AF28DCE"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636FF76"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6F333C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B17027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CC62B2E"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973541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86E8C30"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404FB5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E2BBDE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14F4A587" w14:textId="77777777" w:rsidTr="00B46482">
        <w:tc>
          <w:tcPr>
            <w:tcW w:w="560" w:type="dxa"/>
            <w:tcMar>
              <w:left w:w="28" w:type="dxa"/>
              <w:right w:w="28" w:type="dxa"/>
            </w:tcMar>
          </w:tcPr>
          <w:p w14:paraId="54A49838" w14:textId="5B6B5A81" w:rsidR="00E03F7A" w:rsidRPr="00263536" w:rsidRDefault="00E03F7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2.1.2</w:t>
            </w:r>
          </w:p>
        </w:tc>
        <w:tc>
          <w:tcPr>
            <w:tcW w:w="1985" w:type="dxa"/>
            <w:tcMar>
              <w:left w:w="28" w:type="dxa"/>
              <w:right w:w="28" w:type="dxa"/>
            </w:tcMar>
          </w:tcPr>
          <w:p w14:paraId="497077C2" w14:textId="4C98F7C7" w:rsidR="00E03F7A" w:rsidRPr="00263536" w:rsidRDefault="0000438F" w:rsidP="00835CCA">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 xml:space="preserve">Monitoring of </w:t>
            </w:r>
            <w:r w:rsidR="00E03F7A" w:rsidRPr="009117B8">
              <w:rPr>
                <w:rFonts w:ascii="Arial Narrow" w:hAnsi="Arial Narrow" w:cs="Times New Roman"/>
                <w:b w:val="0"/>
                <w:bCs/>
                <w:sz w:val="18"/>
                <w:szCs w:val="18"/>
              </w:rPr>
              <w:t xml:space="preserve">implementation of </w:t>
            </w:r>
            <w:proofErr w:type="spellStart"/>
            <w:r w:rsidR="00E03F7A" w:rsidRPr="009117B8">
              <w:rPr>
                <w:rFonts w:ascii="Arial Narrow" w:hAnsi="Arial Narrow" w:cs="Times New Roman"/>
                <w:b w:val="0"/>
                <w:bCs/>
                <w:sz w:val="18"/>
                <w:szCs w:val="18"/>
              </w:rPr>
              <w:t>Xpert</w:t>
            </w:r>
            <w:proofErr w:type="spellEnd"/>
            <w:r w:rsidR="00E03F7A" w:rsidRPr="009117B8">
              <w:rPr>
                <w:rFonts w:ascii="Arial Narrow" w:hAnsi="Arial Narrow" w:cs="Times New Roman"/>
                <w:b w:val="0"/>
                <w:bCs/>
                <w:sz w:val="18"/>
                <w:szCs w:val="18"/>
              </w:rPr>
              <w:t xml:space="preserve"> MTB/RI</w:t>
            </w:r>
            <w:r w:rsidR="00E03F7A">
              <w:rPr>
                <w:rFonts w:ascii="Arial Narrow" w:hAnsi="Arial Narrow" w:cs="Times New Roman"/>
                <w:b w:val="0"/>
                <w:bCs/>
                <w:sz w:val="18"/>
                <w:szCs w:val="18"/>
              </w:rPr>
              <w:t>F at district level</w:t>
            </w:r>
          </w:p>
        </w:tc>
        <w:tc>
          <w:tcPr>
            <w:tcW w:w="6448" w:type="dxa"/>
            <w:tcMar>
              <w:left w:w="28" w:type="dxa"/>
              <w:right w:w="28" w:type="dxa"/>
            </w:tcMar>
          </w:tcPr>
          <w:p w14:paraId="7AAF1807" w14:textId="096A1ED8" w:rsidR="0000438F" w:rsidRPr="00263536" w:rsidRDefault="0000438F" w:rsidP="00A43D01">
            <w:pPr>
              <w:spacing w:before="40" w:after="40" w:line="240" w:lineRule="auto"/>
              <w:jc w:val="both"/>
              <w:rPr>
                <w:rFonts w:ascii="Arial Narrow" w:hAnsi="Arial Narrow" w:cs="Times New Roman"/>
                <w:b w:val="0"/>
                <w:bCs/>
                <w:sz w:val="18"/>
                <w:szCs w:val="18"/>
              </w:rPr>
            </w:pPr>
            <w:proofErr w:type="gramStart"/>
            <w:r w:rsidRPr="0000438F">
              <w:rPr>
                <w:rFonts w:ascii="Arial Narrow" w:hAnsi="Arial Narrow" w:cs="Times New Roman"/>
                <w:b w:val="0"/>
                <w:bCs/>
                <w:sz w:val="18"/>
                <w:szCs w:val="18"/>
              </w:rPr>
              <w:t xml:space="preserve">To ensure proper implementation of </w:t>
            </w:r>
            <w:proofErr w:type="spellStart"/>
            <w:r w:rsidRPr="0000438F">
              <w:rPr>
                <w:rFonts w:ascii="Arial Narrow" w:hAnsi="Arial Narrow" w:cs="Times New Roman"/>
                <w:b w:val="0"/>
                <w:bCs/>
                <w:sz w:val="18"/>
                <w:szCs w:val="18"/>
              </w:rPr>
              <w:t>Xpert</w:t>
            </w:r>
            <w:proofErr w:type="spellEnd"/>
            <w:r w:rsidRPr="0000438F">
              <w:rPr>
                <w:rFonts w:ascii="Arial Narrow" w:hAnsi="Arial Narrow" w:cs="Times New Roman"/>
                <w:b w:val="0"/>
                <w:bCs/>
                <w:sz w:val="18"/>
                <w:szCs w:val="18"/>
              </w:rPr>
              <w:t xml:space="preserve"> MTB/RIF technology at district level, during Years 1-2 of the project</w:t>
            </w:r>
            <w:r>
              <w:rPr>
                <w:rFonts w:ascii="Arial Narrow" w:hAnsi="Arial Narrow" w:cs="Times New Roman"/>
                <w:b w:val="0"/>
                <w:bCs/>
                <w:sz w:val="18"/>
                <w:szCs w:val="18"/>
              </w:rPr>
              <w:t xml:space="preserve"> 2</w:t>
            </w:r>
            <w:r w:rsidRPr="0000438F">
              <w:rPr>
                <w:rFonts w:ascii="Arial Narrow" w:hAnsi="Arial Narrow" w:cs="Times New Roman"/>
                <w:b w:val="0"/>
                <w:bCs/>
                <w:sz w:val="18"/>
                <w:szCs w:val="18"/>
              </w:rPr>
              <w:t xml:space="preserve"> national consultants</w:t>
            </w:r>
            <w:r>
              <w:rPr>
                <w:rFonts w:ascii="Arial Narrow" w:hAnsi="Arial Narrow" w:cs="Times New Roman"/>
                <w:b w:val="0"/>
                <w:bCs/>
                <w:sz w:val="18"/>
                <w:szCs w:val="18"/>
              </w:rPr>
              <w:t xml:space="preserve"> (part-time)</w:t>
            </w:r>
            <w:r w:rsidRPr="0000438F">
              <w:rPr>
                <w:rFonts w:ascii="Arial Narrow" w:hAnsi="Arial Narrow" w:cs="Times New Roman"/>
                <w:b w:val="0"/>
                <w:bCs/>
                <w:sz w:val="18"/>
                <w:szCs w:val="18"/>
              </w:rPr>
              <w:t xml:space="preserve"> will be </w:t>
            </w:r>
            <w:r>
              <w:rPr>
                <w:rFonts w:ascii="Arial Narrow" w:hAnsi="Arial Narrow" w:cs="Times New Roman"/>
                <w:b w:val="0"/>
                <w:bCs/>
                <w:sz w:val="18"/>
                <w:szCs w:val="18"/>
              </w:rPr>
              <w:t xml:space="preserve">hired </w:t>
            </w:r>
            <w:r w:rsidRPr="0000438F">
              <w:rPr>
                <w:rFonts w:ascii="Arial Narrow" w:hAnsi="Arial Narrow" w:cs="Times New Roman"/>
                <w:b w:val="0"/>
                <w:bCs/>
                <w:sz w:val="18"/>
                <w:szCs w:val="18"/>
              </w:rPr>
              <w:t xml:space="preserve">to support effective rollout and functionality of the </w:t>
            </w:r>
            <w:proofErr w:type="spellStart"/>
            <w:r w:rsidRPr="0000438F">
              <w:rPr>
                <w:rFonts w:ascii="Arial Narrow" w:hAnsi="Arial Narrow" w:cs="Times New Roman"/>
                <w:b w:val="0"/>
                <w:bCs/>
                <w:sz w:val="18"/>
                <w:szCs w:val="18"/>
              </w:rPr>
              <w:t>Xpert</w:t>
            </w:r>
            <w:proofErr w:type="spellEnd"/>
            <w:r w:rsidRPr="0000438F">
              <w:rPr>
                <w:rFonts w:ascii="Arial Narrow" w:hAnsi="Arial Narrow" w:cs="Times New Roman"/>
                <w:b w:val="0"/>
                <w:bCs/>
                <w:sz w:val="18"/>
                <w:szCs w:val="18"/>
              </w:rPr>
              <w:t xml:space="preserve"> technology at the peripheral TB service delivery (district level) facilities, in the penitentiary system and HIV/AIDS service, and oversee the implementation of the new diagnostic algorithm.</w:t>
            </w:r>
            <w:proofErr w:type="gramEnd"/>
            <w:r>
              <w:rPr>
                <w:rFonts w:ascii="Arial Narrow" w:hAnsi="Arial Narrow" w:cs="Times New Roman"/>
                <w:b w:val="0"/>
                <w:bCs/>
                <w:sz w:val="18"/>
                <w:szCs w:val="18"/>
              </w:rPr>
              <w:t xml:space="preserve"> </w:t>
            </w:r>
            <w:r w:rsidRPr="0000438F">
              <w:rPr>
                <w:rFonts w:ascii="Arial Narrow" w:hAnsi="Arial Narrow" w:cs="Times New Roman"/>
                <w:b w:val="0"/>
                <w:bCs/>
                <w:sz w:val="18"/>
                <w:szCs w:val="18"/>
              </w:rPr>
              <w:t>In addition</w:t>
            </w:r>
            <w:r>
              <w:rPr>
                <w:rFonts w:ascii="Arial Narrow" w:hAnsi="Arial Narrow" w:cs="Times New Roman"/>
                <w:b w:val="0"/>
                <w:bCs/>
                <w:sz w:val="18"/>
                <w:szCs w:val="18"/>
              </w:rPr>
              <w:t xml:space="preserve">, </w:t>
            </w:r>
            <w:r w:rsidRPr="0000438F">
              <w:rPr>
                <w:rFonts w:ascii="Arial Narrow" w:hAnsi="Arial Narrow" w:cs="Times New Roman"/>
                <w:b w:val="0"/>
                <w:bCs/>
                <w:sz w:val="18"/>
                <w:szCs w:val="18"/>
              </w:rPr>
              <w:t xml:space="preserve">in Year 1 monitoring visits by the oblast reference laboratories </w:t>
            </w:r>
            <w:proofErr w:type="gramStart"/>
            <w:r w:rsidRPr="0000438F">
              <w:rPr>
                <w:rFonts w:ascii="Arial Narrow" w:hAnsi="Arial Narrow" w:cs="Times New Roman"/>
                <w:b w:val="0"/>
                <w:bCs/>
                <w:sz w:val="18"/>
                <w:szCs w:val="18"/>
              </w:rPr>
              <w:t>will be conducted</w:t>
            </w:r>
            <w:proofErr w:type="gramEnd"/>
            <w:r w:rsidRPr="0000438F">
              <w:rPr>
                <w:rFonts w:ascii="Arial Narrow" w:hAnsi="Arial Narrow" w:cs="Times New Roman"/>
                <w:b w:val="0"/>
                <w:bCs/>
                <w:sz w:val="18"/>
                <w:szCs w:val="18"/>
              </w:rPr>
              <w:t xml:space="preserve"> to districts where new </w:t>
            </w:r>
            <w:proofErr w:type="spellStart"/>
            <w:r w:rsidRPr="0000438F">
              <w:rPr>
                <w:rFonts w:ascii="Arial Narrow" w:hAnsi="Arial Narrow" w:cs="Times New Roman"/>
                <w:b w:val="0"/>
                <w:bCs/>
                <w:sz w:val="18"/>
                <w:szCs w:val="18"/>
              </w:rPr>
              <w:t>Xpert</w:t>
            </w:r>
            <w:proofErr w:type="spellEnd"/>
            <w:r w:rsidRPr="0000438F">
              <w:rPr>
                <w:rFonts w:ascii="Arial Narrow" w:hAnsi="Arial Narrow" w:cs="Times New Roman"/>
                <w:b w:val="0"/>
                <w:bCs/>
                <w:sz w:val="18"/>
                <w:szCs w:val="18"/>
              </w:rPr>
              <w:t xml:space="preserve"> instruments will be installed, to support the local staff in the implementation of the new technology</w:t>
            </w:r>
            <w:r>
              <w:rPr>
                <w:rFonts w:ascii="Arial Narrow" w:hAnsi="Arial Narrow" w:cs="Times New Roman"/>
                <w:b w:val="0"/>
                <w:bCs/>
                <w:sz w:val="18"/>
                <w:szCs w:val="18"/>
              </w:rPr>
              <w:t>.</w:t>
            </w:r>
          </w:p>
        </w:tc>
        <w:tc>
          <w:tcPr>
            <w:tcW w:w="344" w:type="dxa"/>
            <w:shd w:val="clear" w:color="auto" w:fill="D9D9D9" w:themeFill="background1" w:themeFillShade="D9"/>
            <w:tcMar>
              <w:left w:w="28" w:type="dxa"/>
              <w:right w:w="28" w:type="dxa"/>
            </w:tcMar>
            <w:vAlign w:val="center"/>
          </w:tcPr>
          <w:p w14:paraId="2A39BA7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3B3D6EE"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5491E90"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1263356"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18C267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8AD3E6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93F2B0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7637407"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D67165E"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6D20E9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3863C79"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FCADFB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3637DF" w:rsidRPr="00263536" w14:paraId="0292CBBA" w14:textId="77777777" w:rsidTr="00B46482">
        <w:tc>
          <w:tcPr>
            <w:tcW w:w="560" w:type="dxa"/>
            <w:tcMar>
              <w:left w:w="28" w:type="dxa"/>
              <w:right w:w="28" w:type="dxa"/>
            </w:tcMar>
          </w:tcPr>
          <w:p w14:paraId="4409846A" w14:textId="1E4A8632" w:rsidR="003637DF" w:rsidRDefault="000A06B9"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2.1.3</w:t>
            </w:r>
          </w:p>
        </w:tc>
        <w:tc>
          <w:tcPr>
            <w:tcW w:w="1985" w:type="dxa"/>
            <w:tcMar>
              <w:left w:w="28" w:type="dxa"/>
              <w:right w:w="28" w:type="dxa"/>
            </w:tcMar>
          </w:tcPr>
          <w:p w14:paraId="3C29BE5C" w14:textId="4B74D507" w:rsidR="003637DF" w:rsidRDefault="000A06B9" w:rsidP="00835CCA">
            <w:pPr>
              <w:spacing w:before="40" w:after="40" w:line="240" w:lineRule="auto"/>
              <w:jc w:val="both"/>
              <w:rPr>
                <w:rFonts w:ascii="Arial Narrow" w:hAnsi="Arial Narrow" w:cs="Times New Roman"/>
                <w:b w:val="0"/>
                <w:bCs/>
                <w:sz w:val="18"/>
                <w:szCs w:val="18"/>
              </w:rPr>
            </w:pPr>
            <w:r w:rsidRPr="000A06B9">
              <w:rPr>
                <w:rFonts w:ascii="Arial Narrow" w:hAnsi="Arial Narrow" w:cs="Times New Roman"/>
                <w:b w:val="0"/>
                <w:bCs/>
                <w:sz w:val="18"/>
                <w:szCs w:val="18"/>
              </w:rPr>
              <w:t xml:space="preserve">After-sale service, maintenance, calibration and repairs for </w:t>
            </w:r>
            <w:proofErr w:type="spellStart"/>
            <w:r w:rsidRPr="000A06B9">
              <w:rPr>
                <w:rFonts w:ascii="Arial Narrow" w:hAnsi="Arial Narrow" w:cs="Times New Roman"/>
                <w:b w:val="0"/>
                <w:bCs/>
                <w:sz w:val="18"/>
                <w:szCs w:val="18"/>
              </w:rPr>
              <w:t>Xpert</w:t>
            </w:r>
            <w:proofErr w:type="spellEnd"/>
            <w:r w:rsidRPr="000A06B9">
              <w:rPr>
                <w:rFonts w:ascii="Arial Narrow" w:hAnsi="Arial Narrow" w:cs="Times New Roman"/>
                <w:b w:val="0"/>
                <w:bCs/>
                <w:sz w:val="18"/>
                <w:szCs w:val="18"/>
              </w:rPr>
              <w:t xml:space="preserve"> instruments</w:t>
            </w:r>
          </w:p>
        </w:tc>
        <w:tc>
          <w:tcPr>
            <w:tcW w:w="6448" w:type="dxa"/>
            <w:tcMar>
              <w:left w:w="28" w:type="dxa"/>
              <w:right w:w="28" w:type="dxa"/>
            </w:tcMar>
          </w:tcPr>
          <w:p w14:paraId="28789FD2" w14:textId="1F36D276" w:rsidR="003637DF" w:rsidRPr="0060605F" w:rsidRDefault="000A06B9" w:rsidP="00A43D01">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 xml:space="preserve">Includes 3 years warranty package for </w:t>
            </w:r>
            <w:proofErr w:type="spellStart"/>
            <w:r w:rsidRPr="0060605F">
              <w:rPr>
                <w:rFonts w:ascii="Arial Narrow" w:hAnsi="Arial Narrow" w:cs="Times New Roman"/>
                <w:b w:val="0"/>
                <w:bCs/>
                <w:sz w:val="18"/>
                <w:szCs w:val="18"/>
              </w:rPr>
              <w:t>Xpert</w:t>
            </w:r>
            <w:proofErr w:type="spellEnd"/>
            <w:r w:rsidRPr="0060605F">
              <w:rPr>
                <w:rFonts w:ascii="Arial Narrow" w:hAnsi="Arial Narrow" w:cs="Times New Roman"/>
                <w:b w:val="0"/>
                <w:bCs/>
                <w:sz w:val="18"/>
                <w:szCs w:val="18"/>
              </w:rPr>
              <w:t xml:space="preserve"> </w:t>
            </w:r>
            <w:proofErr w:type="spellStart"/>
            <w:r w:rsidRPr="0060605F">
              <w:rPr>
                <w:rFonts w:ascii="Arial Narrow" w:hAnsi="Arial Narrow" w:cs="Times New Roman"/>
                <w:b w:val="0"/>
                <w:bCs/>
                <w:sz w:val="18"/>
                <w:szCs w:val="18"/>
              </w:rPr>
              <w:t>equipments</w:t>
            </w:r>
            <w:proofErr w:type="spellEnd"/>
            <w:r w:rsidRPr="0060605F">
              <w:rPr>
                <w:rFonts w:ascii="Arial Narrow" w:hAnsi="Arial Narrow" w:cs="Times New Roman"/>
                <w:b w:val="0"/>
                <w:bCs/>
                <w:sz w:val="18"/>
                <w:szCs w:val="18"/>
              </w:rPr>
              <w:t xml:space="preserve"> procured before 2017 </w:t>
            </w:r>
            <w:proofErr w:type="gramStart"/>
            <w:r w:rsidRPr="0060605F">
              <w:rPr>
                <w:rFonts w:ascii="Arial Narrow" w:hAnsi="Arial Narrow" w:cs="Times New Roman"/>
                <w:b w:val="0"/>
                <w:bCs/>
                <w:sz w:val="18"/>
                <w:szCs w:val="18"/>
              </w:rPr>
              <w:t>( a</w:t>
            </w:r>
            <w:proofErr w:type="gramEnd"/>
            <w:r w:rsidRPr="0060605F">
              <w:rPr>
                <w:rFonts w:ascii="Arial Narrow" w:hAnsi="Arial Narrow" w:cs="Times New Roman"/>
                <w:b w:val="0"/>
                <w:bCs/>
                <w:sz w:val="18"/>
                <w:szCs w:val="18"/>
              </w:rPr>
              <w:t xml:space="preserve"> total of 23 machines with 88 modules, 21 with 4 modules and 2 with 2 modules). The standard GDF package includes calibration costs for </w:t>
            </w:r>
            <w:proofErr w:type="spellStart"/>
            <w:r w:rsidRPr="0060605F">
              <w:rPr>
                <w:rFonts w:ascii="Arial Narrow" w:hAnsi="Arial Narrow" w:cs="Times New Roman"/>
                <w:b w:val="0"/>
                <w:bCs/>
                <w:sz w:val="18"/>
                <w:szCs w:val="18"/>
              </w:rPr>
              <w:t>Xpert</w:t>
            </w:r>
            <w:proofErr w:type="spellEnd"/>
            <w:r w:rsidRPr="0060605F">
              <w:rPr>
                <w:rFonts w:ascii="Arial Narrow" w:hAnsi="Arial Narrow" w:cs="Times New Roman"/>
                <w:b w:val="0"/>
                <w:bCs/>
                <w:sz w:val="18"/>
                <w:szCs w:val="18"/>
              </w:rPr>
              <w:t xml:space="preserve"> instruments: calibration cartridges and replacement of modules; and other servicing, maintenance and minor repairs for instruments beyond the warranty period. Additionally costs for MMG engineer visits in territories for modules replacement are included, not covered by GDF warranty package (approx. 15% of the modules to replace during each year)</w:t>
            </w:r>
          </w:p>
        </w:tc>
        <w:tc>
          <w:tcPr>
            <w:tcW w:w="344" w:type="dxa"/>
            <w:shd w:val="clear" w:color="auto" w:fill="D9D9D9" w:themeFill="background1" w:themeFillShade="D9"/>
            <w:tcMar>
              <w:left w:w="28" w:type="dxa"/>
              <w:right w:w="28" w:type="dxa"/>
            </w:tcMar>
            <w:vAlign w:val="center"/>
          </w:tcPr>
          <w:p w14:paraId="3698114F"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2DCCB43"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B6E685C"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5A672E9"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5D9304D2"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C2CE49F"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14B9D07"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CD3D35C"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56044A5"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593627B6"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D9E4CAF"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CF087B4" w14:textId="77777777" w:rsidR="003637DF" w:rsidRPr="00263536" w:rsidRDefault="003637DF" w:rsidP="00E03F7A">
            <w:pPr>
              <w:spacing w:before="40" w:after="40" w:line="240" w:lineRule="auto"/>
              <w:jc w:val="center"/>
              <w:rPr>
                <w:rFonts w:ascii="Arial Narrow" w:hAnsi="Arial Narrow" w:cs="Times New Roman"/>
                <w:b w:val="0"/>
                <w:bCs/>
                <w:sz w:val="18"/>
                <w:szCs w:val="18"/>
              </w:rPr>
            </w:pPr>
          </w:p>
        </w:tc>
      </w:tr>
      <w:tr w:rsidR="00E03F7A" w:rsidRPr="00263536" w14:paraId="56488208" w14:textId="77777777" w:rsidTr="00B46482">
        <w:tc>
          <w:tcPr>
            <w:tcW w:w="560" w:type="dxa"/>
            <w:tcMar>
              <w:left w:w="28" w:type="dxa"/>
              <w:right w:w="28" w:type="dxa"/>
            </w:tcMar>
          </w:tcPr>
          <w:p w14:paraId="087EFB2C" w14:textId="03D8102B" w:rsidR="00E03F7A" w:rsidRPr="00263536" w:rsidRDefault="00E03F7A" w:rsidP="00D71BD1">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2.1.</w:t>
            </w:r>
            <w:r w:rsidR="00D71BD1">
              <w:rPr>
                <w:rFonts w:ascii="Arial Narrow" w:hAnsi="Arial Narrow" w:cs="Times New Roman"/>
                <w:b w:val="0"/>
                <w:bCs/>
                <w:sz w:val="18"/>
                <w:szCs w:val="18"/>
              </w:rPr>
              <w:t>4</w:t>
            </w:r>
          </w:p>
        </w:tc>
        <w:tc>
          <w:tcPr>
            <w:tcW w:w="1985" w:type="dxa"/>
            <w:tcMar>
              <w:left w:w="28" w:type="dxa"/>
              <w:right w:w="28" w:type="dxa"/>
            </w:tcMar>
          </w:tcPr>
          <w:p w14:paraId="0A767345" w14:textId="4B9BF8DF" w:rsidR="00E03F7A" w:rsidRPr="00263536" w:rsidRDefault="00E03F7A" w:rsidP="00835CCA">
            <w:pPr>
              <w:spacing w:before="40" w:after="40" w:line="240" w:lineRule="auto"/>
              <w:jc w:val="both"/>
              <w:rPr>
                <w:rFonts w:ascii="Arial Narrow" w:hAnsi="Arial Narrow" w:cs="Times New Roman"/>
                <w:b w:val="0"/>
                <w:bCs/>
                <w:sz w:val="18"/>
                <w:szCs w:val="18"/>
              </w:rPr>
            </w:pPr>
            <w:proofErr w:type="spellStart"/>
            <w:r w:rsidRPr="009117B8">
              <w:rPr>
                <w:rFonts w:ascii="Arial Narrow" w:hAnsi="Arial Narrow" w:cs="Times New Roman"/>
                <w:b w:val="0"/>
                <w:bCs/>
                <w:sz w:val="18"/>
                <w:szCs w:val="18"/>
              </w:rPr>
              <w:t>Xpert</w:t>
            </w:r>
            <w:proofErr w:type="spellEnd"/>
            <w:r w:rsidRPr="009117B8">
              <w:rPr>
                <w:rFonts w:ascii="Arial Narrow" w:hAnsi="Arial Narrow" w:cs="Times New Roman"/>
                <w:b w:val="0"/>
                <w:bCs/>
                <w:sz w:val="18"/>
                <w:szCs w:val="18"/>
              </w:rPr>
              <w:t xml:space="preserve"> MTB/RIF </w:t>
            </w:r>
            <w:r w:rsidR="00B66E13">
              <w:rPr>
                <w:rFonts w:ascii="Arial Narrow" w:hAnsi="Arial Narrow" w:cs="Times New Roman"/>
                <w:b w:val="0"/>
                <w:bCs/>
                <w:sz w:val="18"/>
                <w:szCs w:val="18"/>
              </w:rPr>
              <w:t>investigations</w:t>
            </w:r>
            <w:r w:rsidR="0000438F">
              <w:rPr>
                <w:rFonts w:ascii="Arial Narrow" w:hAnsi="Arial Narrow" w:cs="Times New Roman"/>
                <w:b w:val="0"/>
                <w:bCs/>
                <w:sz w:val="18"/>
                <w:szCs w:val="18"/>
              </w:rPr>
              <w:t xml:space="preserve"> </w:t>
            </w:r>
            <w:r w:rsidR="00B66E13">
              <w:rPr>
                <w:rFonts w:ascii="Arial Narrow" w:hAnsi="Arial Narrow" w:cs="Times New Roman"/>
                <w:b w:val="0"/>
                <w:bCs/>
                <w:sz w:val="18"/>
                <w:szCs w:val="18"/>
              </w:rPr>
              <w:t>in</w:t>
            </w:r>
            <w:r>
              <w:rPr>
                <w:rFonts w:ascii="Arial Narrow" w:hAnsi="Arial Narrow" w:cs="Times New Roman"/>
                <w:b w:val="0"/>
                <w:bCs/>
                <w:sz w:val="18"/>
                <w:szCs w:val="18"/>
              </w:rPr>
              <w:t xml:space="preserve"> </w:t>
            </w:r>
            <w:r w:rsidR="0000438F">
              <w:rPr>
                <w:rFonts w:ascii="Arial Narrow" w:hAnsi="Arial Narrow" w:cs="Times New Roman"/>
                <w:b w:val="0"/>
                <w:bCs/>
                <w:sz w:val="18"/>
                <w:szCs w:val="18"/>
              </w:rPr>
              <w:t xml:space="preserve">the </w:t>
            </w:r>
            <w:r>
              <w:rPr>
                <w:rFonts w:ascii="Arial Narrow" w:hAnsi="Arial Narrow" w:cs="Times New Roman"/>
                <w:b w:val="0"/>
                <w:bCs/>
                <w:sz w:val="18"/>
                <w:szCs w:val="18"/>
              </w:rPr>
              <w:t xml:space="preserve">penitentiary </w:t>
            </w:r>
            <w:r w:rsidR="0000438F">
              <w:rPr>
                <w:rFonts w:ascii="Arial Narrow" w:hAnsi="Arial Narrow" w:cs="Times New Roman"/>
                <w:b w:val="0"/>
                <w:bCs/>
                <w:sz w:val="18"/>
                <w:szCs w:val="18"/>
              </w:rPr>
              <w:t>sector</w:t>
            </w:r>
          </w:p>
        </w:tc>
        <w:tc>
          <w:tcPr>
            <w:tcW w:w="6448" w:type="dxa"/>
            <w:tcMar>
              <w:left w:w="28" w:type="dxa"/>
              <w:right w:w="28" w:type="dxa"/>
            </w:tcMar>
          </w:tcPr>
          <w:p w14:paraId="7D30DEF3" w14:textId="16D1D7FA" w:rsidR="0000438F" w:rsidRPr="0060605F" w:rsidRDefault="0000438F" w:rsidP="00F33584">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 xml:space="preserve">Procurement of </w:t>
            </w:r>
            <w:proofErr w:type="spellStart"/>
            <w:r w:rsidRPr="0060605F">
              <w:rPr>
                <w:rFonts w:ascii="Arial Narrow" w:hAnsi="Arial Narrow" w:cs="Times New Roman"/>
                <w:b w:val="0"/>
                <w:bCs/>
                <w:sz w:val="18"/>
                <w:szCs w:val="18"/>
              </w:rPr>
              <w:t>Xpert</w:t>
            </w:r>
            <w:proofErr w:type="spellEnd"/>
            <w:r w:rsidRPr="0060605F">
              <w:rPr>
                <w:rFonts w:ascii="Arial Narrow" w:hAnsi="Arial Narrow" w:cs="Times New Roman"/>
                <w:b w:val="0"/>
                <w:bCs/>
                <w:sz w:val="18"/>
                <w:szCs w:val="18"/>
              </w:rPr>
              <w:t xml:space="preserve"> MTB/RIF cartridges for the penitentiary sector. </w:t>
            </w:r>
            <w:r w:rsidR="00B46482" w:rsidRPr="0060605F">
              <w:rPr>
                <w:rFonts w:ascii="Arial Narrow" w:hAnsi="Arial Narrow" w:cs="Times New Roman"/>
                <w:b w:val="0"/>
                <w:bCs/>
                <w:sz w:val="18"/>
                <w:szCs w:val="18"/>
              </w:rPr>
              <w:t>TGF will cover 100% of needs in Years 1-2 (2020-2021), with the state budget taking over to transition starting</w:t>
            </w:r>
            <w:r w:rsidR="008A0781" w:rsidRPr="0060605F">
              <w:rPr>
                <w:rFonts w:ascii="Arial Narrow" w:hAnsi="Arial Narrow" w:cs="Times New Roman"/>
                <w:b w:val="0"/>
                <w:bCs/>
                <w:sz w:val="18"/>
                <w:szCs w:val="18"/>
              </w:rPr>
              <w:t xml:space="preserve"> with</w:t>
            </w:r>
            <w:r w:rsidR="00B46482" w:rsidRPr="0060605F">
              <w:rPr>
                <w:rFonts w:ascii="Arial Narrow" w:hAnsi="Arial Narrow" w:cs="Times New Roman"/>
                <w:b w:val="0"/>
                <w:bCs/>
                <w:sz w:val="18"/>
                <w:szCs w:val="18"/>
              </w:rPr>
              <w:t xml:space="preserve"> 202</w:t>
            </w:r>
            <w:r w:rsidR="00F33584" w:rsidRPr="0060605F">
              <w:rPr>
                <w:rFonts w:ascii="Arial Narrow" w:hAnsi="Arial Narrow" w:cs="Times New Roman"/>
                <w:b w:val="0"/>
                <w:bCs/>
                <w:sz w:val="18"/>
                <w:szCs w:val="18"/>
              </w:rPr>
              <w:t>2</w:t>
            </w:r>
            <w:r w:rsidR="00B46482" w:rsidRPr="0060605F">
              <w:rPr>
                <w:rFonts w:ascii="Arial Narrow" w:hAnsi="Arial Narrow" w:cs="Times New Roman"/>
                <w:b w:val="0"/>
                <w:bCs/>
                <w:sz w:val="18"/>
                <w:szCs w:val="18"/>
              </w:rPr>
              <w:t>.</w:t>
            </w:r>
          </w:p>
        </w:tc>
        <w:tc>
          <w:tcPr>
            <w:tcW w:w="344" w:type="dxa"/>
            <w:shd w:val="clear" w:color="auto" w:fill="auto"/>
            <w:tcMar>
              <w:left w:w="28" w:type="dxa"/>
              <w:right w:w="28" w:type="dxa"/>
            </w:tcMar>
            <w:vAlign w:val="center"/>
          </w:tcPr>
          <w:p w14:paraId="56E61C04"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4CDBC8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3C5DF7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91B4F1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7B71F37"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73581B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ABDD8F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03A52C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8857EB8"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45B330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9C29499"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8CB9CB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4E1AB0AD" w14:textId="77777777" w:rsidTr="00B46482">
        <w:tc>
          <w:tcPr>
            <w:tcW w:w="560" w:type="dxa"/>
            <w:tcMar>
              <w:left w:w="28" w:type="dxa"/>
              <w:right w:w="28" w:type="dxa"/>
            </w:tcMar>
          </w:tcPr>
          <w:p w14:paraId="36B14D6A" w14:textId="40061C9E" w:rsidR="00E03F7A" w:rsidRPr="00263536" w:rsidRDefault="00E03F7A" w:rsidP="00D71BD1">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2.1.</w:t>
            </w:r>
            <w:r w:rsidR="00D71BD1">
              <w:rPr>
                <w:rFonts w:ascii="Arial Narrow" w:hAnsi="Arial Narrow" w:cs="Times New Roman"/>
                <w:b w:val="0"/>
                <w:bCs/>
                <w:sz w:val="18"/>
                <w:szCs w:val="18"/>
              </w:rPr>
              <w:t>5</w:t>
            </w:r>
          </w:p>
        </w:tc>
        <w:tc>
          <w:tcPr>
            <w:tcW w:w="1985" w:type="dxa"/>
            <w:tcMar>
              <w:left w:w="28" w:type="dxa"/>
              <w:right w:w="28" w:type="dxa"/>
            </w:tcMar>
          </w:tcPr>
          <w:p w14:paraId="4AF3B38C" w14:textId="40997386" w:rsidR="00E03F7A" w:rsidRPr="00263536" w:rsidRDefault="00E03F7A" w:rsidP="00835CCA">
            <w:pPr>
              <w:spacing w:before="40" w:after="40" w:line="240" w:lineRule="auto"/>
              <w:jc w:val="both"/>
              <w:rPr>
                <w:rFonts w:ascii="Arial Narrow" w:hAnsi="Arial Narrow" w:cs="Times New Roman"/>
                <w:b w:val="0"/>
                <w:bCs/>
                <w:sz w:val="18"/>
                <w:szCs w:val="18"/>
              </w:rPr>
            </w:pPr>
            <w:r w:rsidRPr="009117B8">
              <w:rPr>
                <w:rFonts w:ascii="Arial Narrow" w:hAnsi="Arial Narrow" w:cs="Times New Roman"/>
                <w:b w:val="0"/>
                <w:bCs/>
                <w:sz w:val="18"/>
                <w:szCs w:val="18"/>
              </w:rPr>
              <w:t>Isolation of strains in liquid culture and DST (automate</w:t>
            </w:r>
            <w:r>
              <w:rPr>
                <w:rFonts w:ascii="Arial Narrow" w:hAnsi="Arial Narrow" w:cs="Times New Roman"/>
                <w:b w:val="0"/>
                <w:bCs/>
                <w:sz w:val="18"/>
                <w:szCs w:val="18"/>
              </w:rPr>
              <w:t>d MGIT)</w:t>
            </w:r>
            <w:r w:rsidR="00B66E13">
              <w:rPr>
                <w:rFonts w:ascii="Arial Narrow" w:hAnsi="Arial Narrow" w:cs="Times New Roman"/>
                <w:b w:val="0"/>
                <w:bCs/>
                <w:sz w:val="18"/>
                <w:szCs w:val="18"/>
              </w:rPr>
              <w:t xml:space="preserve"> investigations</w:t>
            </w:r>
            <w:r>
              <w:rPr>
                <w:rFonts w:ascii="Arial Narrow" w:hAnsi="Arial Narrow" w:cs="Times New Roman"/>
                <w:b w:val="0"/>
                <w:bCs/>
                <w:sz w:val="18"/>
                <w:szCs w:val="18"/>
              </w:rPr>
              <w:t xml:space="preserve"> </w:t>
            </w:r>
            <w:r w:rsidR="00B66E13">
              <w:rPr>
                <w:rFonts w:ascii="Arial Narrow" w:hAnsi="Arial Narrow" w:cs="Times New Roman"/>
                <w:b w:val="0"/>
                <w:bCs/>
                <w:sz w:val="18"/>
                <w:szCs w:val="18"/>
              </w:rPr>
              <w:t>in</w:t>
            </w:r>
            <w:r>
              <w:rPr>
                <w:rFonts w:ascii="Arial Narrow" w:hAnsi="Arial Narrow" w:cs="Times New Roman"/>
                <w:b w:val="0"/>
                <w:bCs/>
                <w:sz w:val="18"/>
                <w:szCs w:val="18"/>
              </w:rPr>
              <w:t xml:space="preserve"> </w:t>
            </w:r>
            <w:r w:rsidR="00B66E13">
              <w:rPr>
                <w:rFonts w:ascii="Arial Narrow" w:hAnsi="Arial Narrow" w:cs="Times New Roman"/>
                <w:b w:val="0"/>
                <w:bCs/>
                <w:sz w:val="18"/>
                <w:szCs w:val="18"/>
              </w:rPr>
              <w:t xml:space="preserve">the </w:t>
            </w:r>
            <w:r>
              <w:rPr>
                <w:rFonts w:ascii="Arial Narrow" w:hAnsi="Arial Narrow" w:cs="Times New Roman"/>
                <w:b w:val="0"/>
                <w:bCs/>
                <w:sz w:val="18"/>
                <w:szCs w:val="18"/>
              </w:rPr>
              <w:t>penitentiary sector</w:t>
            </w:r>
          </w:p>
        </w:tc>
        <w:tc>
          <w:tcPr>
            <w:tcW w:w="6448" w:type="dxa"/>
            <w:tcMar>
              <w:left w:w="28" w:type="dxa"/>
              <w:right w:w="28" w:type="dxa"/>
            </w:tcMar>
          </w:tcPr>
          <w:p w14:paraId="023BEC1D" w14:textId="0B575F4D" w:rsidR="0000438F" w:rsidRPr="0060605F" w:rsidRDefault="0000438F" w:rsidP="00C95E17">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Procurement of consumables for isolation of strains in liquid culture and DST to first-line and second-line drugs by automated MGIT (Bactec-960) for the penitentiary sector, at the central prison bacteriological laboratory in Karaganda.</w:t>
            </w:r>
            <w:r w:rsidR="00B66E13" w:rsidRPr="0060605F">
              <w:rPr>
                <w:rFonts w:ascii="Arial Narrow" w:hAnsi="Arial Narrow" w:cs="Times New Roman"/>
                <w:b w:val="0"/>
                <w:bCs/>
                <w:sz w:val="18"/>
                <w:szCs w:val="18"/>
              </w:rPr>
              <w:t xml:space="preserve"> </w:t>
            </w:r>
            <w:r w:rsidR="006A086A" w:rsidRPr="0060605F">
              <w:rPr>
                <w:rFonts w:ascii="Arial Narrow" w:hAnsi="Arial Narrow" w:cs="Times New Roman"/>
                <w:b w:val="0"/>
                <w:bCs/>
                <w:sz w:val="18"/>
                <w:szCs w:val="18"/>
              </w:rPr>
              <w:t xml:space="preserve">TGF will cover 100% of needs in Years 1-2 (2020-2021), with the state budget taking over to transition starting </w:t>
            </w:r>
            <w:r w:rsidR="008A0781" w:rsidRPr="0060605F">
              <w:rPr>
                <w:rFonts w:ascii="Arial Narrow" w:hAnsi="Arial Narrow" w:cs="Times New Roman"/>
                <w:b w:val="0"/>
                <w:bCs/>
                <w:sz w:val="18"/>
                <w:szCs w:val="18"/>
              </w:rPr>
              <w:t xml:space="preserve">with </w:t>
            </w:r>
            <w:r w:rsidR="006A086A" w:rsidRPr="0060605F">
              <w:rPr>
                <w:rFonts w:ascii="Arial Narrow" w:hAnsi="Arial Narrow" w:cs="Times New Roman"/>
                <w:b w:val="0"/>
                <w:bCs/>
                <w:sz w:val="18"/>
                <w:szCs w:val="18"/>
              </w:rPr>
              <w:t>2022.</w:t>
            </w:r>
          </w:p>
        </w:tc>
        <w:tc>
          <w:tcPr>
            <w:tcW w:w="344" w:type="dxa"/>
            <w:shd w:val="clear" w:color="auto" w:fill="auto"/>
            <w:tcMar>
              <w:left w:w="28" w:type="dxa"/>
              <w:right w:w="28" w:type="dxa"/>
            </w:tcMar>
            <w:vAlign w:val="center"/>
          </w:tcPr>
          <w:p w14:paraId="4FDDB760"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7D0C97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FCE118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F8266F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8B406B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D735CA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DB70E6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2B11A3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F4715F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52316E6"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E3251C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B78A33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177505CC" w14:textId="77777777" w:rsidTr="00B46482">
        <w:tc>
          <w:tcPr>
            <w:tcW w:w="560" w:type="dxa"/>
            <w:tcMar>
              <w:left w:w="28" w:type="dxa"/>
              <w:right w:w="28" w:type="dxa"/>
            </w:tcMar>
          </w:tcPr>
          <w:p w14:paraId="70F8B70F" w14:textId="0EEE3C0F" w:rsidR="00E03F7A" w:rsidRPr="00263536" w:rsidRDefault="00E03F7A" w:rsidP="00D71BD1">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2.1.</w:t>
            </w:r>
            <w:r w:rsidR="00D71BD1">
              <w:rPr>
                <w:rFonts w:ascii="Arial Narrow" w:hAnsi="Arial Narrow" w:cs="Times New Roman"/>
                <w:b w:val="0"/>
                <w:bCs/>
                <w:sz w:val="18"/>
                <w:szCs w:val="18"/>
              </w:rPr>
              <w:t>6</w:t>
            </w:r>
          </w:p>
        </w:tc>
        <w:tc>
          <w:tcPr>
            <w:tcW w:w="1985" w:type="dxa"/>
            <w:tcMar>
              <w:left w:w="28" w:type="dxa"/>
              <w:right w:w="28" w:type="dxa"/>
            </w:tcMar>
          </w:tcPr>
          <w:p w14:paraId="1093AEF7" w14:textId="242844AF" w:rsidR="00E03F7A" w:rsidRPr="00263536" w:rsidRDefault="00E03F7A" w:rsidP="00835CCA">
            <w:pPr>
              <w:spacing w:before="40" w:after="40" w:line="240" w:lineRule="auto"/>
              <w:jc w:val="both"/>
              <w:rPr>
                <w:rFonts w:ascii="Arial Narrow" w:hAnsi="Arial Narrow" w:cs="Times New Roman"/>
                <w:b w:val="0"/>
                <w:bCs/>
                <w:sz w:val="18"/>
                <w:szCs w:val="18"/>
              </w:rPr>
            </w:pPr>
            <w:proofErr w:type="spellStart"/>
            <w:r w:rsidRPr="009117B8">
              <w:rPr>
                <w:rFonts w:ascii="Arial Narrow" w:hAnsi="Arial Narrow" w:cs="Times New Roman"/>
                <w:b w:val="0"/>
                <w:bCs/>
                <w:sz w:val="18"/>
                <w:szCs w:val="18"/>
              </w:rPr>
              <w:t>M.Tb</w:t>
            </w:r>
            <w:proofErr w:type="spellEnd"/>
            <w:r w:rsidRPr="009117B8">
              <w:rPr>
                <w:rFonts w:ascii="Arial Narrow" w:hAnsi="Arial Narrow" w:cs="Times New Roman"/>
                <w:b w:val="0"/>
                <w:bCs/>
                <w:sz w:val="18"/>
                <w:szCs w:val="18"/>
              </w:rPr>
              <w:t xml:space="preserve"> identification and DST to FLD</w:t>
            </w:r>
            <w:r w:rsidR="00B66E13">
              <w:rPr>
                <w:rFonts w:ascii="Arial Narrow" w:hAnsi="Arial Narrow" w:cs="Times New Roman"/>
                <w:b w:val="0"/>
                <w:bCs/>
                <w:sz w:val="18"/>
                <w:szCs w:val="18"/>
              </w:rPr>
              <w:t>s</w:t>
            </w:r>
            <w:r w:rsidRPr="009117B8">
              <w:rPr>
                <w:rFonts w:ascii="Arial Narrow" w:hAnsi="Arial Narrow" w:cs="Times New Roman"/>
                <w:b w:val="0"/>
                <w:bCs/>
                <w:sz w:val="18"/>
                <w:szCs w:val="18"/>
              </w:rPr>
              <w:t xml:space="preserve"> and SLD</w:t>
            </w:r>
            <w:r w:rsidR="00B66E13">
              <w:rPr>
                <w:rFonts w:ascii="Arial Narrow" w:hAnsi="Arial Narrow" w:cs="Times New Roman"/>
                <w:b w:val="0"/>
                <w:bCs/>
                <w:sz w:val="18"/>
                <w:szCs w:val="18"/>
              </w:rPr>
              <w:t>s</w:t>
            </w:r>
            <w:r w:rsidRPr="009117B8">
              <w:rPr>
                <w:rFonts w:ascii="Arial Narrow" w:hAnsi="Arial Narrow" w:cs="Times New Roman"/>
                <w:b w:val="0"/>
                <w:bCs/>
                <w:sz w:val="18"/>
                <w:szCs w:val="18"/>
              </w:rPr>
              <w:t xml:space="preserve"> (LP</w:t>
            </w:r>
            <w:r>
              <w:rPr>
                <w:rFonts w:ascii="Arial Narrow" w:hAnsi="Arial Narrow" w:cs="Times New Roman"/>
                <w:b w:val="0"/>
                <w:bCs/>
                <w:sz w:val="18"/>
                <w:szCs w:val="18"/>
              </w:rPr>
              <w:t xml:space="preserve">A </w:t>
            </w:r>
            <w:proofErr w:type="spellStart"/>
            <w:r>
              <w:rPr>
                <w:rFonts w:ascii="Arial Narrow" w:hAnsi="Arial Narrow" w:cs="Times New Roman"/>
                <w:b w:val="0"/>
                <w:bCs/>
                <w:sz w:val="18"/>
                <w:szCs w:val="18"/>
              </w:rPr>
              <w:t>Hain</w:t>
            </w:r>
            <w:proofErr w:type="spellEnd"/>
            <w:r>
              <w:rPr>
                <w:rFonts w:ascii="Arial Narrow" w:hAnsi="Arial Narrow" w:cs="Times New Roman"/>
                <w:b w:val="0"/>
                <w:bCs/>
                <w:sz w:val="18"/>
                <w:szCs w:val="18"/>
              </w:rPr>
              <w:t xml:space="preserve">) </w:t>
            </w:r>
            <w:r w:rsidR="00B66E13">
              <w:rPr>
                <w:rFonts w:ascii="Arial Narrow" w:hAnsi="Arial Narrow" w:cs="Times New Roman"/>
                <w:b w:val="0"/>
                <w:bCs/>
                <w:sz w:val="18"/>
                <w:szCs w:val="18"/>
              </w:rPr>
              <w:t xml:space="preserve">investigations in the </w:t>
            </w:r>
            <w:r>
              <w:rPr>
                <w:rFonts w:ascii="Arial Narrow" w:hAnsi="Arial Narrow" w:cs="Times New Roman"/>
                <w:b w:val="0"/>
                <w:bCs/>
                <w:sz w:val="18"/>
                <w:szCs w:val="18"/>
              </w:rPr>
              <w:t>penitentiary sector</w:t>
            </w:r>
          </w:p>
        </w:tc>
        <w:tc>
          <w:tcPr>
            <w:tcW w:w="6448" w:type="dxa"/>
            <w:tcMar>
              <w:left w:w="28" w:type="dxa"/>
              <w:right w:w="28" w:type="dxa"/>
            </w:tcMar>
          </w:tcPr>
          <w:p w14:paraId="0CABFE98" w14:textId="31EFB968" w:rsidR="00B66E13" w:rsidRPr="0060605F" w:rsidRDefault="00E03F7A" w:rsidP="00A43D01">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 xml:space="preserve">Procurement of consumables for </w:t>
            </w:r>
            <w:proofErr w:type="spellStart"/>
            <w:r w:rsidR="00B66E13" w:rsidRPr="0060605F">
              <w:rPr>
                <w:rFonts w:ascii="Arial Narrow" w:hAnsi="Arial Narrow" w:cs="Times New Roman"/>
                <w:b w:val="0"/>
                <w:bCs/>
                <w:sz w:val="18"/>
                <w:szCs w:val="18"/>
              </w:rPr>
              <w:t>M.Tb</w:t>
            </w:r>
            <w:proofErr w:type="spellEnd"/>
            <w:r w:rsidR="00B66E13" w:rsidRPr="0060605F">
              <w:rPr>
                <w:rFonts w:ascii="Arial Narrow" w:hAnsi="Arial Narrow" w:cs="Times New Roman"/>
                <w:b w:val="0"/>
                <w:bCs/>
                <w:sz w:val="18"/>
                <w:szCs w:val="18"/>
              </w:rPr>
              <w:t xml:space="preserve"> </w:t>
            </w:r>
            <w:r w:rsidRPr="0060605F">
              <w:rPr>
                <w:rFonts w:ascii="Arial Narrow" w:hAnsi="Arial Narrow" w:cs="Times New Roman"/>
                <w:b w:val="0"/>
                <w:bCs/>
                <w:sz w:val="18"/>
                <w:szCs w:val="18"/>
              </w:rPr>
              <w:t>identification</w:t>
            </w:r>
            <w:r w:rsidR="00B66E13" w:rsidRPr="0060605F">
              <w:rPr>
                <w:rFonts w:ascii="Arial Narrow" w:hAnsi="Arial Narrow" w:cs="Times New Roman"/>
                <w:b w:val="0"/>
                <w:bCs/>
                <w:sz w:val="18"/>
                <w:szCs w:val="18"/>
              </w:rPr>
              <w:t xml:space="preserve"> and DST to FLDs and SLDs by LPA (</w:t>
            </w:r>
            <w:proofErr w:type="spellStart"/>
            <w:r w:rsidR="00B66E13" w:rsidRPr="0060605F">
              <w:rPr>
                <w:rFonts w:ascii="Arial Narrow" w:hAnsi="Arial Narrow" w:cs="Times New Roman"/>
                <w:b w:val="0"/>
                <w:bCs/>
                <w:sz w:val="18"/>
                <w:szCs w:val="18"/>
              </w:rPr>
              <w:t>Hain</w:t>
            </w:r>
            <w:proofErr w:type="spellEnd"/>
            <w:r w:rsidR="00B66E13" w:rsidRPr="0060605F">
              <w:rPr>
                <w:rFonts w:ascii="Arial Narrow" w:hAnsi="Arial Narrow" w:cs="Times New Roman"/>
                <w:b w:val="0"/>
                <w:bCs/>
                <w:sz w:val="18"/>
                <w:szCs w:val="18"/>
              </w:rPr>
              <w:t>) method (</w:t>
            </w:r>
            <w:proofErr w:type="spellStart"/>
            <w:r w:rsidR="00B66E13" w:rsidRPr="0060605F">
              <w:rPr>
                <w:rFonts w:ascii="Arial Narrow" w:hAnsi="Arial Narrow" w:cs="Times New Roman"/>
                <w:b w:val="0"/>
                <w:bCs/>
                <w:sz w:val="18"/>
                <w:szCs w:val="18"/>
              </w:rPr>
              <w:t>MTBDRPlus</w:t>
            </w:r>
            <w:proofErr w:type="spellEnd"/>
            <w:r w:rsidR="00B66E13" w:rsidRPr="0060605F">
              <w:rPr>
                <w:rFonts w:ascii="Arial Narrow" w:hAnsi="Arial Narrow" w:cs="Times New Roman"/>
                <w:b w:val="0"/>
                <w:bCs/>
                <w:sz w:val="18"/>
                <w:szCs w:val="18"/>
              </w:rPr>
              <w:t xml:space="preserve"> and </w:t>
            </w:r>
            <w:proofErr w:type="spellStart"/>
            <w:r w:rsidR="00B66E13" w:rsidRPr="0060605F">
              <w:rPr>
                <w:rFonts w:ascii="Arial Narrow" w:hAnsi="Arial Narrow" w:cs="Times New Roman"/>
                <w:b w:val="0"/>
                <w:bCs/>
                <w:sz w:val="18"/>
                <w:szCs w:val="18"/>
              </w:rPr>
              <w:t>MTBDRsl</w:t>
            </w:r>
            <w:proofErr w:type="spellEnd"/>
            <w:r w:rsidR="00B66E13" w:rsidRPr="0060605F">
              <w:rPr>
                <w:rFonts w:ascii="Arial Narrow" w:hAnsi="Arial Narrow" w:cs="Times New Roman"/>
                <w:b w:val="0"/>
                <w:bCs/>
                <w:sz w:val="18"/>
                <w:szCs w:val="18"/>
              </w:rPr>
              <w:t xml:space="preserve"> tests) for the penitentiary sector, at the central prison bacteriological laboratory in Karaganda. </w:t>
            </w:r>
            <w:r w:rsidR="006A086A" w:rsidRPr="0060605F">
              <w:rPr>
                <w:rFonts w:ascii="Arial Narrow" w:hAnsi="Arial Narrow" w:cs="Times New Roman"/>
                <w:b w:val="0"/>
                <w:bCs/>
                <w:sz w:val="18"/>
                <w:szCs w:val="18"/>
              </w:rPr>
              <w:t xml:space="preserve">TGF will cover 100% of needs in Years 1-2 (2020-2021), with the state budget taking over to transition starting </w:t>
            </w:r>
            <w:r w:rsidR="008A0781" w:rsidRPr="0060605F">
              <w:rPr>
                <w:rFonts w:ascii="Arial Narrow" w:hAnsi="Arial Narrow" w:cs="Times New Roman"/>
                <w:b w:val="0"/>
                <w:bCs/>
                <w:sz w:val="18"/>
                <w:szCs w:val="18"/>
              </w:rPr>
              <w:t xml:space="preserve">with </w:t>
            </w:r>
            <w:r w:rsidR="006A086A" w:rsidRPr="0060605F">
              <w:rPr>
                <w:rFonts w:ascii="Arial Narrow" w:hAnsi="Arial Narrow" w:cs="Times New Roman"/>
                <w:b w:val="0"/>
                <w:bCs/>
                <w:sz w:val="18"/>
                <w:szCs w:val="18"/>
              </w:rPr>
              <w:t>2022.</w:t>
            </w:r>
          </w:p>
        </w:tc>
        <w:tc>
          <w:tcPr>
            <w:tcW w:w="344" w:type="dxa"/>
            <w:shd w:val="clear" w:color="auto" w:fill="auto"/>
            <w:tcMar>
              <w:left w:w="28" w:type="dxa"/>
              <w:right w:w="28" w:type="dxa"/>
            </w:tcMar>
            <w:vAlign w:val="center"/>
          </w:tcPr>
          <w:p w14:paraId="3D52BDE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2A4CE31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2B1F4A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004779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66C1D5E"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CAF664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FF2B3E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CECEBD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820EDD9"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2518E27"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DC72C5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CFD9620"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14DCC809" w14:textId="77777777" w:rsidTr="00B46482">
        <w:tc>
          <w:tcPr>
            <w:tcW w:w="560" w:type="dxa"/>
            <w:tcMar>
              <w:left w:w="28" w:type="dxa"/>
              <w:right w:w="28" w:type="dxa"/>
            </w:tcMar>
          </w:tcPr>
          <w:p w14:paraId="7F6C111D" w14:textId="08DD4503" w:rsidR="00E03F7A" w:rsidRPr="00263536" w:rsidRDefault="00E03F7A" w:rsidP="00D71BD1">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2.1.</w:t>
            </w:r>
            <w:r w:rsidR="00D71BD1">
              <w:rPr>
                <w:rFonts w:ascii="Arial Narrow" w:hAnsi="Arial Narrow" w:cs="Times New Roman"/>
                <w:b w:val="0"/>
                <w:bCs/>
                <w:sz w:val="18"/>
                <w:szCs w:val="18"/>
              </w:rPr>
              <w:t>7</w:t>
            </w:r>
          </w:p>
        </w:tc>
        <w:tc>
          <w:tcPr>
            <w:tcW w:w="1985" w:type="dxa"/>
            <w:tcMar>
              <w:left w:w="28" w:type="dxa"/>
              <w:right w:w="28" w:type="dxa"/>
            </w:tcMar>
          </w:tcPr>
          <w:p w14:paraId="6FD9739A" w14:textId="79B45B23" w:rsidR="00E03F7A" w:rsidRPr="00263536" w:rsidRDefault="00E03F7A" w:rsidP="00835CCA">
            <w:pPr>
              <w:spacing w:before="40" w:after="40" w:line="240" w:lineRule="auto"/>
              <w:jc w:val="both"/>
              <w:rPr>
                <w:rFonts w:ascii="Arial Narrow" w:hAnsi="Arial Narrow" w:cs="Times New Roman"/>
                <w:b w:val="0"/>
                <w:bCs/>
                <w:sz w:val="18"/>
                <w:szCs w:val="18"/>
              </w:rPr>
            </w:pPr>
            <w:r w:rsidRPr="009117B8">
              <w:rPr>
                <w:rFonts w:ascii="Arial Narrow" w:hAnsi="Arial Narrow" w:cs="Times New Roman"/>
                <w:b w:val="0"/>
                <w:bCs/>
                <w:sz w:val="18"/>
                <w:szCs w:val="18"/>
              </w:rPr>
              <w:t>Procurement of pure subst</w:t>
            </w:r>
            <w:r>
              <w:rPr>
                <w:rFonts w:ascii="Arial Narrow" w:hAnsi="Arial Narrow" w:cs="Times New Roman"/>
                <w:b w:val="0"/>
                <w:bCs/>
                <w:sz w:val="18"/>
                <w:szCs w:val="18"/>
              </w:rPr>
              <w:t xml:space="preserve">ance for </w:t>
            </w:r>
            <w:r w:rsidR="00E57280">
              <w:rPr>
                <w:rFonts w:ascii="Arial Narrow" w:hAnsi="Arial Narrow" w:cs="Times New Roman"/>
                <w:b w:val="0"/>
                <w:bCs/>
                <w:sz w:val="18"/>
                <w:szCs w:val="18"/>
              </w:rPr>
              <w:t>DST to new and repurposed drugs</w:t>
            </w:r>
          </w:p>
        </w:tc>
        <w:tc>
          <w:tcPr>
            <w:tcW w:w="6448" w:type="dxa"/>
            <w:tcMar>
              <w:left w:w="28" w:type="dxa"/>
              <w:right w:w="28" w:type="dxa"/>
            </w:tcMar>
          </w:tcPr>
          <w:p w14:paraId="0434D4B5" w14:textId="436F06A0" w:rsidR="00E57280" w:rsidRPr="00263536" w:rsidRDefault="00E57280" w:rsidP="00A43D01">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I</w:t>
            </w:r>
            <w:r w:rsidRPr="00E57280">
              <w:rPr>
                <w:rFonts w:ascii="Arial Narrow" w:hAnsi="Arial Narrow" w:cs="Times New Roman"/>
                <w:b w:val="0"/>
                <w:bCs/>
                <w:sz w:val="18"/>
                <w:szCs w:val="18"/>
              </w:rPr>
              <w:t>n line with the revised WHO recommendations for DR-TB management</w:t>
            </w:r>
            <w:r>
              <w:rPr>
                <w:rFonts w:ascii="Arial Narrow" w:hAnsi="Arial Narrow" w:cs="Times New Roman"/>
                <w:b w:val="0"/>
                <w:bCs/>
                <w:sz w:val="18"/>
                <w:szCs w:val="18"/>
              </w:rPr>
              <w:t xml:space="preserve"> and </w:t>
            </w:r>
            <w:r w:rsidRPr="00E57280">
              <w:rPr>
                <w:rFonts w:ascii="Arial Narrow" w:hAnsi="Arial Narrow" w:cs="Times New Roman"/>
                <w:b w:val="0"/>
                <w:bCs/>
                <w:sz w:val="18"/>
                <w:szCs w:val="18"/>
              </w:rPr>
              <w:t xml:space="preserve">new DST manual, the </w:t>
            </w:r>
            <w:r>
              <w:rPr>
                <w:rFonts w:ascii="Arial Narrow" w:hAnsi="Arial Narrow" w:cs="Times New Roman"/>
                <w:b w:val="0"/>
                <w:bCs/>
                <w:sz w:val="18"/>
                <w:szCs w:val="18"/>
              </w:rPr>
              <w:t xml:space="preserve">project will procure </w:t>
            </w:r>
            <w:r w:rsidRPr="00E57280">
              <w:rPr>
                <w:rFonts w:ascii="Arial Narrow" w:hAnsi="Arial Narrow" w:cs="Times New Roman"/>
                <w:b w:val="0"/>
                <w:bCs/>
                <w:sz w:val="18"/>
                <w:szCs w:val="18"/>
              </w:rPr>
              <w:t>pure substances for DST to new and repurposed drugs (</w:t>
            </w:r>
            <w:proofErr w:type="spellStart"/>
            <w:r w:rsidRPr="00E57280">
              <w:rPr>
                <w:rFonts w:ascii="Arial Narrow" w:hAnsi="Arial Narrow" w:cs="Times New Roman"/>
                <w:b w:val="0"/>
                <w:bCs/>
                <w:sz w:val="18"/>
                <w:szCs w:val="18"/>
              </w:rPr>
              <w:t>Mfx</w:t>
            </w:r>
            <w:proofErr w:type="spellEnd"/>
            <w:r w:rsidRPr="00E57280">
              <w:rPr>
                <w:rFonts w:ascii="Arial Narrow" w:hAnsi="Arial Narrow" w:cs="Times New Roman"/>
                <w:b w:val="0"/>
                <w:bCs/>
                <w:sz w:val="18"/>
                <w:szCs w:val="18"/>
              </w:rPr>
              <w:t>/</w:t>
            </w:r>
            <w:proofErr w:type="spellStart"/>
            <w:r w:rsidRPr="00E57280">
              <w:rPr>
                <w:rFonts w:ascii="Arial Narrow" w:hAnsi="Arial Narrow" w:cs="Times New Roman"/>
                <w:b w:val="0"/>
                <w:bCs/>
                <w:sz w:val="18"/>
                <w:szCs w:val="18"/>
              </w:rPr>
              <w:t>Lfx</w:t>
            </w:r>
            <w:proofErr w:type="spellEnd"/>
            <w:r w:rsidRPr="00E57280">
              <w:rPr>
                <w:rFonts w:ascii="Arial Narrow" w:hAnsi="Arial Narrow" w:cs="Times New Roman"/>
                <w:b w:val="0"/>
                <w:bCs/>
                <w:sz w:val="18"/>
                <w:szCs w:val="18"/>
              </w:rPr>
              <w:t xml:space="preserve">, </w:t>
            </w:r>
            <w:proofErr w:type="spellStart"/>
            <w:r w:rsidRPr="00E57280">
              <w:rPr>
                <w:rFonts w:ascii="Arial Narrow" w:hAnsi="Arial Narrow" w:cs="Times New Roman"/>
                <w:b w:val="0"/>
                <w:bCs/>
                <w:sz w:val="18"/>
                <w:szCs w:val="18"/>
              </w:rPr>
              <w:t>Bdq</w:t>
            </w:r>
            <w:proofErr w:type="spellEnd"/>
            <w:r w:rsidRPr="00E57280">
              <w:rPr>
                <w:rFonts w:ascii="Arial Narrow" w:hAnsi="Arial Narrow" w:cs="Times New Roman"/>
                <w:b w:val="0"/>
                <w:bCs/>
                <w:sz w:val="18"/>
                <w:szCs w:val="18"/>
              </w:rPr>
              <w:t xml:space="preserve">, </w:t>
            </w:r>
            <w:proofErr w:type="spellStart"/>
            <w:r w:rsidRPr="00E57280">
              <w:rPr>
                <w:rFonts w:ascii="Arial Narrow" w:hAnsi="Arial Narrow" w:cs="Times New Roman"/>
                <w:b w:val="0"/>
                <w:bCs/>
                <w:sz w:val="18"/>
                <w:szCs w:val="18"/>
              </w:rPr>
              <w:t>Lzd</w:t>
            </w:r>
            <w:proofErr w:type="spellEnd"/>
            <w:r w:rsidRPr="00E57280">
              <w:rPr>
                <w:rFonts w:ascii="Arial Narrow" w:hAnsi="Arial Narrow" w:cs="Times New Roman"/>
                <w:b w:val="0"/>
                <w:bCs/>
                <w:sz w:val="18"/>
                <w:szCs w:val="18"/>
              </w:rPr>
              <w:t xml:space="preserve">, </w:t>
            </w:r>
            <w:proofErr w:type="spellStart"/>
            <w:r w:rsidRPr="00E57280">
              <w:rPr>
                <w:rFonts w:ascii="Arial Narrow" w:hAnsi="Arial Narrow" w:cs="Times New Roman"/>
                <w:b w:val="0"/>
                <w:bCs/>
                <w:sz w:val="18"/>
                <w:szCs w:val="18"/>
              </w:rPr>
              <w:t>Cfz</w:t>
            </w:r>
            <w:proofErr w:type="spellEnd"/>
            <w:r w:rsidRPr="00E57280">
              <w:rPr>
                <w:rFonts w:ascii="Arial Narrow" w:hAnsi="Arial Narrow" w:cs="Times New Roman"/>
                <w:b w:val="0"/>
                <w:bCs/>
                <w:sz w:val="18"/>
                <w:szCs w:val="18"/>
              </w:rPr>
              <w:t xml:space="preserve"> </w:t>
            </w:r>
            <w:r w:rsidRPr="00E57280">
              <w:rPr>
                <w:rFonts w:ascii="Arial Narrow" w:hAnsi="Arial Narrow" w:cs="Times New Roman"/>
                <w:b w:val="0"/>
                <w:bCs/>
                <w:sz w:val="18"/>
                <w:szCs w:val="18"/>
              </w:rPr>
              <w:lastRenderedPageBreak/>
              <w:t xml:space="preserve">and </w:t>
            </w:r>
            <w:proofErr w:type="spellStart"/>
            <w:r w:rsidRPr="00E57280">
              <w:rPr>
                <w:rFonts w:ascii="Arial Narrow" w:hAnsi="Arial Narrow" w:cs="Times New Roman"/>
                <w:b w:val="0"/>
                <w:bCs/>
                <w:sz w:val="18"/>
                <w:szCs w:val="18"/>
              </w:rPr>
              <w:t>Dlm</w:t>
            </w:r>
            <w:proofErr w:type="spellEnd"/>
            <w:r w:rsidRPr="00E57280">
              <w:rPr>
                <w:rFonts w:ascii="Arial Narrow" w:hAnsi="Arial Narrow" w:cs="Times New Roman"/>
                <w:b w:val="0"/>
                <w:bCs/>
                <w:sz w:val="18"/>
                <w:szCs w:val="18"/>
              </w:rPr>
              <w:t>)</w:t>
            </w:r>
            <w:r>
              <w:rPr>
                <w:rFonts w:ascii="Arial Narrow" w:hAnsi="Arial Narrow" w:cs="Times New Roman"/>
                <w:b w:val="0"/>
                <w:bCs/>
                <w:sz w:val="18"/>
                <w:szCs w:val="18"/>
              </w:rPr>
              <w:t xml:space="preserve"> at </w:t>
            </w:r>
            <w:r w:rsidRPr="00E57280">
              <w:rPr>
                <w:rFonts w:ascii="Arial Narrow" w:hAnsi="Arial Narrow" w:cs="Times New Roman"/>
                <w:b w:val="0"/>
                <w:bCs/>
                <w:sz w:val="18"/>
                <w:szCs w:val="18"/>
              </w:rPr>
              <w:t>reference laboratories using MGIT. TGF support will cover 100% of countrywide needs in Years 1-2 (2020</w:t>
            </w:r>
            <w:r w:rsidR="00807FDF">
              <w:rPr>
                <w:rFonts w:ascii="Arial Narrow" w:hAnsi="Arial Narrow" w:cs="Times New Roman"/>
                <w:b w:val="0"/>
                <w:bCs/>
                <w:sz w:val="18"/>
                <w:szCs w:val="18"/>
              </w:rPr>
              <w:t xml:space="preserve">-2021), and the government will </w:t>
            </w:r>
            <w:r w:rsidRPr="00E57280">
              <w:rPr>
                <w:rFonts w:ascii="Arial Narrow" w:hAnsi="Arial Narrow" w:cs="Times New Roman"/>
                <w:b w:val="0"/>
                <w:bCs/>
                <w:sz w:val="18"/>
                <w:szCs w:val="18"/>
              </w:rPr>
              <w:t>ensure full takeover starting 2022.</w:t>
            </w:r>
          </w:p>
        </w:tc>
        <w:tc>
          <w:tcPr>
            <w:tcW w:w="344" w:type="dxa"/>
            <w:shd w:val="clear" w:color="auto" w:fill="auto"/>
            <w:tcMar>
              <w:left w:w="28" w:type="dxa"/>
              <w:right w:w="28" w:type="dxa"/>
            </w:tcMar>
            <w:vAlign w:val="center"/>
          </w:tcPr>
          <w:p w14:paraId="79D0DDA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CD4F8F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160ABC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4AB793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1551CB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93CC45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B445E1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8D9C20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4F5C9E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44EAB30"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909FA06"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EC98AB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4A33F204" w14:textId="77777777" w:rsidTr="00B46482">
        <w:tc>
          <w:tcPr>
            <w:tcW w:w="560" w:type="dxa"/>
            <w:tcMar>
              <w:left w:w="28" w:type="dxa"/>
              <w:right w:w="28" w:type="dxa"/>
            </w:tcMar>
          </w:tcPr>
          <w:p w14:paraId="74F2C47A" w14:textId="2FB241EB" w:rsidR="00E03F7A" w:rsidRPr="00263536" w:rsidRDefault="00E03F7A" w:rsidP="00D71BD1">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lastRenderedPageBreak/>
              <w:t>2.1.</w:t>
            </w:r>
            <w:r w:rsidR="00D71BD1">
              <w:rPr>
                <w:rFonts w:ascii="Arial Narrow" w:hAnsi="Arial Narrow" w:cs="Times New Roman"/>
                <w:b w:val="0"/>
                <w:bCs/>
                <w:sz w:val="18"/>
                <w:szCs w:val="18"/>
              </w:rPr>
              <w:t>8</w:t>
            </w:r>
          </w:p>
        </w:tc>
        <w:tc>
          <w:tcPr>
            <w:tcW w:w="1985" w:type="dxa"/>
            <w:tcMar>
              <w:left w:w="28" w:type="dxa"/>
              <w:right w:w="28" w:type="dxa"/>
            </w:tcMar>
          </w:tcPr>
          <w:p w14:paraId="206879E7" w14:textId="00D992E5" w:rsidR="00E03F7A" w:rsidRPr="00263536" w:rsidRDefault="00E03F7A" w:rsidP="00835CCA">
            <w:pPr>
              <w:spacing w:before="40" w:after="40" w:line="240" w:lineRule="auto"/>
              <w:jc w:val="both"/>
              <w:rPr>
                <w:rFonts w:ascii="Arial Narrow" w:hAnsi="Arial Narrow" w:cs="Times New Roman"/>
                <w:b w:val="0"/>
                <w:bCs/>
                <w:sz w:val="18"/>
                <w:szCs w:val="18"/>
              </w:rPr>
            </w:pPr>
            <w:r w:rsidRPr="009117B8">
              <w:rPr>
                <w:rFonts w:ascii="Arial Narrow" w:hAnsi="Arial Narrow" w:cs="Times New Roman"/>
                <w:b w:val="0"/>
                <w:bCs/>
                <w:sz w:val="18"/>
                <w:szCs w:val="18"/>
              </w:rPr>
              <w:t>Maintenance and se</w:t>
            </w:r>
            <w:r>
              <w:rPr>
                <w:rFonts w:ascii="Arial Narrow" w:hAnsi="Arial Narrow" w:cs="Times New Roman"/>
                <w:b w:val="0"/>
                <w:bCs/>
                <w:sz w:val="18"/>
                <w:szCs w:val="18"/>
              </w:rPr>
              <w:t>rvicing of laboratory equipment</w:t>
            </w:r>
          </w:p>
        </w:tc>
        <w:tc>
          <w:tcPr>
            <w:tcW w:w="6448" w:type="dxa"/>
            <w:tcMar>
              <w:left w:w="28" w:type="dxa"/>
              <w:right w:w="28" w:type="dxa"/>
            </w:tcMar>
          </w:tcPr>
          <w:p w14:paraId="631956E0" w14:textId="5FEDEE3A" w:rsidR="00807FDF" w:rsidRPr="00263536" w:rsidRDefault="00807FDF" w:rsidP="00A43D01">
            <w:pPr>
              <w:spacing w:before="40" w:after="40" w:line="240" w:lineRule="auto"/>
              <w:jc w:val="both"/>
              <w:rPr>
                <w:rFonts w:ascii="Arial Narrow" w:hAnsi="Arial Narrow" w:cs="Times New Roman"/>
                <w:b w:val="0"/>
                <w:bCs/>
                <w:sz w:val="18"/>
                <w:szCs w:val="18"/>
              </w:rPr>
            </w:pPr>
            <w:r w:rsidRPr="00E57280">
              <w:rPr>
                <w:rFonts w:ascii="Arial Narrow" w:hAnsi="Arial Narrow" w:cs="Times New Roman"/>
                <w:b w:val="0"/>
                <w:bCs/>
                <w:sz w:val="18"/>
                <w:szCs w:val="18"/>
              </w:rPr>
              <w:t xml:space="preserve">Support to training of local engineers is included to ensure appropriate capacities for servicing, maintenance and repairs of laboratory equipment at the NRL and oblast-level reference laboratories, including biosafety cabinets (BSCs) and </w:t>
            </w:r>
            <w:r>
              <w:rPr>
                <w:rFonts w:ascii="Arial Narrow" w:hAnsi="Arial Narrow" w:cs="Times New Roman"/>
                <w:b w:val="0"/>
                <w:bCs/>
                <w:sz w:val="18"/>
                <w:szCs w:val="18"/>
              </w:rPr>
              <w:t>v</w:t>
            </w:r>
            <w:r w:rsidRPr="00E57280">
              <w:rPr>
                <w:rFonts w:ascii="Arial Narrow" w:hAnsi="Arial Narrow" w:cs="Times New Roman"/>
                <w:b w:val="0"/>
                <w:bCs/>
                <w:sz w:val="18"/>
                <w:szCs w:val="18"/>
              </w:rPr>
              <w:t>entilation systems</w:t>
            </w:r>
            <w:r w:rsidR="00D56E43">
              <w:rPr>
                <w:rFonts w:ascii="Arial Narrow" w:hAnsi="Arial Narrow" w:cs="Times New Roman"/>
                <w:b w:val="0"/>
                <w:bCs/>
                <w:sz w:val="18"/>
                <w:szCs w:val="18"/>
              </w:rPr>
              <w:t xml:space="preserve"> (4</w:t>
            </w:r>
            <w:r w:rsidRPr="00E57280">
              <w:rPr>
                <w:rFonts w:ascii="Arial Narrow" w:hAnsi="Arial Narrow" w:cs="Times New Roman"/>
                <w:b w:val="0"/>
                <w:bCs/>
                <w:sz w:val="18"/>
                <w:szCs w:val="18"/>
              </w:rPr>
              <w:t xml:space="preserve"> persons will be trained during the </w:t>
            </w:r>
            <w:r>
              <w:rPr>
                <w:rFonts w:ascii="Arial Narrow" w:hAnsi="Arial Narrow" w:cs="Times New Roman"/>
                <w:b w:val="0"/>
                <w:bCs/>
                <w:sz w:val="18"/>
                <w:szCs w:val="18"/>
              </w:rPr>
              <w:t>Years 1-2</w:t>
            </w:r>
            <w:r w:rsidR="00D56E43">
              <w:rPr>
                <w:rFonts w:ascii="Arial Narrow" w:hAnsi="Arial Narrow" w:cs="Times New Roman"/>
                <w:b w:val="0"/>
                <w:bCs/>
                <w:sz w:val="18"/>
                <w:szCs w:val="18"/>
              </w:rPr>
              <w:t>)</w:t>
            </w:r>
            <w:r w:rsidRPr="00E57280">
              <w:rPr>
                <w:rFonts w:ascii="Arial Narrow" w:hAnsi="Arial Narrow" w:cs="Times New Roman"/>
                <w:b w:val="0"/>
                <w:bCs/>
                <w:sz w:val="18"/>
                <w:szCs w:val="18"/>
              </w:rPr>
              <w:t>.</w:t>
            </w:r>
          </w:p>
        </w:tc>
        <w:tc>
          <w:tcPr>
            <w:tcW w:w="344" w:type="dxa"/>
            <w:shd w:val="clear" w:color="auto" w:fill="auto"/>
            <w:tcMar>
              <w:left w:w="28" w:type="dxa"/>
              <w:right w:w="28" w:type="dxa"/>
            </w:tcMar>
            <w:vAlign w:val="center"/>
          </w:tcPr>
          <w:p w14:paraId="5E26C5E9"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0836320"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B7E702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CA27F5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0FBCBE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6CB1A17"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8B4B9C7"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847BD78"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33C649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EEB869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C9810C0"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0C755D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547F8CB7" w14:textId="77777777" w:rsidTr="00B46482">
        <w:tc>
          <w:tcPr>
            <w:tcW w:w="560" w:type="dxa"/>
            <w:shd w:val="clear" w:color="auto" w:fill="FFFF99"/>
            <w:tcMar>
              <w:left w:w="28" w:type="dxa"/>
              <w:right w:w="28" w:type="dxa"/>
            </w:tcMar>
          </w:tcPr>
          <w:p w14:paraId="0E6C8212" w14:textId="3D6F4CB3" w:rsidR="00E03F7A" w:rsidRPr="00263536" w:rsidRDefault="00E03F7A" w:rsidP="00807FDF">
            <w:pPr>
              <w:spacing w:before="40" w:after="40" w:line="240" w:lineRule="auto"/>
              <w:jc w:val="center"/>
              <w:rPr>
                <w:rFonts w:ascii="Arial Narrow" w:hAnsi="Arial Narrow" w:cs="Times New Roman"/>
                <w:sz w:val="18"/>
                <w:szCs w:val="18"/>
              </w:rPr>
            </w:pPr>
            <w:r>
              <w:rPr>
                <w:rFonts w:ascii="Arial Narrow" w:hAnsi="Arial Narrow" w:cs="Times New Roman"/>
                <w:sz w:val="18"/>
                <w:szCs w:val="18"/>
              </w:rPr>
              <w:t>2.2</w:t>
            </w:r>
          </w:p>
        </w:tc>
        <w:tc>
          <w:tcPr>
            <w:tcW w:w="8433" w:type="dxa"/>
            <w:gridSpan w:val="2"/>
            <w:shd w:val="clear" w:color="auto" w:fill="FFFF99"/>
            <w:tcMar>
              <w:left w:w="28" w:type="dxa"/>
              <w:right w:w="28" w:type="dxa"/>
            </w:tcMar>
          </w:tcPr>
          <w:p w14:paraId="008EF9D8" w14:textId="6864100E" w:rsidR="00E03F7A" w:rsidRPr="002B520C" w:rsidRDefault="00E03F7A" w:rsidP="00E03F7A">
            <w:pPr>
              <w:spacing w:before="40" w:after="40" w:line="240" w:lineRule="auto"/>
              <w:rPr>
                <w:rFonts w:ascii="Arial Narrow" w:hAnsi="Arial Narrow" w:cs="Times New Roman"/>
                <w:sz w:val="18"/>
                <w:szCs w:val="18"/>
              </w:rPr>
            </w:pPr>
            <w:r w:rsidRPr="002B520C">
              <w:rPr>
                <w:rFonts w:ascii="Arial Narrow" w:hAnsi="Arial Narrow" w:cs="Times New Roman"/>
                <w:sz w:val="18"/>
                <w:szCs w:val="18"/>
              </w:rPr>
              <w:t>Treatment: MDR-TB</w:t>
            </w:r>
          </w:p>
          <w:p w14:paraId="73C692C0" w14:textId="08137304" w:rsidR="00E03F7A" w:rsidRPr="002B520C" w:rsidRDefault="00E03F7A" w:rsidP="00E03F7A">
            <w:pPr>
              <w:spacing w:before="40" w:after="40" w:line="240" w:lineRule="auto"/>
              <w:rPr>
                <w:rFonts w:ascii="Arial Narrow" w:hAnsi="Arial Narrow" w:cs="Times New Roman"/>
                <w:b w:val="0"/>
                <w:i/>
                <w:sz w:val="18"/>
                <w:szCs w:val="18"/>
              </w:rPr>
            </w:pPr>
            <w:r w:rsidRPr="002B520C">
              <w:rPr>
                <w:rFonts w:ascii="Arial Narrow" w:hAnsi="Arial Narrow" w:cs="Times New Roman"/>
                <w:b w:val="0"/>
                <w:i/>
                <w:sz w:val="18"/>
                <w:szCs w:val="18"/>
              </w:rPr>
              <w:t>Module:</w:t>
            </w:r>
            <w:r w:rsidRPr="002B520C">
              <w:rPr>
                <w:rFonts w:ascii="Arial Narrow" w:hAnsi="Arial Narrow" w:cs="Times New Roman"/>
                <w:b w:val="0"/>
                <w:i/>
                <w:sz w:val="18"/>
                <w:szCs w:val="18"/>
              </w:rPr>
              <w:tab/>
              <w:t xml:space="preserve"> Multidrug-resistant tuberculosis (MDR-TB)</w:t>
            </w:r>
          </w:p>
        </w:tc>
        <w:tc>
          <w:tcPr>
            <w:tcW w:w="344" w:type="dxa"/>
            <w:shd w:val="clear" w:color="auto" w:fill="FFFF99"/>
            <w:tcMar>
              <w:left w:w="28" w:type="dxa"/>
              <w:right w:w="28" w:type="dxa"/>
            </w:tcMar>
            <w:vAlign w:val="center"/>
          </w:tcPr>
          <w:p w14:paraId="23F8C205"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1937ED72"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119CE7AA"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4B700F8B"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25111679"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1B97E4AB"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2D2C3D41"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1536A4E2"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6C602367"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3F3B1430"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58825352" w14:textId="77777777" w:rsidR="00E03F7A" w:rsidRPr="00263536" w:rsidRDefault="00E03F7A" w:rsidP="00E03F7A">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1AC3617C" w14:textId="77777777" w:rsidR="00E03F7A" w:rsidRPr="00263536" w:rsidRDefault="00E03F7A" w:rsidP="00E03F7A">
            <w:pPr>
              <w:spacing w:before="40" w:after="40" w:line="240" w:lineRule="auto"/>
              <w:jc w:val="center"/>
              <w:rPr>
                <w:rFonts w:ascii="Arial Narrow" w:hAnsi="Arial Narrow" w:cs="Times New Roman"/>
                <w:sz w:val="18"/>
                <w:szCs w:val="18"/>
              </w:rPr>
            </w:pPr>
          </w:p>
        </w:tc>
      </w:tr>
      <w:tr w:rsidR="00E03F7A" w:rsidRPr="00263536" w14:paraId="3044043A" w14:textId="77777777" w:rsidTr="00B46482">
        <w:tc>
          <w:tcPr>
            <w:tcW w:w="560" w:type="dxa"/>
            <w:tcMar>
              <w:left w:w="28" w:type="dxa"/>
              <w:right w:w="28" w:type="dxa"/>
            </w:tcMar>
          </w:tcPr>
          <w:p w14:paraId="3C462AF0" w14:textId="5A5A67AB" w:rsidR="00E03F7A" w:rsidRPr="002B520C" w:rsidRDefault="00E03F7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2.2.1</w:t>
            </w:r>
          </w:p>
        </w:tc>
        <w:tc>
          <w:tcPr>
            <w:tcW w:w="1985" w:type="dxa"/>
            <w:tcMar>
              <w:left w:w="28" w:type="dxa"/>
              <w:right w:w="28" w:type="dxa"/>
            </w:tcMar>
          </w:tcPr>
          <w:p w14:paraId="6AEA0696" w14:textId="72BA1277" w:rsidR="00E03F7A" w:rsidRPr="00263536" w:rsidRDefault="009249AE" w:rsidP="00835CCA">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Procurement of a</w:t>
            </w:r>
            <w:r w:rsidR="00E03F7A" w:rsidRPr="002B520C">
              <w:rPr>
                <w:rFonts w:ascii="Arial Narrow" w:hAnsi="Arial Narrow" w:cs="Times New Roman"/>
                <w:b w:val="0"/>
                <w:bCs/>
                <w:sz w:val="18"/>
                <w:szCs w:val="18"/>
              </w:rPr>
              <w:t xml:space="preserve">nti-TB drugs: </w:t>
            </w:r>
            <w:r>
              <w:rPr>
                <w:rFonts w:ascii="Arial Narrow" w:hAnsi="Arial Narrow" w:cs="Times New Roman"/>
                <w:b w:val="0"/>
                <w:bCs/>
                <w:sz w:val="18"/>
                <w:szCs w:val="18"/>
              </w:rPr>
              <w:t>RR/</w:t>
            </w:r>
            <w:r w:rsidR="00E03F7A" w:rsidRPr="002B520C">
              <w:rPr>
                <w:rFonts w:ascii="Arial Narrow" w:hAnsi="Arial Narrow" w:cs="Times New Roman"/>
                <w:b w:val="0"/>
                <w:bCs/>
                <w:sz w:val="18"/>
                <w:szCs w:val="18"/>
              </w:rPr>
              <w:t xml:space="preserve">MDR-TB cases </w:t>
            </w:r>
            <w:r>
              <w:rPr>
                <w:rFonts w:ascii="Arial Narrow" w:hAnsi="Arial Narrow" w:cs="Times New Roman"/>
                <w:b w:val="0"/>
                <w:bCs/>
                <w:sz w:val="18"/>
                <w:szCs w:val="18"/>
              </w:rPr>
              <w:t>in the</w:t>
            </w:r>
            <w:r w:rsidR="00E03F7A" w:rsidRPr="002B520C">
              <w:rPr>
                <w:rFonts w:ascii="Arial Narrow" w:hAnsi="Arial Narrow" w:cs="Times New Roman"/>
                <w:b w:val="0"/>
                <w:bCs/>
                <w:sz w:val="18"/>
                <w:szCs w:val="18"/>
              </w:rPr>
              <w:t xml:space="preserve"> pen</w:t>
            </w:r>
            <w:r w:rsidR="00E03F7A">
              <w:rPr>
                <w:rFonts w:ascii="Arial Narrow" w:hAnsi="Arial Narrow" w:cs="Times New Roman"/>
                <w:b w:val="0"/>
                <w:bCs/>
                <w:sz w:val="18"/>
                <w:szCs w:val="18"/>
              </w:rPr>
              <w:t>itentiary sector</w:t>
            </w:r>
          </w:p>
        </w:tc>
        <w:tc>
          <w:tcPr>
            <w:tcW w:w="6448" w:type="dxa"/>
            <w:tcMar>
              <w:left w:w="28" w:type="dxa"/>
              <w:right w:w="28" w:type="dxa"/>
            </w:tcMar>
          </w:tcPr>
          <w:p w14:paraId="2F0B9AAF" w14:textId="43AAEF87" w:rsidR="00D56E43" w:rsidRPr="00263536" w:rsidRDefault="00E03F7A" w:rsidP="00835CCA">
            <w:pPr>
              <w:spacing w:before="40" w:after="40" w:line="240" w:lineRule="auto"/>
              <w:jc w:val="both"/>
              <w:rPr>
                <w:rFonts w:ascii="Arial Narrow" w:hAnsi="Arial Narrow" w:cs="Times New Roman"/>
                <w:b w:val="0"/>
                <w:bCs/>
                <w:sz w:val="18"/>
                <w:szCs w:val="18"/>
              </w:rPr>
            </w:pPr>
            <w:r w:rsidRPr="002B520C">
              <w:rPr>
                <w:rFonts w:ascii="Arial Narrow" w:hAnsi="Arial Narrow" w:cs="Times New Roman"/>
                <w:b w:val="0"/>
                <w:bCs/>
                <w:sz w:val="18"/>
                <w:szCs w:val="18"/>
              </w:rPr>
              <w:t xml:space="preserve">Procurement of drugs for </w:t>
            </w:r>
            <w:r w:rsidR="009249AE">
              <w:rPr>
                <w:rFonts w:ascii="Arial Narrow" w:hAnsi="Arial Narrow" w:cs="Times New Roman"/>
                <w:b w:val="0"/>
                <w:bCs/>
                <w:sz w:val="18"/>
                <w:szCs w:val="18"/>
              </w:rPr>
              <w:t>RR/</w:t>
            </w:r>
            <w:r w:rsidRPr="002B520C">
              <w:rPr>
                <w:rFonts w:ascii="Arial Narrow" w:hAnsi="Arial Narrow" w:cs="Times New Roman"/>
                <w:b w:val="0"/>
                <w:bCs/>
                <w:sz w:val="18"/>
                <w:szCs w:val="18"/>
              </w:rPr>
              <w:t xml:space="preserve">MDR-TB cases for patients </w:t>
            </w:r>
            <w:r w:rsidR="009249AE">
              <w:rPr>
                <w:rFonts w:ascii="Arial Narrow" w:hAnsi="Arial Narrow" w:cs="Times New Roman"/>
                <w:b w:val="0"/>
                <w:bCs/>
                <w:sz w:val="18"/>
                <w:szCs w:val="18"/>
              </w:rPr>
              <w:t>in the</w:t>
            </w:r>
            <w:r w:rsidRPr="002B520C">
              <w:rPr>
                <w:rFonts w:ascii="Arial Narrow" w:hAnsi="Arial Narrow" w:cs="Times New Roman"/>
                <w:b w:val="0"/>
                <w:bCs/>
                <w:sz w:val="18"/>
                <w:szCs w:val="18"/>
              </w:rPr>
              <w:t xml:space="preserve"> penitentiary sector</w:t>
            </w:r>
            <w:r w:rsidR="009249AE">
              <w:rPr>
                <w:rFonts w:ascii="Arial Narrow" w:hAnsi="Arial Narrow" w:cs="Times New Roman"/>
                <w:b w:val="0"/>
                <w:bCs/>
                <w:sz w:val="18"/>
                <w:szCs w:val="18"/>
              </w:rPr>
              <w:t xml:space="preserve">, aligned to </w:t>
            </w:r>
            <w:r w:rsidR="009249AE" w:rsidRPr="00D56E43">
              <w:rPr>
                <w:rFonts w:ascii="Arial Narrow" w:hAnsi="Arial Narrow" w:cs="Times New Roman"/>
                <w:b w:val="0"/>
                <w:bCs/>
                <w:sz w:val="18"/>
                <w:szCs w:val="18"/>
              </w:rPr>
              <w:t xml:space="preserve">treatment regimens </w:t>
            </w:r>
            <w:r w:rsidR="009249AE">
              <w:rPr>
                <w:rFonts w:ascii="Arial Narrow" w:hAnsi="Arial Narrow" w:cs="Times New Roman"/>
                <w:b w:val="0"/>
                <w:bCs/>
                <w:sz w:val="18"/>
                <w:szCs w:val="18"/>
              </w:rPr>
              <w:t xml:space="preserve">as per </w:t>
            </w:r>
            <w:r w:rsidR="009249AE" w:rsidRPr="00D56E43">
              <w:rPr>
                <w:rFonts w:ascii="Arial Narrow" w:hAnsi="Arial Narrow" w:cs="Times New Roman"/>
                <w:b w:val="0"/>
                <w:bCs/>
                <w:sz w:val="18"/>
                <w:szCs w:val="18"/>
              </w:rPr>
              <w:t xml:space="preserve">new WHO recommendations. Detailed calculations of the number of patients enrolled, drug regimens and costs </w:t>
            </w:r>
            <w:proofErr w:type="gramStart"/>
            <w:r w:rsidR="009249AE" w:rsidRPr="00D56E43">
              <w:rPr>
                <w:rFonts w:ascii="Arial Narrow" w:hAnsi="Arial Narrow" w:cs="Times New Roman"/>
                <w:b w:val="0"/>
                <w:bCs/>
                <w:sz w:val="18"/>
                <w:szCs w:val="18"/>
              </w:rPr>
              <w:t>are presented</w:t>
            </w:r>
            <w:proofErr w:type="gramEnd"/>
            <w:r w:rsidR="009249AE" w:rsidRPr="00D56E43">
              <w:rPr>
                <w:rFonts w:ascii="Arial Narrow" w:hAnsi="Arial Narrow" w:cs="Times New Roman"/>
                <w:b w:val="0"/>
                <w:bCs/>
                <w:sz w:val="18"/>
                <w:szCs w:val="18"/>
              </w:rPr>
              <w:t xml:space="preserve"> in the detailed </w:t>
            </w:r>
            <w:proofErr w:type="spellStart"/>
            <w:r w:rsidR="009249AE" w:rsidRPr="00D56E43">
              <w:rPr>
                <w:rFonts w:ascii="Arial Narrow" w:hAnsi="Arial Narrow" w:cs="Times New Roman"/>
                <w:b w:val="0"/>
                <w:bCs/>
                <w:sz w:val="18"/>
                <w:szCs w:val="18"/>
              </w:rPr>
              <w:t>workplan</w:t>
            </w:r>
            <w:proofErr w:type="spellEnd"/>
            <w:r w:rsidR="009249AE" w:rsidRPr="00D56E43">
              <w:rPr>
                <w:rFonts w:ascii="Arial Narrow" w:hAnsi="Arial Narrow" w:cs="Times New Roman"/>
                <w:b w:val="0"/>
                <w:bCs/>
                <w:sz w:val="18"/>
                <w:szCs w:val="18"/>
              </w:rPr>
              <w:t xml:space="preserve"> and budget.</w:t>
            </w:r>
            <w:r w:rsidR="009249AE">
              <w:rPr>
                <w:rFonts w:ascii="Arial Narrow" w:hAnsi="Arial Narrow" w:cs="Times New Roman"/>
                <w:b w:val="0"/>
                <w:bCs/>
                <w:sz w:val="18"/>
                <w:szCs w:val="18"/>
              </w:rPr>
              <w:t xml:space="preserve"> </w:t>
            </w:r>
            <w:r w:rsidR="009249AE" w:rsidRPr="00D56E43">
              <w:rPr>
                <w:rFonts w:ascii="Arial Narrow" w:hAnsi="Arial Narrow" w:cs="Times New Roman"/>
                <w:b w:val="0"/>
                <w:bCs/>
                <w:sz w:val="18"/>
                <w:szCs w:val="18"/>
              </w:rPr>
              <w:t xml:space="preserve">For RR/MDR cases without resistance to </w:t>
            </w:r>
            <w:r w:rsidR="009249AE">
              <w:rPr>
                <w:rFonts w:ascii="Arial Narrow" w:hAnsi="Arial Narrow" w:cs="Times New Roman"/>
                <w:b w:val="0"/>
                <w:bCs/>
                <w:sz w:val="18"/>
                <w:szCs w:val="18"/>
              </w:rPr>
              <w:t xml:space="preserve">FQs, </w:t>
            </w:r>
            <w:r w:rsidR="009249AE" w:rsidRPr="00D56E43">
              <w:rPr>
                <w:rFonts w:ascii="Arial Narrow" w:hAnsi="Arial Narrow" w:cs="Times New Roman"/>
                <w:b w:val="0"/>
                <w:bCs/>
                <w:sz w:val="18"/>
                <w:szCs w:val="18"/>
              </w:rPr>
              <w:t xml:space="preserve">TGF </w:t>
            </w:r>
            <w:r w:rsidR="009249AE">
              <w:rPr>
                <w:rFonts w:ascii="Arial Narrow" w:hAnsi="Arial Narrow" w:cs="Times New Roman"/>
                <w:b w:val="0"/>
                <w:bCs/>
                <w:sz w:val="18"/>
                <w:szCs w:val="18"/>
              </w:rPr>
              <w:t xml:space="preserve">project </w:t>
            </w:r>
            <w:r w:rsidR="009249AE" w:rsidRPr="00D56E43">
              <w:rPr>
                <w:rFonts w:ascii="Arial Narrow" w:hAnsi="Arial Narrow" w:cs="Times New Roman"/>
                <w:b w:val="0"/>
                <w:bCs/>
                <w:sz w:val="18"/>
                <w:szCs w:val="18"/>
              </w:rPr>
              <w:t xml:space="preserve">will cover </w:t>
            </w:r>
            <w:r w:rsidR="009249AE">
              <w:rPr>
                <w:rFonts w:ascii="Arial Narrow" w:hAnsi="Arial Narrow" w:cs="Times New Roman"/>
                <w:b w:val="0"/>
                <w:bCs/>
                <w:sz w:val="18"/>
                <w:szCs w:val="18"/>
              </w:rPr>
              <w:t xml:space="preserve">the </w:t>
            </w:r>
            <w:r w:rsidR="009249AE" w:rsidRPr="00D56E43">
              <w:rPr>
                <w:rFonts w:ascii="Arial Narrow" w:hAnsi="Arial Narrow" w:cs="Times New Roman"/>
                <w:b w:val="0"/>
                <w:bCs/>
                <w:sz w:val="18"/>
                <w:szCs w:val="18"/>
              </w:rPr>
              <w:t>needs in prisons for Year 1 (2020)</w:t>
            </w:r>
            <w:r w:rsidR="009249AE">
              <w:rPr>
                <w:rFonts w:ascii="Arial Narrow" w:hAnsi="Arial Narrow" w:cs="Times New Roman"/>
                <w:b w:val="0"/>
                <w:bCs/>
                <w:sz w:val="18"/>
                <w:szCs w:val="18"/>
              </w:rPr>
              <w:t>, and t</w:t>
            </w:r>
            <w:r w:rsidRPr="002B520C">
              <w:rPr>
                <w:rFonts w:ascii="Arial Narrow" w:hAnsi="Arial Narrow" w:cs="Times New Roman"/>
                <w:b w:val="0"/>
                <w:bCs/>
                <w:sz w:val="18"/>
                <w:szCs w:val="18"/>
              </w:rPr>
              <w:t xml:space="preserve">he </w:t>
            </w:r>
            <w:r w:rsidR="009249AE">
              <w:rPr>
                <w:rFonts w:ascii="Arial Narrow" w:hAnsi="Arial Narrow" w:cs="Times New Roman"/>
                <w:b w:val="0"/>
                <w:bCs/>
                <w:sz w:val="18"/>
                <w:szCs w:val="18"/>
              </w:rPr>
              <w:t xml:space="preserve">Government </w:t>
            </w:r>
            <w:r w:rsidRPr="002B520C">
              <w:rPr>
                <w:rFonts w:ascii="Arial Narrow" w:hAnsi="Arial Narrow" w:cs="Times New Roman"/>
                <w:b w:val="0"/>
                <w:bCs/>
                <w:sz w:val="18"/>
                <w:szCs w:val="18"/>
              </w:rPr>
              <w:t xml:space="preserve">will </w:t>
            </w:r>
            <w:r w:rsidR="009249AE">
              <w:rPr>
                <w:rFonts w:ascii="Arial Narrow" w:hAnsi="Arial Narrow" w:cs="Times New Roman"/>
                <w:b w:val="0"/>
                <w:bCs/>
                <w:sz w:val="18"/>
                <w:szCs w:val="18"/>
              </w:rPr>
              <w:t xml:space="preserve">ensure full </w:t>
            </w:r>
            <w:r w:rsidRPr="002B520C">
              <w:rPr>
                <w:rFonts w:ascii="Arial Narrow" w:hAnsi="Arial Narrow" w:cs="Times New Roman"/>
                <w:b w:val="0"/>
                <w:bCs/>
                <w:sz w:val="18"/>
                <w:szCs w:val="18"/>
              </w:rPr>
              <w:t xml:space="preserve">takeover </w:t>
            </w:r>
            <w:r w:rsidR="009249AE">
              <w:rPr>
                <w:rFonts w:ascii="Arial Narrow" w:hAnsi="Arial Narrow" w:cs="Times New Roman"/>
                <w:b w:val="0"/>
                <w:bCs/>
                <w:sz w:val="18"/>
                <w:szCs w:val="18"/>
              </w:rPr>
              <w:t xml:space="preserve">starting </w:t>
            </w:r>
            <w:r>
              <w:rPr>
                <w:rFonts w:ascii="Arial Narrow" w:hAnsi="Arial Narrow" w:cs="Times New Roman"/>
                <w:b w:val="0"/>
                <w:bCs/>
                <w:sz w:val="18"/>
                <w:szCs w:val="18"/>
              </w:rPr>
              <w:t>2021.</w:t>
            </w:r>
          </w:p>
        </w:tc>
        <w:tc>
          <w:tcPr>
            <w:tcW w:w="344" w:type="dxa"/>
            <w:shd w:val="clear" w:color="auto" w:fill="D9D9D9" w:themeFill="background1" w:themeFillShade="D9"/>
            <w:tcMar>
              <w:left w:w="28" w:type="dxa"/>
              <w:right w:w="28" w:type="dxa"/>
            </w:tcMar>
            <w:vAlign w:val="center"/>
          </w:tcPr>
          <w:p w14:paraId="6B39FE84"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AE61114"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72A014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18113C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FDFCE1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7F16527"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2C25B96"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540823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6CFD04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D75B69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7E9A7C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9D7361E"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0BF46A2A" w14:textId="77777777" w:rsidTr="00B46482">
        <w:tc>
          <w:tcPr>
            <w:tcW w:w="560" w:type="dxa"/>
            <w:tcMar>
              <w:left w:w="28" w:type="dxa"/>
              <w:right w:w="28" w:type="dxa"/>
            </w:tcMar>
          </w:tcPr>
          <w:p w14:paraId="3C62EB0E" w14:textId="44497A56" w:rsidR="00E03F7A" w:rsidRPr="00263536" w:rsidRDefault="00E03F7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2.2.2</w:t>
            </w:r>
          </w:p>
        </w:tc>
        <w:tc>
          <w:tcPr>
            <w:tcW w:w="1985" w:type="dxa"/>
            <w:tcMar>
              <w:left w:w="28" w:type="dxa"/>
              <w:right w:w="28" w:type="dxa"/>
            </w:tcMar>
          </w:tcPr>
          <w:p w14:paraId="39E04497" w14:textId="02D6D22E" w:rsidR="00E03F7A" w:rsidRPr="00263536" w:rsidRDefault="009249AE" w:rsidP="00835CCA">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Procurement of a</w:t>
            </w:r>
            <w:r w:rsidR="00E03F7A" w:rsidRPr="002B520C">
              <w:rPr>
                <w:rFonts w:ascii="Arial Narrow" w:hAnsi="Arial Narrow" w:cs="Times New Roman"/>
                <w:b w:val="0"/>
                <w:bCs/>
                <w:sz w:val="18"/>
                <w:szCs w:val="18"/>
              </w:rPr>
              <w:t xml:space="preserve">nti-TB drugs: pre-XDR and XDR-TB cases </w:t>
            </w:r>
            <w:r>
              <w:rPr>
                <w:rFonts w:ascii="Arial Narrow" w:hAnsi="Arial Narrow" w:cs="Times New Roman"/>
                <w:b w:val="0"/>
                <w:bCs/>
                <w:sz w:val="18"/>
                <w:szCs w:val="18"/>
              </w:rPr>
              <w:t>in the</w:t>
            </w:r>
            <w:r w:rsidR="00E03F7A" w:rsidRPr="002B520C">
              <w:rPr>
                <w:rFonts w:ascii="Arial Narrow" w:hAnsi="Arial Narrow" w:cs="Times New Roman"/>
                <w:b w:val="0"/>
                <w:bCs/>
                <w:sz w:val="18"/>
                <w:szCs w:val="18"/>
              </w:rPr>
              <w:t xml:space="preserve"> penitentiary sector</w:t>
            </w:r>
          </w:p>
        </w:tc>
        <w:tc>
          <w:tcPr>
            <w:tcW w:w="6448" w:type="dxa"/>
            <w:tcMar>
              <w:left w:w="28" w:type="dxa"/>
              <w:right w:w="28" w:type="dxa"/>
            </w:tcMar>
          </w:tcPr>
          <w:p w14:paraId="6BB419CA" w14:textId="7AF33420" w:rsidR="009249AE" w:rsidRPr="0060605F" w:rsidRDefault="009249AE" w:rsidP="00916E39">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 xml:space="preserve">Procurement of drugs for ‘pre-XDR’ and XDR-TB cases for patients in the penitentiary sector, aligned to treatment regimens as per new WHO recommendations. Detailed calculations of the number of patients enrolled, drug regimens and costs </w:t>
            </w:r>
            <w:proofErr w:type="gramStart"/>
            <w:r w:rsidRPr="0060605F">
              <w:rPr>
                <w:rFonts w:ascii="Arial Narrow" w:hAnsi="Arial Narrow" w:cs="Times New Roman"/>
                <w:b w:val="0"/>
                <w:bCs/>
                <w:sz w:val="18"/>
                <w:szCs w:val="18"/>
              </w:rPr>
              <w:t>are presented</w:t>
            </w:r>
            <w:proofErr w:type="gramEnd"/>
            <w:r w:rsidRPr="0060605F">
              <w:rPr>
                <w:rFonts w:ascii="Arial Narrow" w:hAnsi="Arial Narrow" w:cs="Times New Roman"/>
                <w:b w:val="0"/>
                <w:bCs/>
                <w:sz w:val="18"/>
                <w:szCs w:val="18"/>
              </w:rPr>
              <w:t xml:space="preserve"> in the detailed </w:t>
            </w:r>
            <w:proofErr w:type="spellStart"/>
            <w:r w:rsidRPr="0060605F">
              <w:rPr>
                <w:rFonts w:ascii="Arial Narrow" w:hAnsi="Arial Narrow" w:cs="Times New Roman"/>
                <w:b w:val="0"/>
                <w:bCs/>
                <w:sz w:val="18"/>
                <w:szCs w:val="18"/>
              </w:rPr>
              <w:t>workplan</w:t>
            </w:r>
            <w:proofErr w:type="spellEnd"/>
            <w:r w:rsidRPr="0060605F">
              <w:rPr>
                <w:rFonts w:ascii="Arial Narrow" w:hAnsi="Arial Narrow" w:cs="Times New Roman"/>
                <w:b w:val="0"/>
                <w:bCs/>
                <w:sz w:val="18"/>
                <w:szCs w:val="18"/>
              </w:rPr>
              <w:t xml:space="preserve"> and budget. For cases with resistance to FQs, TGF project will cover </w:t>
            </w:r>
            <w:r w:rsidR="00916E39" w:rsidRPr="0060605F">
              <w:rPr>
                <w:rFonts w:ascii="Arial Narrow" w:hAnsi="Arial Narrow" w:cs="Times New Roman"/>
                <w:b w:val="0"/>
                <w:bCs/>
                <w:sz w:val="18"/>
                <w:szCs w:val="18"/>
              </w:rPr>
              <w:t xml:space="preserve">100% of </w:t>
            </w:r>
            <w:r w:rsidRPr="0060605F">
              <w:rPr>
                <w:rFonts w:ascii="Arial Narrow" w:hAnsi="Arial Narrow" w:cs="Times New Roman"/>
                <w:b w:val="0"/>
                <w:bCs/>
                <w:sz w:val="18"/>
                <w:szCs w:val="18"/>
              </w:rPr>
              <w:t>the needs in prisons for Year 1</w:t>
            </w:r>
            <w:r w:rsidR="00916E39" w:rsidRPr="0060605F">
              <w:rPr>
                <w:rFonts w:ascii="Arial Narrow" w:hAnsi="Arial Narrow" w:cs="Times New Roman"/>
                <w:b w:val="0"/>
                <w:bCs/>
                <w:sz w:val="18"/>
                <w:szCs w:val="18"/>
              </w:rPr>
              <w:t xml:space="preserve"> (2020) and 50% in Year </w:t>
            </w:r>
            <w:r w:rsidRPr="0060605F">
              <w:rPr>
                <w:rFonts w:ascii="Arial Narrow" w:hAnsi="Arial Narrow" w:cs="Times New Roman"/>
                <w:b w:val="0"/>
                <w:bCs/>
                <w:sz w:val="18"/>
                <w:szCs w:val="18"/>
              </w:rPr>
              <w:t>2</w:t>
            </w:r>
            <w:r w:rsidR="00916E39" w:rsidRPr="0060605F">
              <w:rPr>
                <w:rFonts w:ascii="Arial Narrow" w:hAnsi="Arial Narrow" w:cs="Times New Roman"/>
                <w:b w:val="0"/>
                <w:bCs/>
                <w:sz w:val="18"/>
                <w:szCs w:val="18"/>
              </w:rPr>
              <w:t xml:space="preserve"> (</w:t>
            </w:r>
            <w:r w:rsidRPr="0060605F">
              <w:rPr>
                <w:rFonts w:ascii="Arial Narrow" w:hAnsi="Arial Narrow" w:cs="Times New Roman"/>
                <w:b w:val="0"/>
                <w:bCs/>
                <w:sz w:val="18"/>
                <w:szCs w:val="18"/>
              </w:rPr>
              <w:t xml:space="preserve">2021), and the Government will ensure </w:t>
            </w:r>
            <w:r w:rsidR="00916E39" w:rsidRPr="0060605F">
              <w:rPr>
                <w:rFonts w:ascii="Arial Narrow" w:hAnsi="Arial Narrow" w:cs="Times New Roman"/>
                <w:b w:val="0"/>
                <w:bCs/>
                <w:sz w:val="18"/>
                <w:szCs w:val="18"/>
              </w:rPr>
              <w:t>the</w:t>
            </w:r>
            <w:r w:rsidRPr="0060605F">
              <w:rPr>
                <w:rFonts w:ascii="Arial Narrow" w:hAnsi="Arial Narrow" w:cs="Times New Roman"/>
                <w:b w:val="0"/>
                <w:bCs/>
                <w:sz w:val="18"/>
                <w:szCs w:val="18"/>
              </w:rPr>
              <w:t xml:space="preserve"> takeover starting </w:t>
            </w:r>
            <w:r w:rsidR="00916E39" w:rsidRPr="0060605F">
              <w:rPr>
                <w:rFonts w:ascii="Arial Narrow" w:hAnsi="Arial Narrow" w:cs="Times New Roman"/>
                <w:b w:val="0"/>
                <w:bCs/>
                <w:sz w:val="18"/>
                <w:szCs w:val="18"/>
              </w:rPr>
              <w:t xml:space="preserve">with 50% of the needs in </w:t>
            </w:r>
            <w:r w:rsidRPr="0060605F">
              <w:rPr>
                <w:rFonts w:ascii="Arial Narrow" w:hAnsi="Arial Narrow" w:cs="Times New Roman"/>
                <w:b w:val="0"/>
                <w:bCs/>
                <w:sz w:val="18"/>
                <w:szCs w:val="18"/>
              </w:rPr>
              <w:t>202</w:t>
            </w:r>
            <w:r w:rsidR="00916E39" w:rsidRPr="0060605F">
              <w:rPr>
                <w:rFonts w:ascii="Arial Narrow" w:hAnsi="Arial Narrow" w:cs="Times New Roman"/>
                <w:b w:val="0"/>
                <w:bCs/>
                <w:sz w:val="18"/>
                <w:szCs w:val="18"/>
              </w:rPr>
              <w:t>1</w:t>
            </w:r>
            <w:r w:rsidRPr="0060605F">
              <w:rPr>
                <w:rFonts w:ascii="Arial Narrow" w:hAnsi="Arial Narrow" w:cs="Times New Roman"/>
                <w:b w:val="0"/>
                <w:bCs/>
                <w:sz w:val="18"/>
                <w:szCs w:val="18"/>
              </w:rPr>
              <w:t>.</w:t>
            </w:r>
          </w:p>
        </w:tc>
        <w:tc>
          <w:tcPr>
            <w:tcW w:w="344" w:type="dxa"/>
            <w:shd w:val="clear" w:color="auto" w:fill="D9D9D9" w:themeFill="background1" w:themeFillShade="D9"/>
            <w:tcMar>
              <w:left w:w="28" w:type="dxa"/>
              <w:right w:w="28" w:type="dxa"/>
            </w:tcMar>
            <w:vAlign w:val="center"/>
          </w:tcPr>
          <w:p w14:paraId="774E386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ED73937"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1BAAC7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1769DD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5E91B72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72BB3D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29F6886"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879843E"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8D314C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4D096A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130F47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E1E501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47CE4854" w14:textId="77777777" w:rsidTr="00B46482">
        <w:tc>
          <w:tcPr>
            <w:tcW w:w="560" w:type="dxa"/>
            <w:tcMar>
              <w:left w:w="28" w:type="dxa"/>
              <w:right w:w="28" w:type="dxa"/>
            </w:tcMar>
          </w:tcPr>
          <w:p w14:paraId="3A9989E0" w14:textId="59477B0A" w:rsidR="00E03F7A" w:rsidRPr="00263536" w:rsidRDefault="00E03F7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2.2.3</w:t>
            </w:r>
          </w:p>
        </w:tc>
        <w:tc>
          <w:tcPr>
            <w:tcW w:w="1985" w:type="dxa"/>
            <w:tcMar>
              <w:left w:w="28" w:type="dxa"/>
              <w:right w:w="28" w:type="dxa"/>
            </w:tcMar>
          </w:tcPr>
          <w:p w14:paraId="2F4B2E31" w14:textId="750DC68F" w:rsidR="00E03F7A" w:rsidRPr="00263536" w:rsidRDefault="009249AE" w:rsidP="00835CCA">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Support to</w:t>
            </w:r>
            <w:r w:rsidR="00E03F7A" w:rsidRPr="002B520C">
              <w:rPr>
                <w:rFonts w:ascii="Arial Narrow" w:hAnsi="Arial Narrow" w:cs="Times New Roman"/>
                <w:b w:val="0"/>
                <w:bCs/>
                <w:sz w:val="18"/>
                <w:szCs w:val="18"/>
              </w:rPr>
              <w:t xml:space="preserve"> Green</w:t>
            </w:r>
            <w:r w:rsidR="00E03F7A">
              <w:rPr>
                <w:rFonts w:ascii="Arial Narrow" w:hAnsi="Arial Narrow" w:cs="Times New Roman"/>
                <w:b w:val="0"/>
                <w:bCs/>
                <w:sz w:val="18"/>
                <w:szCs w:val="18"/>
              </w:rPr>
              <w:t xml:space="preserve"> Light Committee operations</w:t>
            </w:r>
          </w:p>
        </w:tc>
        <w:tc>
          <w:tcPr>
            <w:tcW w:w="6448" w:type="dxa"/>
            <w:tcMar>
              <w:left w:w="28" w:type="dxa"/>
              <w:right w:w="28" w:type="dxa"/>
            </w:tcMar>
          </w:tcPr>
          <w:p w14:paraId="7237E324" w14:textId="25ACFBE4" w:rsidR="009249AE" w:rsidRPr="0060605F" w:rsidRDefault="009249AE" w:rsidP="00835CCA">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Annual payments to the GLC are included according to the TGF/WHO agreement and TGF requirements for applicants.</w:t>
            </w:r>
          </w:p>
        </w:tc>
        <w:tc>
          <w:tcPr>
            <w:tcW w:w="344" w:type="dxa"/>
            <w:shd w:val="clear" w:color="auto" w:fill="D9D9D9" w:themeFill="background1" w:themeFillShade="D9"/>
            <w:tcMar>
              <w:left w:w="28" w:type="dxa"/>
              <w:right w:w="28" w:type="dxa"/>
            </w:tcMar>
            <w:vAlign w:val="center"/>
          </w:tcPr>
          <w:p w14:paraId="6511D80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898AF59"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48BD56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385C16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4D588998"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8A3608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EBA68B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04F25B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767C2E4"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2AC68A4"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B371DD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C7FA448"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181F37E1" w14:textId="77777777" w:rsidTr="00B46482">
        <w:tc>
          <w:tcPr>
            <w:tcW w:w="560" w:type="dxa"/>
            <w:tcMar>
              <w:left w:w="28" w:type="dxa"/>
              <w:right w:w="28" w:type="dxa"/>
            </w:tcMar>
          </w:tcPr>
          <w:p w14:paraId="4FB9A731" w14:textId="3FF382C8" w:rsidR="00E03F7A" w:rsidRPr="00263536" w:rsidRDefault="00E03F7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2.2.4</w:t>
            </w:r>
          </w:p>
        </w:tc>
        <w:tc>
          <w:tcPr>
            <w:tcW w:w="1985" w:type="dxa"/>
            <w:tcMar>
              <w:left w:w="28" w:type="dxa"/>
              <w:right w:w="28" w:type="dxa"/>
            </w:tcMar>
          </w:tcPr>
          <w:p w14:paraId="204FD320" w14:textId="28FA2A3E" w:rsidR="00E03F7A" w:rsidRPr="00263536" w:rsidRDefault="00E03F7A" w:rsidP="00835CCA">
            <w:pPr>
              <w:spacing w:before="40" w:after="40" w:line="240" w:lineRule="auto"/>
              <w:jc w:val="both"/>
              <w:rPr>
                <w:rFonts w:ascii="Arial Narrow" w:hAnsi="Arial Narrow" w:cs="Times New Roman"/>
                <w:b w:val="0"/>
                <w:bCs/>
                <w:sz w:val="18"/>
                <w:szCs w:val="18"/>
              </w:rPr>
            </w:pPr>
            <w:r w:rsidRPr="002B520C">
              <w:rPr>
                <w:rFonts w:ascii="Arial Narrow" w:hAnsi="Arial Narrow" w:cs="Times New Roman"/>
                <w:b w:val="0"/>
                <w:bCs/>
                <w:sz w:val="18"/>
                <w:szCs w:val="18"/>
              </w:rPr>
              <w:t>Clinic</w:t>
            </w:r>
            <w:r>
              <w:rPr>
                <w:rFonts w:ascii="Arial Narrow" w:hAnsi="Arial Narrow" w:cs="Times New Roman"/>
                <w:b w:val="0"/>
                <w:bCs/>
                <w:sz w:val="18"/>
                <w:szCs w:val="18"/>
              </w:rPr>
              <w:t>al tests for patient monitoring</w:t>
            </w:r>
          </w:p>
        </w:tc>
        <w:tc>
          <w:tcPr>
            <w:tcW w:w="6448" w:type="dxa"/>
            <w:tcMar>
              <w:left w:w="28" w:type="dxa"/>
              <w:right w:w="28" w:type="dxa"/>
            </w:tcMar>
          </w:tcPr>
          <w:p w14:paraId="316341AD" w14:textId="574B8EB7" w:rsidR="00E03F7A" w:rsidRPr="0060605F" w:rsidRDefault="0001396D" w:rsidP="00835CCA">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Reimbursement of the costs for clinical laboratory tests and Specialist consultations (cardiology) for treatment monitoring of the patients with M/XDR-TB in the penitentiary sector. TGF will cover the needs in Years 1-2 (2020-2021), and the Government will ensure takeover starting 2022.</w:t>
            </w:r>
          </w:p>
        </w:tc>
        <w:tc>
          <w:tcPr>
            <w:tcW w:w="344" w:type="dxa"/>
            <w:shd w:val="clear" w:color="auto" w:fill="D9D9D9" w:themeFill="background1" w:themeFillShade="D9"/>
            <w:tcMar>
              <w:left w:w="28" w:type="dxa"/>
              <w:right w:w="28" w:type="dxa"/>
            </w:tcMar>
            <w:vAlign w:val="center"/>
          </w:tcPr>
          <w:p w14:paraId="47DB5586"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46CE10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00294B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E1077B8"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78CD80A4"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ECD199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D5CE75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022E05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5049816"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C4B45D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EC3AF70"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42E1D1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130C8FE5" w14:textId="77777777" w:rsidTr="00B46482">
        <w:tc>
          <w:tcPr>
            <w:tcW w:w="560" w:type="dxa"/>
            <w:tcMar>
              <w:left w:w="28" w:type="dxa"/>
              <w:right w:w="28" w:type="dxa"/>
            </w:tcMar>
          </w:tcPr>
          <w:p w14:paraId="20485672" w14:textId="3D5F25F9" w:rsidR="00E03F7A" w:rsidRPr="00263536" w:rsidRDefault="00E03F7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2.2.5</w:t>
            </w:r>
          </w:p>
        </w:tc>
        <w:tc>
          <w:tcPr>
            <w:tcW w:w="1985" w:type="dxa"/>
            <w:tcMar>
              <w:left w:w="28" w:type="dxa"/>
              <w:right w:w="28" w:type="dxa"/>
            </w:tcMar>
          </w:tcPr>
          <w:p w14:paraId="12292098" w14:textId="584A76E1" w:rsidR="00E03F7A" w:rsidRPr="00263536" w:rsidRDefault="00116ADA" w:rsidP="00665426">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Capacity building in DR-TB management</w:t>
            </w:r>
          </w:p>
        </w:tc>
        <w:tc>
          <w:tcPr>
            <w:tcW w:w="6448" w:type="dxa"/>
            <w:tcMar>
              <w:left w:w="28" w:type="dxa"/>
              <w:right w:w="28" w:type="dxa"/>
            </w:tcMar>
          </w:tcPr>
          <w:p w14:paraId="4ED41E24" w14:textId="7651F7C6" w:rsidR="009249AE" w:rsidRPr="0060605F" w:rsidRDefault="009249AE" w:rsidP="00665426">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In order to ensure appropriate management support to the implementation of revised DR-TB guidance, the project will provide support to organization of training courses for health care managers in the specialized TB service and general health services, including the penitentiary system.</w:t>
            </w:r>
            <w:r w:rsidR="00116ADA" w:rsidRPr="0060605F">
              <w:rPr>
                <w:rFonts w:ascii="Arial Narrow" w:hAnsi="Arial Narrow" w:cs="Times New Roman"/>
                <w:b w:val="0"/>
                <w:bCs/>
                <w:sz w:val="18"/>
                <w:szCs w:val="18"/>
              </w:rPr>
              <w:t xml:space="preserve"> Training will be conducted by at the central level; t</w:t>
            </w:r>
            <w:r w:rsidRPr="0060605F">
              <w:rPr>
                <w:rFonts w:ascii="Arial Narrow" w:hAnsi="Arial Narrow" w:cs="Times New Roman"/>
                <w:b w:val="0"/>
                <w:bCs/>
                <w:sz w:val="18"/>
                <w:szCs w:val="18"/>
              </w:rPr>
              <w:t xml:space="preserve">otally </w:t>
            </w:r>
            <w:r w:rsidR="00116ADA" w:rsidRPr="0060605F">
              <w:rPr>
                <w:rFonts w:ascii="Arial Narrow" w:hAnsi="Arial Narrow" w:cs="Times New Roman"/>
                <w:b w:val="0"/>
                <w:bCs/>
                <w:sz w:val="18"/>
                <w:szCs w:val="18"/>
              </w:rPr>
              <w:t xml:space="preserve">6 </w:t>
            </w:r>
            <w:r w:rsidRPr="0060605F">
              <w:rPr>
                <w:rFonts w:ascii="Arial Narrow" w:hAnsi="Arial Narrow" w:cs="Times New Roman"/>
                <w:b w:val="0"/>
                <w:bCs/>
                <w:sz w:val="18"/>
                <w:szCs w:val="18"/>
              </w:rPr>
              <w:t xml:space="preserve">courses will be </w:t>
            </w:r>
            <w:r w:rsidR="00116ADA" w:rsidRPr="0060605F">
              <w:rPr>
                <w:rFonts w:ascii="Arial Narrow" w:hAnsi="Arial Narrow" w:cs="Times New Roman"/>
                <w:b w:val="0"/>
                <w:bCs/>
                <w:sz w:val="18"/>
                <w:szCs w:val="18"/>
              </w:rPr>
              <w:t>organized.</w:t>
            </w:r>
          </w:p>
        </w:tc>
        <w:tc>
          <w:tcPr>
            <w:tcW w:w="344" w:type="dxa"/>
            <w:shd w:val="clear" w:color="auto" w:fill="auto"/>
            <w:tcMar>
              <w:left w:w="28" w:type="dxa"/>
              <w:right w:w="28" w:type="dxa"/>
            </w:tcMar>
            <w:vAlign w:val="center"/>
          </w:tcPr>
          <w:p w14:paraId="3A952A6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787F39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5993A68"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2626AF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4AF697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86ECAB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D645E8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E8BE8F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8743559"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D2F825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2A7B90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7729D6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127FCB10" w14:textId="77777777" w:rsidTr="00B46482">
        <w:tc>
          <w:tcPr>
            <w:tcW w:w="560" w:type="dxa"/>
            <w:tcMar>
              <w:left w:w="28" w:type="dxa"/>
              <w:right w:w="28" w:type="dxa"/>
            </w:tcMar>
          </w:tcPr>
          <w:p w14:paraId="63F90F1E" w14:textId="087572BB" w:rsidR="00E03F7A" w:rsidRPr="00263536" w:rsidRDefault="00E03F7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2.2.6</w:t>
            </w:r>
          </w:p>
        </w:tc>
        <w:tc>
          <w:tcPr>
            <w:tcW w:w="1985" w:type="dxa"/>
            <w:tcMar>
              <w:left w:w="28" w:type="dxa"/>
              <w:right w:w="28" w:type="dxa"/>
            </w:tcMar>
          </w:tcPr>
          <w:p w14:paraId="64C5E450" w14:textId="2BC31EFB" w:rsidR="00E03F7A" w:rsidRPr="00263536" w:rsidRDefault="00E03F7A" w:rsidP="00665426">
            <w:pPr>
              <w:spacing w:before="40" w:after="40" w:line="240" w:lineRule="auto"/>
              <w:jc w:val="both"/>
              <w:rPr>
                <w:rFonts w:ascii="Arial Narrow" w:hAnsi="Arial Narrow" w:cs="Times New Roman"/>
                <w:b w:val="0"/>
                <w:bCs/>
                <w:sz w:val="18"/>
                <w:szCs w:val="18"/>
              </w:rPr>
            </w:pPr>
            <w:r w:rsidRPr="002B520C">
              <w:rPr>
                <w:rFonts w:ascii="Arial Narrow" w:hAnsi="Arial Narrow" w:cs="Times New Roman"/>
                <w:b w:val="0"/>
                <w:bCs/>
                <w:sz w:val="18"/>
                <w:szCs w:val="18"/>
              </w:rPr>
              <w:t xml:space="preserve">Update of </w:t>
            </w:r>
            <w:r w:rsidR="0075497A">
              <w:rPr>
                <w:rFonts w:ascii="Arial Narrow" w:hAnsi="Arial Narrow" w:cs="Times New Roman"/>
                <w:b w:val="0"/>
                <w:bCs/>
                <w:sz w:val="18"/>
                <w:szCs w:val="18"/>
              </w:rPr>
              <w:t xml:space="preserve">PV / </w:t>
            </w:r>
            <w:proofErr w:type="spellStart"/>
            <w:r w:rsidRPr="002B520C">
              <w:rPr>
                <w:rFonts w:ascii="Arial Narrow" w:hAnsi="Arial Narrow" w:cs="Times New Roman"/>
                <w:b w:val="0"/>
                <w:bCs/>
                <w:sz w:val="18"/>
                <w:szCs w:val="18"/>
              </w:rPr>
              <w:t>aDSM</w:t>
            </w:r>
            <w:proofErr w:type="spellEnd"/>
            <w:r w:rsidRPr="002B520C">
              <w:rPr>
                <w:rFonts w:ascii="Arial Narrow" w:hAnsi="Arial Narrow" w:cs="Times New Roman"/>
                <w:b w:val="0"/>
                <w:bCs/>
                <w:sz w:val="18"/>
                <w:szCs w:val="18"/>
              </w:rPr>
              <w:t xml:space="preserve"> modu</w:t>
            </w:r>
            <w:r>
              <w:rPr>
                <w:rFonts w:ascii="Arial Narrow" w:hAnsi="Arial Narrow" w:cs="Times New Roman"/>
                <w:b w:val="0"/>
                <w:bCs/>
                <w:sz w:val="18"/>
                <w:szCs w:val="18"/>
              </w:rPr>
              <w:t>le of the National TB Register</w:t>
            </w:r>
          </w:p>
        </w:tc>
        <w:tc>
          <w:tcPr>
            <w:tcW w:w="6448" w:type="dxa"/>
            <w:tcMar>
              <w:left w:w="28" w:type="dxa"/>
              <w:right w:w="28" w:type="dxa"/>
            </w:tcMar>
          </w:tcPr>
          <w:p w14:paraId="16D4B8EA" w14:textId="14573112" w:rsidR="00E03F7A" w:rsidRPr="0060605F" w:rsidRDefault="00E03F7A" w:rsidP="00665426">
            <w:pPr>
              <w:spacing w:before="40" w:after="40" w:line="240" w:lineRule="auto"/>
              <w:jc w:val="both"/>
              <w:rPr>
                <w:rFonts w:ascii="Arial Narrow" w:hAnsi="Arial Narrow" w:cs="Times New Roman"/>
                <w:b w:val="0"/>
                <w:bCs/>
                <w:sz w:val="18"/>
                <w:szCs w:val="18"/>
              </w:rPr>
            </w:pPr>
            <w:r w:rsidRPr="0060605F">
              <w:rPr>
                <w:rFonts w:ascii="Arial Narrow" w:hAnsi="Arial Narrow" w:cs="Times New Roman"/>
                <w:b w:val="0"/>
                <w:bCs/>
                <w:sz w:val="18"/>
                <w:szCs w:val="18"/>
              </w:rPr>
              <w:t>A</w:t>
            </w:r>
            <w:r w:rsidR="0075497A" w:rsidRPr="0060605F">
              <w:rPr>
                <w:rFonts w:ascii="Arial Narrow" w:hAnsi="Arial Narrow" w:cs="Times New Roman"/>
                <w:b w:val="0"/>
                <w:bCs/>
                <w:sz w:val="18"/>
                <w:szCs w:val="18"/>
              </w:rPr>
              <w:t>n</w:t>
            </w:r>
            <w:r w:rsidRPr="0060605F">
              <w:rPr>
                <w:rFonts w:ascii="Arial Narrow" w:hAnsi="Arial Narrow" w:cs="Times New Roman"/>
                <w:b w:val="0"/>
                <w:bCs/>
                <w:sz w:val="18"/>
                <w:szCs w:val="18"/>
              </w:rPr>
              <w:t xml:space="preserve"> IT </w:t>
            </w:r>
            <w:r w:rsidR="0075497A" w:rsidRPr="0060605F">
              <w:rPr>
                <w:rFonts w:ascii="Arial Narrow" w:hAnsi="Arial Narrow" w:cs="Times New Roman"/>
                <w:b w:val="0"/>
                <w:bCs/>
                <w:sz w:val="18"/>
                <w:szCs w:val="18"/>
              </w:rPr>
              <w:t xml:space="preserve">company </w:t>
            </w:r>
            <w:r w:rsidRPr="0060605F">
              <w:rPr>
                <w:rFonts w:ascii="Arial Narrow" w:hAnsi="Arial Narrow" w:cs="Times New Roman"/>
                <w:b w:val="0"/>
                <w:bCs/>
                <w:sz w:val="18"/>
                <w:szCs w:val="18"/>
              </w:rPr>
              <w:t xml:space="preserve">will be contracted to update of the </w:t>
            </w:r>
            <w:proofErr w:type="spellStart"/>
            <w:r w:rsidRPr="0060605F">
              <w:rPr>
                <w:rFonts w:ascii="Arial Narrow" w:hAnsi="Arial Narrow" w:cs="Times New Roman"/>
                <w:b w:val="0"/>
                <w:bCs/>
                <w:sz w:val="18"/>
                <w:szCs w:val="18"/>
              </w:rPr>
              <w:t>pharmacovigilance</w:t>
            </w:r>
            <w:proofErr w:type="spellEnd"/>
            <w:r w:rsidRPr="0060605F">
              <w:rPr>
                <w:rFonts w:ascii="Arial Narrow" w:hAnsi="Arial Narrow" w:cs="Times New Roman"/>
                <w:b w:val="0"/>
                <w:bCs/>
                <w:sz w:val="18"/>
                <w:szCs w:val="18"/>
              </w:rPr>
              <w:t xml:space="preserve"> and </w:t>
            </w:r>
            <w:proofErr w:type="spellStart"/>
            <w:r w:rsidRPr="0060605F">
              <w:rPr>
                <w:rFonts w:ascii="Arial Narrow" w:hAnsi="Arial Narrow" w:cs="Times New Roman"/>
                <w:b w:val="0"/>
                <w:bCs/>
                <w:sz w:val="18"/>
                <w:szCs w:val="18"/>
              </w:rPr>
              <w:t>aDSM</w:t>
            </w:r>
            <w:proofErr w:type="spellEnd"/>
            <w:r w:rsidRPr="0060605F">
              <w:rPr>
                <w:rFonts w:ascii="Arial Narrow" w:hAnsi="Arial Narrow" w:cs="Times New Roman"/>
                <w:b w:val="0"/>
                <w:bCs/>
                <w:sz w:val="18"/>
                <w:szCs w:val="18"/>
              </w:rPr>
              <w:t xml:space="preserve"> module of the National TB Register</w:t>
            </w:r>
          </w:p>
        </w:tc>
        <w:tc>
          <w:tcPr>
            <w:tcW w:w="344" w:type="dxa"/>
            <w:shd w:val="clear" w:color="auto" w:fill="auto"/>
            <w:tcMar>
              <w:left w:w="28" w:type="dxa"/>
              <w:right w:w="28" w:type="dxa"/>
            </w:tcMar>
            <w:vAlign w:val="center"/>
          </w:tcPr>
          <w:p w14:paraId="79C6B967"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7C3A0C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6FCA008"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494184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074B05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79EC5A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112CBF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92803F8"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F2D2C3E"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307169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1FBB246"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FF2D91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5D9DD8A9" w14:textId="77777777" w:rsidTr="00B46482">
        <w:tc>
          <w:tcPr>
            <w:tcW w:w="560" w:type="dxa"/>
            <w:tcMar>
              <w:left w:w="28" w:type="dxa"/>
              <w:right w:w="28" w:type="dxa"/>
            </w:tcMar>
          </w:tcPr>
          <w:p w14:paraId="64F2DC7B" w14:textId="464E7F33" w:rsidR="00E03F7A" w:rsidRPr="00263536" w:rsidRDefault="00E03F7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2.2.7</w:t>
            </w:r>
          </w:p>
        </w:tc>
        <w:tc>
          <w:tcPr>
            <w:tcW w:w="1985" w:type="dxa"/>
            <w:tcMar>
              <w:left w:w="28" w:type="dxa"/>
              <w:right w:w="28" w:type="dxa"/>
            </w:tcMar>
          </w:tcPr>
          <w:p w14:paraId="5401447C" w14:textId="6B7BBEA5" w:rsidR="00E03F7A" w:rsidRPr="00263536" w:rsidRDefault="00E03F7A" w:rsidP="00665426">
            <w:pPr>
              <w:spacing w:before="40" w:after="40" w:line="240" w:lineRule="auto"/>
              <w:jc w:val="both"/>
              <w:rPr>
                <w:rFonts w:ascii="Arial Narrow" w:hAnsi="Arial Narrow" w:cs="Times New Roman"/>
                <w:b w:val="0"/>
                <w:bCs/>
                <w:sz w:val="18"/>
                <w:szCs w:val="18"/>
              </w:rPr>
            </w:pPr>
            <w:r w:rsidRPr="002B520C">
              <w:rPr>
                <w:rFonts w:ascii="Arial Narrow" w:hAnsi="Arial Narrow" w:cs="Times New Roman"/>
                <w:b w:val="0"/>
                <w:bCs/>
                <w:sz w:val="18"/>
                <w:szCs w:val="18"/>
              </w:rPr>
              <w:t xml:space="preserve">National </w:t>
            </w:r>
            <w:proofErr w:type="spellStart"/>
            <w:r w:rsidR="0075497A">
              <w:rPr>
                <w:rFonts w:ascii="Arial Narrow" w:hAnsi="Arial Narrow" w:cs="Times New Roman"/>
                <w:b w:val="0"/>
                <w:bCs/>
                <w:sz w:val="18"/>
                <w:szCs w:val="18"/>
              </w:rPr>
              <w:t>aDSM</w:t>
            </w:r>
            <w:proofErr w:type="spellEnd"/>
            <w:r w:rsidR="0075497A">
              <w:rPr>
                <w:rFonts w:ascii="Arial Narrow" w:hAnsi="Arial Narrow" w:cs="Times New Roman"/>
                <w:b w:val="0"/>
                <w:bCs/>
                <w:sz w:val="18"/>
                <w:szCs w:val="18"/>
              </w:rPr>
              <w:t xml:space="preserve"> </w:t>
            </w:r>
            <w:r w:rsidRPr="002B520C">
              <w:rPr>
                <w:rFonts w:ascii="Arial Narrow" w:hAnsi="Arial Narrow" w:cs="Times New Roman"/>
                <w:b w:val="0"/>
                <w:bCs/>
                <w:sz w:val="18"/>
                <w:szCs w:val="18"/>
              </w:rPr>
              <w:t>consultant</w:t>
            </w:r>
          </w:p>
        </w:tc>
        <w:tc>
          <w:tcPr>
            <w:tcW w:w="6448" w:type="dxa"/>
            <w:tcMar>
              <w:left w:w="28" w:type="dxa"/>
              <w:right w:w="28" w:type="dxa"/>
            </w:tcMar>
          </w:tcPr>
          <w:p w14:paraId="4FAD25CF" w14:textId="0426C449" w:rsidR="0075497A" w:rsidRPr="00263536" w:rsidRDefault="0075497A" w:rsidP="00665426">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 xml:space="preserve">A </w:t>
            </w:r>
            <w:r w:rsidRPr="0075497A">
              <w:rPr>
                <w:rFonts w:ascii="Arial Narrow" w:hAnsi="Arial Narrow" w:cs="Times New Roman"/>
                <w:b w:val="0"/>
                <w:bCs/>
                <w:sz w:val="18"/>
                <w:szCs w:val="18"/>
              </w:rPr>
              <w:t xml:space="preserve">national consultant </w:t>
            </w:r>
            <w:r>
              <w:rPr>
                <w:rFonts w:ascii="Arial Narrow" w:hAnsi="Arial Narrow" w:cs="Times New Roman"/>
                <w:b w:val="0"/>
                <w:bCs/>
                <w:sz w:val="18"/>
                <w:szCs w:val="18"/>
              </w:rPr>
              <w:t xml:space="preserve">at the central level </w:t>
            </w:r>
            <w:r w:rsidRPr="0075497A">
              <w:rPr>
                <w:rFonts w:ascii="Arial Narrow" w:hAnsi="Arial Narrow" w:cs="Times New Roman"/>
                <w:b w:val="0"/>
                <w:bCs/>
                <w:sz w:val="18"/>
                <w:szCs w:val="18"/>
              </w:rPr>
              <w:t xml:space="preserve">will be engaged to assist the NTP in drug management with emphasis on </w:t>
            </w:r>
            <w:proofErr w:type="spellStart"/>
            <w:r w:rsidRPr="0075497A">
              <w:rPr>
                <w:rFonts w:ascii="Arial Narrow" w:hAnsi="Arial Narrow" w:cs="Times New Roman"/>
                <w:b w:val="0"/>
                <w:bCs/>
                <w:sz w:val="18"/>
                <w:szCs w:val="18"/>
              </w:rPr>
              <w:t>pharmacovigilance</w:t>
            </w:r>
            <w:proofErr w:type="spellEnd"/>
            <w:r w:rsidRPr="0075497A">
              <w:rPr>
                <w:rFonts w:ascii="Arial Narrow" w:hAnsi="Arial Narrow" w:cs="Times New Roman"/>
                <w:b w:val="0"/>
                <w:bCs/>
                <w:sz w:val="18"/>
                <w:szCs w:val="18"/>
              </w:rPr>
              <w:t xml:space="preserve"> and </w:t>
            </w:r>
            <w:proofErr w:type="spellStart"/>
            <w:r w:rsidRPr="0075497A">
              <w:rPr>
                <w:rFonts w:ascii="Arial Narrow" w:hAnsi="Arial Narrow" w:cs="Times New Roman"/>
                <w:b w:val="0"/>
                <w:bCs/>
                <w:sz w:val="18"/>
                <w:szCs w:val="18"/>
              </w:rPr>
              <w:t>aDSM</w:t>
            </w:r>
            <w:proofErr w:type="spellEnd"/>
            <w:r w:rsidRPr="0075497A">
              <w:rPr>
                <w:rFonts w:ascii="Arial Narrow" w:hAnsi="Arial Narrow" w:cs="Times New Roman"/>
                <w:b w:val="0"/>
                <w:bCs/>
                <w:sz w:val="18"/>
                <w:szCs w:val="18"/>
              </w:rPr>
              <w:t xml:space="preserve"> in conditions of transition to newly recommended treatment regimens for DR-TB</w:t>
            </w:r>
            <w:r>
              <w:rPr>
                <w:rFonts w:ascii="Arial Narrow" w:hAnsi="Arial Narrow" w:cs="Times New Roman"/>
                <w:b w:val="0"/>
                <w:bCs/>
                <w:sz w:val="18"/>
                <w:szCs w:val="18"/>
              </w:rPr>
              <w:t xml:space="preserve"> (during Years 1-2)</w:t>
            </w:r>
            <w:r w:rsidRPr="0075497A">
              <w:rPr>
                <w:rFonts w:ascii="Arial Narrow" w:hAnsi="Arial Narrow" w:cs="Times New Roman"/>
                <w:b w:val="0"/>
                <w:bCs/>
                <w:sz w:val="18"/>
                <w:szCs w:val="18"/>
              </w:rPr>
              <w:t>.</w:t>
            </w:r>
          </w:p>
        </w:tc>
        <w:tc>
          <w:tcPr>
            <w:tcW w:w="344" w:type="dxa"/>
            <w:shd w:val="clear" w:color="auto" w:fill="D9D9D9" w:themeFill="background1" w:themeFillShade="D9"/>
            <w:tcMar>
              <w:left w:w="28" w:type="dxa"/>
              <w:right w:w="28" w:type="dxa"/>
            </w:tcMar>
            <w:vAlign w:val="center"/>
          </w:tcPr>
          <w:p w14:paraId="40904B18"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A9DA9D6"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D8979F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E17EE7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7250661"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272907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01D7EFA"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569CEA7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CDB2F5E"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FB5111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05CDD4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5A171F7"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6DC24325" w14:textId="77777777" w:rsidTr="00B46482">
        <w:tc>
          <w:tcPr>
            <w:tcW w:w="560" w:type="dxa"/>
            <w:tcMar>
              <w:left w:w="28" w:type="dxa"/>
              <w:right w:w="28" w:type="dxa"/>
            </w:tcMar>
          </w:tcPr>
          <w:p w14:paraId="0B8DB3A0" w14:textId="64F89527" w:rsidR="00E03F7A" w:rsidRPr="00263536" w:rsidRDefault="00E03F7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2.2.8</w:t>
            </w:r>
          </w:p>
        </w:tc>
        <w:tc>
          <w:tcPr>
            <w:tcW w:w="1985" w:type="dxa"/>
            <w:tcMar>
              <w:left w:w="28" w:type="dxa"/>
              <w:right w:w="28" w:type="dxa"/>
            </w:tcMar>
          </w:tcPr>
          <w:p w14:paraId="5630A7A3" w14:textId="53893391" w:rsidR="00E03F7A" w:rsidRPr="00263536" w:rsidRDefault="0075497A" w:rsidP="00665426">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 xml:space="preserve">Training in PV / </w:t>
            </w:r>
            <w:proofErr w:type="spellStart"/>
            <w:r>
              <w:rPr>
                <w:rFonts w:ascii="Arial Narrow" w:hAnsi="Arial Narrow" w:cs="Times New Roman"/>
                <w:b w:val="0"/>
                <w:bCs/>
                <w:sz w:val="18"/>
                <w:szCs w:val="18"/>
              </w:rPr>
              <w:t>aDSM</w:t>
            </w:r>
            <w:proofErr w:type="spellEnd"/>
          </w:p>
        </w:tc>
        <w:tc>
          <w:tcPr>
            <w:tcW w:w="6448" w:type="dxa"/>
            <w:tcMar>
              <w:left w:w="28" w:type="dxa"/>
              <w:right w:w="28" w:type="dxa"/>
            </w:tcMar>
          </w:tcPr>
          <w:p w14:paraId="239BFFFE" w14:textId="0466B092" w:rsidR="0075497A" w:rsidRPr="00263536" w:rsidRDefault="0075497A" w:rsidP="00665426">
            <w:pPr>
              <w:spacing w:before="40" w:after="40" w:line="240" w:lineRule="auto"/>
              <w:jc w:val="both"/>
              <w:rPr>
                <w:rFonts w:ascii="Arial Narrow" w:hAnsi="Arial Narrow" w:cs="Times New Roman"/>
                <w:b w:val="0"/>
                <w:bCs/>
                <w:sz w:val="18"/>
                <w:szCs w:val="18"/>
              </w:rPr>
            </w:pPr>
            <w:r w:rsidRPr="0075497A">
              <w:rPr>
                <w:rFonts w:ascii="Arial Narrow" w:hAnsi="Arial Narrow" w:cs="Times New Roman"/>
                <w:b w:val="0"/>
                <w:bCs/>
                <w:sz w:val="18"/>
                <w:szCs w:val="18"/>
              </w:rPr>
              <w:t>Training-of-trainer (</w:t>
            </w:r>
            <w:proofErr w:type="spellStart"/>
            <w:r w:rsidRPr="0075497A">
              <w:rPr>
                <w:rFonts w:ascii="Arial Narrow" w:hAnsi="Arial Narrow" w:cs="Times New Roman"/>
                <w:b w:val="0"/>
                <w:bCs/>
                <w:sz w:val="18"/>
                <w:szCs w:val="18"/>
              </w:rPr>
              <w:t>ToT</w:t>
            </w:r>
            <w:proofErr w:type="spellEnd"/>
            <w:r w:rsidRPr="0075497A">
              <w:rPr>
                <w:rFonts w:ascii="Arial Narrow" w:hAnsi="Arial Narrow" w:cs="Times New Roman"/>
                <w:b w:val="0"/>
                <w:bCs/>
                <w:sz w:val="18"/>
                <w:szCs w:val="18"/>
              </w:rPr>
              <w:t xml:space="preserve">) courses </w:t>
            </w:r>
            <w:proofErr w:type="gramStart"/>
            <w:r w:rsidRPr="0075497A">
              <w:rPr>
                <w:rFonts w:ascii="Arial Narrow" w:hAnsi="Arial Narrow" w:cs="Times New Roman"/>
                <w:b w:val="0"/>
                <w:bCs/>
                <w:sz w:val="18"/>
                <w:szCs w:val="18"/>
              </w:rPr>
              <w:t>will be organized</w:t>
            </w:r>
            <w:proofErr w:type="gramEnd"/>
            <w:r w:rsidRPr="0075497A">
              <w:rPr>
                <w:rFonts w:ascii="Arial Narrow" w:hAnsi="Arial Narrow" w:cs="Times New Roman"/>
                <w:b w:val="0"/>
                <w:bCs/>
                <w:sz w:val="18"/>
                <w:szCs w:val="18"/>
              </w:rPr>
              <w:t xml:space="preserve"> by NSCP for the regional (oblast) NTP staff in </w:t>
            </w:r>
            <w:proofErr w:type="spellStart"/>
            <w:r w:rsidRPr="0075497A">
              <w:rPr>
                <w:rFonts w:ascii="Arial Narrow" w:hAnsi="Arial Narrow" w:cs="Times New Roman"/>
                <w:b w:val="0"/>
                <w:bCs/>
                <w:sz w:val="18"/>
                <w:szCs w:val="18"/>
              </w:rPr>
              <w:t>aDSM</w:t>
            </w:r>
            <w:proofErr w:type="spellEnd"/>
            <w:r w:rsidRPr="0075497A">
              <w:rPr>
                <w:rFonts w:ascii="Arial Narrow" w:hAnsi="Arial Narrow" w:cs="Times New Roman"/>
                <w:b w:val="0"/>
                <w:bCs/>
                <w:sz w:val="18"/>
                <w:szCs w:val="18"/>
              </w:rPr>
              <w:t xml:space="preserve"> processes</w:t>
            </w:r>
            <w:r w:rsidR="003E2309">
              <w:rPr>
                <w:rFonts w:ascii="Arial Narrow" w:hAnsi="Arial Narrow" w:cs="Times New Roman"/>
                <w:b w:val="0"/>
                <w:bCs/>
                <w:sz w:val="18"/>
                <w:szCs w:val="18"/>
              </w:rPr>
              <w:t xml:space="preserve">, </w:t>
            </w:r>
            <w:r w:rsidRPr="0075497A">
              <w:rPr>
                <w:rFonts w:ascii="Arial Narrow" w:hAnsi="Arial Narrow" w:cs="Times New Roman"/>
                <w:b w:val="0"/>
                <w:bCs/>
                <w:sz w:val="18"/>
                <w:szCs w:val="18"/>
              </w:rPr>
              <w:t>which will further conduct cascade training for TB service providers in respective regions</w:t>
            </w:r>
            <w:r w:rsidR="003E2309" w:rsidRPr="00892B1D">
              <w:rPr>
                <w:rFonts w:ascii="Arial Narrow" w:hAnsi="Arial Narrow" w:cs="Times New Roman"/>
                <w:b w:val="0"/>
                <w:bCs/>
                <w:sz w:val="18"/>
                <w:szCs w:val="18"/>
              </w:rPr>
              <w:t>. In total, 44 people from 14 oblasts and 3 cities will be trained (2 training courses in Year 1)</w:t>
            </w:r>
            <w:r w:rsidRPr="00892B1D">
              <w:rPr>
                <w:rFonts w:ascii="Arial Narrow" w:hAnsi="Arial Narrow" w:cs="Times New Roman"/>
                <w:b w:val="0"/>
                <w:bCs/>
                <w:sz w:val="18"/>
                <w:szCs w:val="18"/>
              </w:rPr>
              <w:t>.</w:t>
            </w:r>
            <w:r w:rsidRPr="0075497A">
              <w:rPr>
                <w:rFonts w:ascii="Arial Narrow" w:hAnsi="Arial Narrow" w:cs="Times New Roman"/>
                <w:b w:val="0"/>
                <w:bCs/>
                <w:sz w:val="18"/>
                <w:szCs w:val="18"/>
              </w:rPr>
              <w:t xml:space="preserve"> </w:t>
            </w:r>
          </w:p>
        </w:tc>
        <w:tc>
          <w:tcPr>
            <w:tcW w:w="344" w:type="dxa"/>
            <w:shd w:val="clear" w:color="auto" w:fill="auto"/>
            <w:tcMar>
              <w:left w:w="28" w:type="dxa"/>
              <w:right w:w="28" w:type="dxa"/>
            </w:tcMar>
            <w:vAlign w:val="center"/>
          </w:tcPr>
          <w:p w14:paraId="32B87CB4"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A94DF87"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C502B96"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AA508C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84DF0A4"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1158837"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217682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70315D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C693D4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C61CAB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EAA2E69"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1C355D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E03F7A" w:rsidRPr="00263536" w14:paraId="10D971C7" w14:textId="77777777" w:rsidTr="00B46482">
        <w:tc>
          <w:tcPr>
            <w:tcW w:w="560" w:type="dxa"/>
            <w:tcMar>
              <w:left w:w="28" w:type="dxa"/>
              <w:right w:w="28" w:type="dxa"/>
            </w:tcMar>
          </w:tcPr>
          <w:p w14:paraId="5096DB73" w14:textId="6A882E75" w:rsidR="00E03F7A" w:rsidRPr="00263536" w:rsidRDefault="00E03F7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lastRenderedPageBreak/>
              <w:t>2.2.9</w:t>
            </w:r>
          </w:p>
        </w:tc>
        <w:tc>
          <w:tcPr>
            <w:tcW w:w="1985" w:type="dxa"/>
            <w:tcMar>
              <w:left w:w="28" w:type="dxa"/>
              <w:right w:w="28" w:type="dxa"/>
            </w:tcMar>
          </w:tcPr>
          <w:p w14:paraId="466DB21A" w14:textId="5168E44C" w:rsidR="00E03F7A" w:rsidRPr="00263536" w:rsidRDefault="00E03F7A" w:rsidP="00665426">
            <w:pPr>
              <w:spacing w:before="40" w:after="40" w:line="240" w:lineRule="auto"/>
              <w:jc w:val="both"/>
              <w:rPr>
                <w:rFonts w:ascii="Arial Narrow" w:hAnsi="Arial Narrow" w:cs="Times New Roman"/>
                <w:b w:val="0"/>
                <w:bCs/>
                <w:sz w:val="18"/>
                <w:szCs w:val="18"/>
              </w:rPr>
            </w:pPr>
            <w:r w:rsidRPr="002B520C">
              <w:rPr>
                <w:rFonts w:ascii="Arial Narrow" w:hAnsi="Arial Narrow" w:cs="Times New Roman"/>
                <w:b w:val="0"/>
                <w:bCs/>
                <w:sz w:val="18"/>
                <w:szCs w:val="18"/>
              </w:rPr>
              <w:t xml:space="preserve">Training </w:t>
            </w:r>
            <w:r w:rsidR="003E2309">
              <w:rPr>
                <w:rFonts w:ascii="Arial Narrow" w:hAnsi="Arial Narrow" w:cs="Times New Roman"/>
                <w:b w:val="0"/>
                <w:bCs/>
                <w:sz w:val="18"/>
                <w:szCs w:val="18"/>
              </w:rPr>
              <w:t xml:space="preserve">on the use of </w:t>
            </w:r>
            <w:proofErr w:type="spellStart"/>
            <w:r w:rsidRPr="002B520C">
              <w:rPr>
                <w:rFonts w:ascii="Arial Narrow" w:hAnsi="Arial Narrow" w:cs="Times New Roman"/>
                <w:b w:val="0"/>
                <w:bCs/>
                <w:sz w:val="18"/>
                <w:szCs w:val="18"/>
              </w:rPr>
              <w:t>aDSM</w:t>
            </w:r>
            <w:proofErr w:type="spellEnd"/>
            <w:r w:rsidRPr="002B520C">
              <w:rPr>
                <w:rFonts w:ascii="Arial Narrow" w:hAnsi="Arial Narrow" w:cs="Times New Roman"/>
                <w:b w:val="0"/>
                <w:bCs/>
                <w:sz w:val="18"/>
                <w:szCs w:val="18"/>
              </w:rPr>
              <w:t xml:space="preserve"> mod</w:t>
            </w:r>
            <w:r>
              <w:rPr>
                <w:rFonts w:ascii="Arial Narrow" w:hAnsi="Arial Narrow" w:cs="Times New Roman"/>
                <w:b w:val="0"/>
                <w:bCs/>
                <w:sz w:val="18"/>
                <w:szCs w:val="18"/>
              </w:rPr>
              <w:t>ule of the National TB Register</w:t>
            </w:r>
          </w:p>
        </w:tc>
        <w:tc>
          <w:tcPr>
            <w:tcW w:w="6448" w:type="dxa"/>
            <w:tcMar>
              <w:left w:w="28" w:type="dxa"/>
              <w:right w:w="28" w:type="dxa"/>
            </w:tcMar>
          </w:tcPr>
          <w:p w14:paraId="79567BCA" w14:textId="4DFCDDFF" w:rsidR="003E2309" w:rsidRPr="00263536" w:rsidRDefault="003E2309" w:rsidP="00665426">
            <w:pPr>
              <w:spacing w:before="40" w:after="40" w:line="240" w:lineRule="auto"/>
              <w:jc w:val="both"/>
              <w:rPr>
                <w:rFonts w:ascii="Arial Narrow" w:hAnsi="Arial Narrow" w:cs="Times New Roman"/>
                <w:b w:val="0"/>
                <w:bCs/>
                <w:sz w:val="18"/>
                <w:szCs w:val="18"/>
              </w:rPr>
            </w:pPr>
            <w:r w:rsidRPr="0075497A">
              <w:rPr>
                <w:rFonts w:ascii="Arial Narrow" w:hAnsi="Arial Narrow" w:cs="Times New Roman"/>
                <w:b w:val="0"/>
                <w:bCs/>
                <w:sz w:val="18"/>
                <w:szCs w:val="18"/>
              </w:rPr>
              <w:t>Training-of-trainer (</w:t>
            </w:r>
            <w:proofErr w:type="spellStart"/>
            <w:r w:rsidRPr="0075497A">
              <w:rPr>
                <w:rFonts w:ascii="Arial Narrow" w:hAnsi="Arial Narrow" w:cs="Times New Roman"/>
                <w:b w:val="0"/>
                <w:bCs/>
                <w:sz w:val="18"/>
                <w:szCs w:val="18"/>
              </w:rPr>
              <w:t>ToT</w:t>
            </w:r>
            <w:proofErr w:type="spellEnd"/>
            <w:r w:rsidRPr="0075497A">
              <w:rPr>
                <w:rFonts w:ascii="Arial Narrow" w:hAnsi="Arial Narrow" w:cs="Times New Roman"/>
                <w:b w:val="0"/>
                <w:bCs/>
                <w:sz w:val="18"/>
                <w:szCs w:val="18"/>
              </w:rPr>
              <w:t xml:space="preserve">) courses </w:t>
            </w:r>
            <w:proofErr w:type="gramStart"/>
            <w:r w:rsidRPr="0075497A">
              <w:rPr>
                <w:rFonts w:ascii="Arial Narrow" w:hAnsi="Arial Narrow" w:cs="Times New Roman"/>
                <w:b w:val="0"/>
                <w:bCs/>
                <w:sz w:val="18"/>
                <w:szCs w:val="18"/>
              </w:rPr>
              <w:t>will be organized</w:t>
            </w:r>
            <w:proofErr w:type="gramEnd"/>
            <w:r w:rsidRPr="0075497A">
              <w:rPr>
                <w:rFonts w:ascii="Arial Narrow" w:hAnsi="Arial Narrow" w:cs="Times New Roman"/>
                <w:b w:val="0"/>
                <w:bCs/>
                <w:sz w:val="18"/>
                <w:szCs w:val="18"/>
              </w:rPr>
              <w:t xml:space="preserve"> by NSCP for the regional (oblast) NTP staff in </w:t>
            </w:r>
            <w:r>
              <w:rPr>
                <w:rFonts w:ascii="Arial Narrow" w:hAnsi="Arial Narrow" w:cs="Times New Roman"/>
                <w:b w:val="0"/>
                <w:bCs/>
                <w:sz w:val="18"/>
                <w:szCs w:val="18"/>
              </w:rPr>
              <w:t xml:space="preserve">the use of updated </w:t>
            </w:r>
            <w:proofErr w:type="spellStart"/>
            <w:r w:rsidRPr="0075497A">
              <w:rPr>
                <w:rFonts w:ascii="Arial Narrow" w:hAnsi="Arial Narrow" w:cs="Times New Roman"/>
                <w:b w:val="0"/>
                <w:bCs/>
                <w:sz w:val="18"/>
                <w:szCs w:val="18"/>
              </w:rPr>
              <w:t>aDSM</w:t>
            </w:r>
            <w:proofErr w:type="spellEnd"/>
            <w:r w:rsidRPr="0075497A">
              <w:rPr>
                <w:rFonts w:ascii="Arial Narrow" w:hAnsi="Arial Narrow" w:cs="Times New Roman"/>
                <w:b w:val="0"/>
                <w:bCs/>
                <w:sz w:val="18"/>
                <w:szCs w:val="18"/>
              </w:rPr>
              <w:t xml:space="preserve"> </w:t>
            </w:r>
            <w:r>
              <w:rPr>
                <w:rFonts w:ascii="Arial Narrow" w:hAnsi="Arial Narrow" w:cs="Times New Roman"/>
                <w:b w:val="0"/>
                <w:bCs/>
                <w:sz w:val="18"/>
                <w:szCs w:val="18"/>
              </w:rPr>
              <w:t xml:space="preserve">module of the National TB Register, </w:t>
            </w:r>
            <w:r w:rsidRPr="0075497A">
              <w:rPr>
                <w:rFonts w:ascii="Arial Narrow" w:hAnsi="Arial Narrow" w:cs="Times New Roman"/>
                <w:b w:val="0"/>
                <w:bCs/>
                <w:sz w:val="18"/>
                <w:szCs w:val="18"/>
              </w:rPr>
              <w:t xml:space="preserve">which will further conduct cascade training for TB </w:t>
            </w:r>
            <w:r>
              <w:rPr>
                <w:rFonts w:ascii="Arial Narrow" w:hAnsi="Arial Narrow" w:cs="Times New Roman"/>
                <w:b w:val="0"/>
                <w:bCs/>
                <w:sz w:val="18"/>
                <w:szCs w:val="18"/>
              </w:rPr>
              <w:t xml:space="preserve">database operators </w:t>
            </w:r>
            <w:r w:rsidRPr="0075497A">
              <w:rPr>
                <w:rFonts w:ascii="Arial Narrow" w:hAnsi="Arial Narrow" w:cs="Times New Roman"/>
                <w:b w:val="0"/>
                <w:bCs/>
                <w:sz w:val="18"/>
                <w:szCs w:val="18"/>
              </w:rPr>
              <w:t>in respective regions</w:t>
            </w:r>
            <w:r>
              <w:rPr>
                <w:rFonts w:ascii="Arial Narrow" w:hAnsi="Arial Narrow" w:cs="Times New Roman"/>
                <w:b w:val="0"/>
                <w:bCs/>
                <w:sz w:val="18"/>
                <w:szCs w:val="18"/>
              </w:rPr>
              <w:t xml:space="preserve">. In total, </w:t>
            </w:r>
            <w:r w:rsidRPr="002B520C">
              <w:rPr>
                <w:rFonts w:ascii="Arial Narrow" w:hAnsi="Arial Narrow" w:cs="Times New Roman"/>
                <w:b w:val="0"/>
                <w:bCs/>
                <w:sz w:val="18"/>
                <w:szCs w:val="18"/>
              </w:rPr>
              <w:t xml:space="preserve">44 people </w:t>
            </w:r>
            <w:r>
              <w:rPr>
                <w:rFonts w:ascii="Arial Narrow" w:hAnsi="Arial Narrow" w:cs="Times New Roman"/>
                <w:b w:val="0"/>
                <w:bCs/>
                <w:sz w:val="18"/>
                <w:szCs w:val="18"/>
              </w:rPr>
              <w:t xml:space="preserve">from </w:t>
            </w:r>
            <w:r w:rsidRPr="002B520C">
              <w:rPr>
                <w:rFonts w:ascii="Arial Narrow" w:hAnsi="Arial Narrow" w:cs="Times New Roman"/>
                <w:b w:val="0"/>
                <w:bCs/>
                <w:sz w:val="18"/>
                <w:szCs w:val="18"/>
              </w:rPr>
              <w:t xml:space="preserve">14 </w:t>
            </w:r>
            <w:r>
              <w:rPr>
                <w:rFonts w:ascii="Arial Narrow" w:hAnsi="Arial Narrow" w:cs="Times New Roman"/>
                <w:b w:val="0"/>
                <w:bCs/>
                <w:sz w:val="18"/>
                <w:szCs w:val="18"/>
              </w:rPr>
              <w:t xml:space="preserve">oblasts </w:t>
            </w:r>
            <w:r w:rsidRPr="002B520C">
              <w:rPr>
                <w:rFonts w:ascii="Arial Narrow" w:hAnsi="Arial Narrow" w:cs="Times New Roman"/>
                <w:b w:val="0"/>
                <w:bCs/>
                <w:sz w:val="18"/>
                <w:szCs w:val="18"/>
              </w:rPr>
              <w:t xml:space="preserve">and 3 cities will be </w:t>
            </w:r>
            <w:r w:rsidRPr="00892B1D">
              <w:rPr>
                <w:rFonts w:ascii="Arial Narrow" w:hAnsi="Arial Narrow" w:cs="Times New Roman"/>
                <w:b w:val="0"/>
                <w:bCs/>
                <w:sz w:val="18"/>
                <w:szCs w:val="18"/>
              </w:rPr>
              <w:t>trained (2 training courses in Year 2).</w:t>
            </w:r>
            <w:r w:rsidRPr="0075497A">
              <w:rPr>
                <w:rFonts w:ascii="Arial Narrow" w:hAnsi="Arial Narrow" w:cs="Times New Roman"/>
                <w:b w:val="0"/>
                <w:bCs/>
                <w:sz w:val="18"/>
                <w:szCs w:val="18"/>
              </w:rPr>
              <w:t xml:space="preserve"> </w:t>
            </w:r>
          </w:p>
        </w:tc>
        <w:tc>
          <w:tcPr>
            <w:tcW w:w="344" w:type="dxa"/>
            <w:shd w:val="clear" w:color="auto" w:fill="auto"/>
            <w:tcMar>
              <w:left w:w="28" w:type="dxa"/>
              <w:right w:w="28" w:type="dxa"/>
            </w:tcMar>
            <w:vAlign w:val="center"/>
          </w:tcPr>
          <w:p w14:paraId="05D7E740"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6CF474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8ED93FC"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D52D85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E41E7AF"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161DE0B"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290320D"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0DCDF55"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470AC13"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18650E8"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8DAC5B9"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BE02432" w14:textId="77777777" w:rsidR="00E03F7A" w:rsidRPr="00263536" w:rsidRDefault="00E03F7A" w:rsidP="00E03F7A">
            <w:pPr>
              <w:spacing w:before="40" w:after="40" w:line="240" w:lineRule="auto"/>
              <w:jc w:val="center"/>
              <w:rPr>
                <w:rFonts w:ascii="Arial Narrow" w:hAnsi="Arial Narrow" w:cs="Times New Roman"/>
                <w:b w:val="0"/>
                <w:bCs/>
                <w:sz w:val="18"/>
                <w:szCs w:val="18"/>
              </w:rPr>
            </w:pPr>
          </w:p>
        </w:tc>
      </w:tr>
      <w:tr w:rsidR="00FF4FCB" w:rsidRPr="00263536" w14:paraId="2DCA959B" w14:textId="77777777" w:rsidTr="00B46482">
        <w:tc>
          <w:tcPr>
            <w:tcW w:w="560" w:type="dxa"/>
            <w:shd w:val="clear" w:color="auto" w:fill="FFFF99"/>
            <w:tcMar>
              <w:left w:w="28" w:type="dxa"/>
              <w:right w:w="28" w:type="dxa"/>
            </w:tcMar>
          </w:tcPr>
          <w:p w14:paraId="00AF6685" w14:textId="6690943E" w:rsidR="00FF4FCB" w:rsidRPr="00263536" w:rsidRDefault="00FF4FCB" w:rsidP="00807FDF">
            <w:pPr>
              <w:spacing w:before="40" w:after="40" w:line="240" w:lineRule="auto"/>
              <w:jc w:val="center"/>
              <w:rPr>
                <w:rFonts w:ascii="Arial Narrow" w:hAnsi="Arial Narrow" w:cs="Times New Roman"/>
                <w:sz w:val="18"/>
                <w:szCs w:val="18"/>
              </w:rPr>
            </w:pPr>
            <w:r>
              <w:rPr>
                <w:rFonts w:ascii="Arial Narrow" w:hAnsi="Arial Narrow" w:cs="Times New Roman"/>
                <w:sz w:val="18"/>
                <w:szCs w:val="18"/>
              </w:rPr>
              <w:t>2.3</w:t>
            </w:r>
          </w:p>
        </w:tc>
        <w:tc>
          <w:tcPr>
            <w:tcW w:w="8433" w:type="dxa"/>
            <w:gridSpan w:val="2"/>
            <w:shd w:val="clear" w:color="auto" w:fill="FFFF99"/>
            <w:tcMar>
              <w:left w:w="28" w:type="dxa"/>
              <w:right w:w="28" w:type="dxa"/>
            </w:tcMar>
          </w:tcPr>
          <w:p w14:paraId="6861EAFC" w14:textId="7943C0A5" w:rsidR="00FF4FCB" w:rsidRPr="002B520C" w:rsidRDefault="00FF4FCB" w:rsidP="00FF4FCB">
            <w:pPr>
              <w:spacing w:before="40" w:after="40" w:line="240" w:lineRule="auto"/>
              <w:rPr>
                <w:rFonts w:ascii="Arial Narrow" w:hAnsi="Arial Narrow" w:cs="Times New Roman"/>
                <w:sz w:val="18"/>
                <w:szCs w:val="18"/>
              </w:rPr>
            </w:pPr>
            <w:r>
              <w:rPr>
                <w:rFonts w:ascii="Arial Narrow" w:hAnsi="Arial Narrow" w:cs="Times New Roman"/>
                <w:sz w:val="18"/>
                <w:szCs w:val="18"/>
              </w:rPr>
              <w:t>Community care delivery: MDR-TB</w:t>
            </w:r>
            <w:r w:rsidRPr="00FF4FCB">
              <w:rPr>
                <w:rFonts w:ascii="Arial Narrow" w:hAnsi="Arial Narrow" w:cs="Times New Roman"/>
                <w:sz w:val="18"/>
                <w:szCs w:val="18"/>
              </w:rPr>
              <w:t xml:space="preserve"> </w:t>
            </w:r>
          </w:p>
          <w:p w14:paraId="63FC9D22" w14:textId="0F80BAAA" w:rsidR="00FF4FCB" w:rsidRPr="00263536" w:rsidRDefault="00FF4FCB" w:rsidP="00FF4FCB">
            <w:pPr>
              <w:spacing w:before="40" w:after="40" w:line="240" w:lineRule="auto"/>
              <w:rPr>
                <w:rFonts w:ascii="Arial Narrow" w:hAnsi="Arial Narrow" w:cs="Times New Roman"/>
                <w:sz w:val="18"/>
                <w:szCs w:val="18"/>
              </w:rPr>
            </w:pPr>
            <w:r w:rsidRPr="002B520C">
              <w:rPr>
                <w:rFonts w:ascii="Arial Narrow" w:hAnsi="Arial Narrow" w:cs="Times New Roman"/>
                <w:b w:val="0"/>
                <w:i/>
                <w:sz w:val="18"/>
                <w:szCs w:val="18"/>
              </w:rPr>
              <w:t>Module:</w:t>
            </w:r>
            <w:r w:rsidRPr="002B520C">
              <w:rPr>
                <w:rFonts w:ascii="Arial Narrow" w:hAnsi="Arial Narrow" w:cs="Times New Roman"/>
                <w:b w:val="0"/>
                <w:i/>
                <w:sz w:val="18"/>
                <w:szCs w:val="18"/>
              </w:rPr>
              <w:tab/>
              <w:t xml:space="preserve"> Multidrug-resistant tuberculosis (MDR-TB)</w:t>
            </w:r>
          </w:p>
        </w:tc>
        <w:tc>
          <w:tcPr>
            <w:tcW w:w="344" w:type="dxa"/>
            <w:shd w:val="clear" w:color="auto" w:fill="FFFF99"/>
            <w:tcMar>
              <w:left w:w="28" w:type="dxa"/>
              <w:right w:w="28" w:type="dxa"/>
            </w:tcMar>
            <w:vAlign w:val="center"/>
          </w:tcPr>
          <w:p w14:paraId="6D25109E"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41FB7EF3"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68420C5D"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48E12EB1"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01C90D27"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190A4446"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39E9E043"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5C4D48F9"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1BF5621C"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2FC183FF"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2DF18D7A"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26CD51DF" w14:textId="77777777" w:rsidR="00FF4FCB" w:rsidRPr="00263536" w:rsidRDefault="00FF4FCB" w:rsidP="00FF4FCB">
            <w:pPr>
              <w:spacing w:before="40" w:after="40" w:line="240" w:lineRule="auto"/>
              <w:jc w:val="center"/>
              <w:rPr>
                <w:rFonts w:ascii="Arial Narrow" w:hAnsi="Arial Narrow" w:cs="Times New Roman"/>
                <w:sz w:val="18"/>
                <w:szCs w:val="18"/>
              </w:rPr>
            </w:pPr>
          </w:p>
        </w:tc>
      </w:tr>
      <w:tr w:rsidR="00FF4FCB" w:rsidRPr="00263536" w14:paraId="35F7D3B4" w14:textId="77777777" w:rsidTr="00B46482">
        <w:tc>
          <w:tcPr>
            <w:tcW w:w="560" w:type="dxa"/>
            <w:tcMar>
              <w:left w:w="28" w:type="dxa"/>
              <w:right w:w="28" w:type="dxa"/>
            </w:tcMar>
          </w:tcPr>
          <w:p w14:paraId="4FDA1A9F" w14:textId="766D3596"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2.3.1</w:t>
            </w:r>
          </w:p>
        </w:tc>
        <w:tc>
          <w:tcPr>
            <w:tcW w:w="1985" w:type="dxa"/>
            <w:tcMar>
              <w:left w:w="28" w:type="dxa"/>
              <w:right w:w="28" w:type="dxa"/>
            </w:tcMar>
          </w:tcPr>
          <w:p w14:paraId="7D3C3241" w14:textId="681B651A" w:rsidR="00FF4FCB" w:rsidRPr="00263536" w:rsidRDefault="00FE2CD6" w:rsidP="00D96ECF">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 xml:space="preserve">Experience exchange visits for the </w:t>
            </w:r>
            <w:r w:rsidR="00FF4FCB" w:rsidRPr="00E46957">
              <w:rPr>
                <w:rFonts w:ascii="Arial Narrow" w:hAnsi="Arial Narrow" w:cs="Times New Roman"/>
                <w:b w:val="0"/>
                <w:bCs/>
                <w:sz w:val="18"/>
                <w:szCs w:val="18"/>
              </w:rPr>
              <w:t>National Stop</w:t>
            </w:r>
            <w:r w:rsidR="00FF4FCB">
              <w:rPr>
                <w:rFonts w:ascii="Arial Narrow" w:hAnsi="Arial Narrow" w:cs="Times New Roman"/>
                <w:b w:val="0"/>
                <w:bCs/>
                <w:sz w:val="18"/>
                <w:szCs w:val="18"/>
              </w:rPr>
              <w:t xml:space="preserve"> TB Partnership</w:t>
            </w:r>
          </w:p>
        </w:tc>
        <w:tc>
          <w:tcPr>
            <w:tcW w:w="6448" w:type="dxa"/>
            <w:tcMar>
              <w:left w:w="28" w:type="dxa"/>
              <w:right w:w="28" w:type="dxa"/>
            </w:tcMar>
          </w:tcPr>
          <w:p w14:paraId="0960E86B" w14:textId="2E6785C7" w:rsidR="00FE2CD6" w:rsidRPr="00263536" w:rsidRDefault="00FE2CD6" w:rsidP="00D96ECF">
            <w:pPr>
              <w:spacing w:before="40" w:after="40" w:line="240" w:lineRule="auto"/>
              <w:jc w:val="both"/>
              <w:rPr>
                <w:rFonts w:ascii="Arial Narrow" w:hAnsi="Arial Narrow" w:cs="Times New Roman"/>
                <w:b w:val="0"/>
                <w:bCs/>
                <w:sz w:val="18"/>
                <w:szCs w:val="18"/>
              </w:rPr>
            </w:pPr>
            <w:r w:rsidRPr="00FE2CD6">
              <w:rPr>
                <w:rFonts w:ascii="Arial Narrow" w:hAnsi="Arial Narrow" w:cs="Times New Roman"/>
                <w:b w:val="0"/>
                <w:bCs/>
                <w:sz w:val="18"/>
                <w:szCs w:val="18"/>
              </w:rPr>
              <w:t xml:space="preserve">The National Stop TB Partnership (NSTP) platform in Kazakhstan, established within the ongoing TGF TB grant, will be further supported through organization of exchange visits to selected countries in the region that have functional national partnerships and/or implement other best practices related to CSO and community engagement (2 visits </w:t>
            </w:r>
            <w:r>
              <w:rPr>
                <w:rFonts w:ascii="Arial Narrow" w:hAnsi="Arial Narrow" w:cs="Times New Roman"/>
                <w:b w:val="0"/>
                <w:bCs/>
                <w:sz w:val="18"/>
                <w:szCs w:val="18"/>
              </w:rPr>
              <w:t xml:space="preserve">for 10 people each, </w:t>
            </w:r>
            <w:r w:rsidRPr="00FE2CD6">
              <w:rPr>
                <w:rFonts w:ascii="Arial Narrow" w:hAnsi="Arial Narrow" w:cs="Times New Roman"/>
                <w:b w:val="0"/>
                <w:bCs/>
                <w:sz w:val="18"/>
                <w:szCs w:val="18"/>
              </w:rPr>
              <w:t xml:space="preserve">during Years 1-2). </w:t>
            </w:r>
          </w:p>
        </w:tc>
        <w:tc>
          <w:tcPr>
            <w:tcW w:w="344" w:type="dxa"/>
            <w:shd w:val="clear" w:color="auto" w:fill="auto"/>
            <w:tcMar>
              <w:left w:w="28" w:type="dxa"/>
              <w:right w:w="28" w:type="dxa"/>
            </w:tcMar>
            <w:vAlign w:val="center"/>
          </w:tcPr>
          <w:p w14:paraId="65C10DA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A350BF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018F63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8A9B27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130FC1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F44BFD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B81B7F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A7B2C35"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25BF745"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D2A026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FAA4E2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385256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715D3328" w14:textId="77777777" w:rsidTr="00B46482">
        <w:tc>
          <w:tcPr>
            <w:tcW w:w="560" w:type="dxa"/>
            <w:tcMar>
              <w:left w:w="28" w:type="dxa"/>
              <w:right w:w="28" w:type="dxa"/>
            </w:tcMar>
          </w:tcPr>
          <w:p w14:paraId="7F817595" w14:textId="3FF9CA7C"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2.3.2</w:t>
            </w:r>
          </w:p>
        </w:tc>
        <w:tc>
          <w:tcPr>
            <w:tcW w:w="1985" w:type="dxa"/>
            <w:tcMar>
              <w:left w:w="28" w:type="dxa"/>
              <w:right w:w="28" w:type="dxa"/>
            </w:tcMar>
          </w:tcPr>
          <w:p w14:paraId="2488C320" w14:textId="1FDBA3D4" w:rsidR="00FF4FCB" w:rsidRPr="00263536" w:rsidRDefault="00FF4FCB" w:rsidP="00D96ECF">
            <w:pPr>
              <w:spacing w:before="40" w:after="40" w:line="240" w:lineRule="auto"/>
              <w:jc w:val="both"/>
              <w:rPr>
                <w:rFonts w:ascii="Arial Narrow" w:hAnsi="Arial Narrow" w:cs="Times New Roman"/>
                <w:b w:val="0"/>
                <w:bCs/>
                <w:sz w:val="18"/>
                <w:szCs w:val="18"/>
              </w:rPr>
            </w:pPr>
            <w:r w:rsidRPr="00E46957">
              <w:rPr>
                <w:rFonts w:ascii="Arial Narrow" w:hAnsi="Arial Narrow" w:cs="Times New Roman"/>
                <w:b w:val="0"/>
                <w:bCs/>
                <w:sz w:val="18"/>
                <w:szCs w:val="18"/>
              </w:rPr>
              <w:t>Technical assistance</w:t>
            </w:r>
            <w:r w:rsidR="00FE2CD6">
              <w:rPr>
                <w:rFonts w:ascii="Arial Narrow" w:hAnsi="Arial Narrow" w:cs="Times New Roman"/>
                <w:b w:val="0"/>
                <w:bCs/>
                <w:sz w:val="18"/>
                <w:szCs w:val="18"/>
              </w:rPr>
              <w:t>, social contracting / cost of NGO services</w:t>
            </w:r>
          </w:p>
        </w:tc>
        <w:tc>
          <w:tcPr>
            <w:tcW w:w="6448" w:type="dxa"/>
            <w:tcMar>
              <w:left w:w="28" w:type="dxa"/>
              <w:right w:w="28" w:type="dxa"/>
            </w:tcMar>
          </w:tcPr>
          <w:p w14:paraId="2DB26EFA" w14:textId="678C8AA2" w:rsidR="00FE2CD6" w:rsidRPr="00263536" w:rsidRDefault="00FE2CD6" w:rsidP="00D96ECF">
            <w:pPr>
              <w:spacing w:before="40" w:after="40" w:line="240" w:lineRule="auto"/>
              <w:jc w:val="both"/>
              <w:rPr>
                <w:rFonts w:ascii="Arial Narrow" w:hAnsi="Arial Narrow" w:cs="Times New Roman"/>
                <w:b w:val="0"/>
                <w:bCs/>
                <w:sz w:val="18"/>
                <w:szCs w:val="18"/>
              </w:rPr>
            </w:pPr>
            <w:r w:rsidRPr="00FE2CD6">
              <w:rPr>
                <w:rFonts w:ascii="Arial Narrow" w:hAnsi="Arial Narrow" w:cs="Times New Roman"/>
                <w:b w:val="0"/>
                <w:bCs/>
                <w:sz w:val="18"/>
                <w:szCs w:val="18"/>
              </w:rPr>
              <w:t xml:space="preserve">To expand the scope and capacities of NSTP and partners, technical assistance will be provided by an external consultant </w:t>
            </w:r>
            <w:r w:rsidR="004C2381">
              <w:rPr>
                <w:rFonts w:ascii="Arial Narrow" w:hAnsi="Arial Narrow" w:cs="Times New Roman"/>
                <w:b w:val="0"/>
                <w:bCs/>
                <w:sz w:val="18"/>
                <w:szCs w:val="18"/>
              </w:rPr>
              <w:t xml:space="preserve">in Year 1 </w:t>
            </w:r>
            <w:r w:rsidRPr="00FE2CD6">
              <w:rPr>
                <w:rFonts w:ascii="Arial Narrow" w:hAnsi="Arial Narrow" w:cs="Times New Roman"/>
                <w:b w:val="0"/>
                <w:bCs/>
                <w:sz w:val="18"/>
                <w:szCs w:val="18"/>
              </w:rPr>
              <w:t>to facilitate social contracting of NGOs with state funds (through local budgets); the assignment will include the task of defining the costs for service delivery activities by NGOs, which will harmonize the contracting processes.</w:t>
            </w:r>
          </w:p>
        </w:tc>
        <w:tc>
          <w:tcPr>
            <w:tcW w:w="344" w:type="dxa"/>
            <w:shd w:val="clear" w:color="auto" w:fill="auto"/>
            <w:tcMar>
              <w:left w:w="28" w:type="dxa"/>
              <w:right w:w="28" w:type="dxa"/>
            </w:tcMar>
            <w:vAlign w:val="center"/>
          </w:tcPr>
          <w:p w14:paraId="31584A2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322ACF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4533D6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8685E6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6FB880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A9DC41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177860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15CDFA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2FCFD3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E8AB78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AB0088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E4392A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151A9CCA" w14:textId="77777777" w:rsidTr="00B46482">
        <w:tc>
          <w:tcPr>
            <w:tcW w:w="560" w:type="dxa"/>
            <w:tcMar>
              <w:left w:w="28" w:type="dxa"/>
              <w:right w:w="28" w:type="dxa"/>
            </w:tcMar>
          </w:tcPr>
          <w:p w14:paraId="1F806B5C" w14:textId="7132D74E"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2.3.3</w:t>
            </w:r>
          </w:p>
        </w:tc>
        <w:tc>
          <w:tcPr>
            <w:tcW w:w="1985" w:type="dxa"/>
            <w:tcMar>
              <w:left w:w="28" w:type="dxa"/>
              <w:right w:w="28" w:type="dxa"/>
            </w:tcMar>
          </w:tcPr>
          <w:p w14:paraId="1CA37C92" w14:textId="5A25CE4A" w:rsidR="00FF4FCB" w:rsidRPr="00263536" w:rsidRDefault="004C2381" w:rsidP="00D96ECF">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A</w:t>
            </w:r>
            <w:r w:rsidR="00FF4FCB" w:rsidRPr="00E46957">
              <w:rPr>
                <w:rFonts w:ascii="Arial Narrow" w:hAnsi="Arial Narrow" w:cs="Times New Roman"/>
                <w:b w:val="0"/>
                <w:bCs/>
                <w:sz w:val="18"/>
                <w:szCs w:val="18"/>
              </w:rPr>
              <w:t xml:space="preserve">dvocacy meetings to promote </w:t>
            </w:r>
            <w:r w:rsidR="00FF4FCB">
              <w:rPr>
                <w:rFonts w:ascii="Arial Narrow" w:hAnsi="Arial Narrow" w:cs="Times New Roman"/>
                <w:b w:val="0"/>
                <w:bCs/>
                <w:sz w:val="18"/>
                <w:szCs w:val="18"/>
              </w:rPr>
              <w:t>social contracting</w:t>
            </w:r>
          </w:p>
        </w:tc>
        <w:tc>
          <w:tcPr>
            <w:tcW w:w="6448" w:type="dxa"/>
            <w:tcMar>
              <w:left w:w="28" w:type="dxa"/>
              <w:right w:w="28" w:type="dxa"/>
            </w:tcMar>
          </w:tcPr>
          <w:p w14:paraId="46EE9FD7" w14:textId="4D3B3912" w:rsidR="004C2381" w:rsidRPr="00263536" w:rsidRDefault="00FF4FCB" w:rsidP="00D96ECF">
            <w:pPr>
              <w:spacing w:before="40" w:after="40" w:line="240" w:lineRule="auto"/>
              <w:jc w:val="both"/>
              <w:rPr>
                <w:rFonts w:ascii="Arial Narrow" w:hAnsi="Arial Narrow" w:cs="Times New Roman"/>
                <w:b w:val="0"/>
                <w:bCs/>
                <w:sz w:val="18"/>
                <w:szCs w:val="18"/>
              </w:rPr>
            </w:pPr>
            <w:r w:rsidRPr="00E46957">
              <w:rPr>
                <w:rFonts w:ascii="Arial Narrow" w:hAnsi="Arial Narrow" w:cs="Times New Roman"/>
                <w:b w:val="0"/>
                <w:bCs/>
                <w:sz w:val="18"/>
                <w:szCs w:val="18"/>
              </w:rPr>
              <w:t xml:space="preserve">Advocacy meetings (workshops, round tables, etc.) </w:t>
            </w:r>
            <w:proofErr w:type="gramStart"/>
            <w:r w:rsidRPr="00E46957">
              <w:rPr>
                <w:rFonts w:ascii="Arial Narrow" w:hAnsi="Arial Narrow" w:cs="Times New Roman"/>
                <w:b w:val="0"/>
                <w:bCs/>
                <w:sz w:val="18"/>
                <w:szCs w:val="18"/>
              </w:rPr>
              <w:t>will be organized</w:t>
            </w:r>
            <w:proofErr w:type="gramEnd"/>
            <w:r w:rsidRPr="00E46957">
              <w:rPr>
                <w:rFonts w:ascii="Arial Narrow" w:hAnsi="Arial Narrow" w:cs="Times New Roman"/>
                <w:b w:val="0"/>
                <w:bCs/>
                <w:sz w:val="18"/>
                <w:szCs w:val="18"/>
              </w:rPr>
              <w:t xml:space="preserve"> </w:t>
            </w:r>
            <w:r w:rsidR="004C2381" w:rsidRPr="00FE2CD6">
              <w:rPr>
                <w:rFonts w:ascii="Arial Narrow" w:hAnsi="Arial Narrow" w:cs="Times New Roman"/>
                <w:b w:val="0"/>
                <w:bCs/>
                <w:sz w:val="18"/>
                <w:szCs w:val="18"/>
              </w:rPr>
              <w:t>with key decision makers</w:t>
            </w:r>
            <w:r w:rsidR="004C2381">
              <w:rPr>
                <w:rFonts w:ascii="Arial Narrow" w:hAnsi="Arial Narrow" w:cs="Times New Roman"/>
                <w:b w:val="0"/>
                <w:bCs/>
                <w:sz w:val="18"/>
                <w:szCs w:val="18"/>
              </w:rPr>
              <w:t xml:space="preserve"> at central and regional level, </w:t>
            </w:r>
            <w:r w:rsidRPr="00E46957">
              <w:rPr>
                <w:rFonts w:ascii="Arial Narrow" w:hAnsi="Arial Narrow" w:cs="Times New Roman"/>
                <w:b w:val="0"/>
                <w:bCs/>
                <w:sz w:val="18"/>
                <w:szCs w:val="18"/>
              </w:rPr>
              <w:t>to increase awareness about social contracting and commitment of public authorities to scale-up th</w:t>
            </w:r>
            <w:r w:rsidR="004C2381">
              <w:rPr>
                <w:rFonts w:ascii="Arial Narrow" w:hAnsi="Arial Narrow" w:cs="Times New Roman"/>
                <w:b w:val="0"/>
                <w:bCs/>
                <w:sz w:val="18"/>
                <w:szCs w:val="18"/>
              </w:rPr>
              <w:t xml:space="preserve">is mechanism (2 </w:t>
            </w:r>
            <w:r w:rsidRPr="00E46957">
              <w:rPr>
                <w:rFonts w:ascii="Arial Narrow" w:hAnsi="Arial Narrow" w:cs="Times New Roman"/>
                <w:b w:val="0"/>
                <w:bCs/>
                <w:sz w:val="18"/>
                <w:szCs w:val="18"/>
              </w:rPr>
              <w:t>meeti</w:t>
            </w:r>
            <w:r>
              <w:rPr>
                <w:rFonts w:ascii="Arial Narrow" w:hAnsi="Arial Narrow" w:cs="Times New Roman"/>
                <w:b w:val="0"/>
                <w:bCs/>
                <w:sz w:val="18"/>
                <w:szCs w:val="18"/>
              </w:rPr>
              <w:t>ngs per year</w:t>
            </w:r>
            <w:r w:rsidR="004C2381">
              <w:rPr>
                <w:rFonts w:ascii="Arial Narrow" w:hAnsi="Arial Narrow" w:cs="Times New Roman"/>
                <w:b w:val="0"/>
                <w:bCs/>
                <w:sz w:val="18"/>
                <w:szCs w:val="18"/>
              </w:rPr>
              <w:t>).</w:t>
            </w:r>
            <w:r>
              <w:rPr>
                <w:rFonts w:ascii="Arial Narrow" w:hAnsi="Arial Narrow" w:cs="Times New Roman"/>
                <w:b w:val="0"/>
                <w:bCs/>
                <w:sz w:val="18"/>
                <w:szCs w:val="18"/>
              </w:rPr>
              <w:t xml:space="preserve"> </w:t>
            </w:r>
          </w:p>
        </w:tc>
        <w:tc>
          <w:tcPr>
            <w:tcW w:w="344" w:type="dxa"/>
            <w:shd w:val="clear" w:color="auto" w:fill="auto"/>
            <w:tcMar>
              <w:left w:w="28" w:type="dxa"/>
              <w:right w:w="28" w:type="dxa"/>
            </w:tcMar>
            <w:vAlign w:val="center"/>
          </w:tcPr>
          <w:p w14:paraId="4B76DAC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9B44F8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55AAC5B"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292E42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847250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C6533C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17F16E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539F7B8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853E14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4F67A2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EB9BCD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68EF35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0FC9F5F2" w14:textId="77777777" w:rsidTr="00B46482">
        <w:tc>
          <w:tcPr>
            <w:tcW w:w="560" w:type="dxa"/>
            <w:tcMar>
              <w:left w:w="28" w:type="dxa"/>
              <w:right w:w="28" w:type="dxa"/>
            </w:tcMar>
          </w:tcPr>
          <w:p w14:paraId="38FDA3BC" w14:textId="3698A620"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2.3.4</w:t>
            </w:r>
          </w:p>
        </w:tc>
        <w:tc>
          <w:tcPr>
            <w:tcW w:w="1985" w:type="dxa"/>
            <w:tcMar>
              <w:left w:w="28" w:type="dxa"/>
              <w:right w:w="28" w:type="dxa"/>
            </w:tcMar>
          </w:tcPr>
          <w:p w14:paraId="757F3F88" w14:textId="349F9677" w:rsidR="00FF4FCB" w:rsidRPr="00263536" w:rsidRDefault="004C2381" w:rsidP="00D96ECF">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C</w:t>
            </w:r>
            <w:r w:rsidR="00FF4FCB" w:rsidRPr="00E46957">
              <w:rPr>
                <w:rFonts w:ascii="Arial Narrow" w:hAnsi="Arial Narrow" w:cs="Times New Roman"/>
                <w:b w:val="0"/>
                <w:bCs/>
                <w:sz w:val="18"/>
                <w:szCs w:val="18"/>
              </w:rPr>
              <w:t>ommunication campaigns on community</w:t>
            </w:r>
            <w:r>
              <w:rPr>
                <w:rFonts w:ascii="Arial Narrow" w:hAnsi="Arial Narrow" w:cs="Times New Roman"/>
                <w:b w:val="0"/>
                <w:bCs/>
                <w:sz w:val="18"/>
                <w:szCs w:val="18"/>
              </w:rPr>
              <w:t>-</w:t>
            </w:r>
            <w:r w:rsidR="00FF4FCB" w:rsidRPr="00E46957">
              <w:rPr>
                <w:rFonts w:ascii="Arial Narrow" w:hAnsi="Arial Narrow" w:cs="Times New Roman"/>
                <w:b w:val="0"/>
                <w:bCs/>
                <w:sz w:val="18"/>
                <w:szCs w:val="18"/>
              </w:rPr>
              <w:t>based TB response</w:t>
            </w:r>
            <w:r>
              <w:rPr>
                <w:rFonts w:ascii="Arial Narrow" w:hAnsi="Arial Narrow" w:cs="Times New Roman"/>
                <w:b w:val="0"/>
                <w:bCs/>
                <w:sz w:val="18"/>
                <w:szCs w:val="18"/>
              </w:rPr>
              <w:t>s and social</w:t>
            </w:r>
            <w:r w:rsidR="00FF4FCB" w:rsidRPr="00E46957">
              <w:rPr>
                <w:rFonts w:ascii="Arial Narrow" w:hAnsi="Arial Narrow" w:cs="Times New Roman"/>
                <w:b w:val="0"/>
                <w:bCs/>
                <w:sz w:val="18"/>
                <w:szCs w:val="18"/>
              </w:rPr>
              <w:t xml:space="preserve"> contracting</w:t>
            </w:r>
          </w:p>
        </w:tc>
        <w:tc>
          <w:tcPr>
            <w:tcW w:w="6448" w:type="dxa"/>
            <w:tcMar>
              <w:left w:w="28" w:type="dxa"/>
              <w:right w:w="28" w:type="dxa"/>
            </w:tcMar>
          </w:tcPr>
          <w:p w14:paraId="2DB53540" w14:textId="2DA168E7" w:rsidR="004C2381" w:rsidRPr="00263536" w:rsidRDefault="004C2381" w:rsidP="00D96ECF">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C</w:t>
            </w:r>
            <w:r w:rsidR="00FF4FCB" w:rsidRPr="00E46957">
              <w:rPr>
                <w:rFonts w:ascii="Arial Narrow" w:hAnsi="Arial Narrow" w:cs="Times New Roman"/>
                <w:b w:val="0"/>
                <w:bCs/>
                <w:sz w:val="18"/>
                <w:szCs w:val="18"/>
              </w:rPr>
              <w:t xml:space="preserve">ommunication campaigns </w:t>
            </w:r>
            <w:proofErr w:type="gramStart"/>
            <w:r w:rsidR="00FF4FCB" w:rsidRPr="00E46957">
              <w:rPr>
                <w:rFonts w:ascii="Arial Narrow" w:hAnsi="Arial Narrow" w:cs="Times New Roman"/>
                <w:b w:val="0"/>
                <w:bCs/>
                <w:sz w:val="18"/>
                <w:szCs w:val="18"/>
              </w:rPr>
              <w:t xml:space="preserve">will be </w:t>
            </w:r>
            <w:r>
              <w:rPr>
                <w:rFonts w:ascii="Arial Narrow" w:hAnsi="Arial Narrow" w:cs="Times New Roman"/>
                <w:b w:val="0"/>
                <w:bCs/>
                <w:sz w:val="18"/>
                <w:szCs w:val="18"/>
              </w:rPr>
              <w:t>organized</w:t>
            </w:r>
            <w:proofErr w:type="gramEnd"/>
            <w:r>
              <w:rPr>
                <w:rFonts w:ascii="Arial Narrow" w:hAnsi="Arial Narrow" w:cs="Times New Roman"/>
                <w:b w:val="0"/>
                <w:bCs/>
                <w:sz w:val="18"/>
                <w:szCs w:val="18"/>
              </w:rPr>
              <w:t xml:space="preserve"> </w:t>
            </w:r>
            <w:r w:rsidR="00FF4FCB" w:rsidRPr="00E46957">
              <w:rPr>
                <w:rFonts w:ascii="Arial Narrow" w:hAnsi="Arial Narrow" w:cs="Times New Roman"/>
                <w:b w:val="0"/>
                <w:bCs/>
                <w:sz w:val="18"/>
                <w:szCs w:val="18"/>
              </w:rPr>
              <w:t>to increase awareness about community</w:t>
            </w:r>
            <w:r>
              <w:rPr>
                <w:rFonts w:ascii="Arial Narrow" w:hAnsi="Arial Narrow" w:cs="Times New Roman"/>
                <w:b w:val="0"/>
                <w:bCs/>
                <w:sz w:val="18"/>
                <w:szCs w:val="18"/>
              </w:rPr>
              <w:t>-</w:t>
            </w:r>
            <w:r w:rsidR="00FF4FCB" w:rsidRPr="00E46957">
              <w:rPr>
                <w:rFonts w:ascii="Arial Narrow" w:hAnsi="Arial Narrow" w:cs="Times New Roman"/>
                <w:b w:val="0"/>
                <w:bCs/>
                <w:sz w:val="18"/>
                <w:szCs w:val="18"/>
              </w:rPr>
              <w:t xml:space="preserve">based TB </w:t>
            </w:r>
            <w:r>
              <w:rPr>
                <w:rFonts w:ascii="Arial Narrow" w:hAnsi="Arial Narrow" w:cs="Times New Roman"/>
                <w:b w:val="0"/>
                <w:bCs/>
                <w:sz w:val="18"/>
                <w:szCs w:val="18"/>
              </w:rPr>
              <w:t>interventions</w:t>
            </w:r>
            <w:r w:rsidR="00FF4FCB" w:rsidRPr="00E46957">
              <w:rPr>
                <w:rFonts w:ascii="Arial Narrow" w:hAnsi="Arial Narrow" w:cs="Times New Roman"/>
                <w:b w:val="0"/>
                <w:bCs/>
                <w:sz w:val="18"/>
                <w:szCs w:val="18"/>
              </w:rPr>
              <w:t xml:space="preserve"> for </w:t>
            </w:r>
            <w:r>
              <w:rPr>
                <w:rFonts w:ascii="Arial Narrow" w:hAnsi="Arial Narrow" w:cs="Times New Roman"/>
                <w:b w:val="0"/>
                <w:bCs/>
                <w:sz w:val="18"/>
                <w:szCs w:val="18"/>
              </w:rPr>
              <w:t xml:space="preserve">vulnerable population, </w:t>
            </w:r>
            <w:r w:rsidR="00FF4FCB" w:rsidRPr="00E46957">
              <w:rPr>
                <w:rFonts w:ascii="Arial Narrow" w:hAnsi="Arial Narrow" w:cs="Times New Roman"/>
                <w:b w:val="0"/>
                <w:bCs/>
                <w:sz w:val="18"/>
                <w:szCs w:val="18"/>
              </w:rPr>
              <w:t>promote social contracting mechanism, advocate for budget increase</w:t>
            </w:r>
            <w:r>
              <w:rPr>
                <w:rFonts w:ascii="Arial Narrow" w:hAnsi="Arial Narrow" w:cs="Times New Roman"/>
                <w:b w:val="0"/>
                <w:bCs/>
                <w:sz w:val="18"/>
                <w:szCs w:val="18"/>
              </w:rPr>
              <w:t>s</w:t>
            </w:r>
            <w:r w:rsidR="00FF4FCB" w:rsidRPr="00E46957">
              <w:rPr>
                <w:rFonts w:ascii="Arial Narrow" w:hAnsi="Arial Narrow" w:cs="Times New Roman"/>
                <w:b w:val="0"/>
                <w:bCs/>
                <w:sz w:val="18"/>
                <w:szCs w:val="18"/>
              </w:rPr>
              <w:t xml:space="preserve"> and sustainability at regional level</w:t>
            </w:r>
            <w:r>
              <w:rPr>
                <w:rFonts w:ascii="Arial Narrow" w:hAnsi="Arial Narrow" w:cs="Times New Roman"/>
                <w:b w:val="0"/>
                <w:bCs/>
                <w:sz w:val="18"/>
                <w:szCs w:val="18"/>
              </w:rPr>
              <w:t xml:space="preserve"> (</w:t>
            </w:r>
            <w:r w:rsidR="00FF4FCB" w:rsidRPr="00E46957">
              <w:rPr>
                <w:rFonts w:ascii="Arial Narrow" w:hAnsi="Arial Narrow" w:cs="Times New Roman"/>
                <w:b w:val="0"/>
                <w:bCs/>
                <w:sz w:val="18"/>
                <w:szCs w:val="18"/>
              </w:rPr>
              <w:t>meeting</w:t>
            </w:r>
            <w:r>
              <w:rPr>
                <w:rFonts w:ascii="Arial Narrow" w:hAnsi="Arial Narrow" w:cs="Times New Roman"/>
                <w:b w:val="0"/>
                <w:bCs/>
                <w:sz w:val="18"/>
                <w:szCs w:val="18"/>
              </w:rPr>
              <w:t>s</w:t>
            </w:r>
            <w:r w:rsidR="00FF4FCB" w:rsidRPr="00E46957">
              <w:rPr>
                <w:rFonts w:ascii="Arial Narrow" w:hAnsi="Arial Narrow" w:cs="Times New Roman"/>
                <w:b w:val="0"/>
                <w:bCs/>
                <w:sz w:val="18"/>
                <w:szCs w:val="18"/>
              </w:rPr>
              <w:t xml:space="preserve"> with decision makers, broadcasting of video and radio spots, outdoor advertising, printed materials, etc.</w:t>
            </w:r>
            <w:r>
              <w:rPr>
                <w:rFonts w:ascii="Arial Narrow" w:hAnsi="Arial Narrow" w:cs="Times New Roman"/>
                <w:b w:val="0"/>
                <w:bCs/>
                <w:sz w:val="18"/>
                <w:szCs w:val="18"/>
              </w:rPr>
              <w:t xml:space="preserve">). </w:t>
            </w:r>
            <w:r w:rsidR="00FF4FCB" w:rsidRPr="00E46957">
              <w:rPr>
                <w:rFonts w:ascii="Arial Narrow" w:hAnsi="Arial Narrow" w:cs="Times New Roman"/>
                <w:b w:val="0"/>
                <w:bCs/>
                <w:sz w:val="18"/>
                <w:szCs w:val="18"/>
              </w:rPr>
              <w:t>Two c</w:t>
            </w:r>
            <w:r w:rsidR="00FF4FCB">
              <w:rPr>
                <w:rFonts w:ascii="Arial Narrow" w:hAnsi="Arial Narrow" w:cs="Times New Roman"/>
                <w:b w:val="0"/>
                <w:bCs/>
                <w:sz w:val="18"/>
                <w:szCs w:val="18"/>
              </w:rPr>
              <w:t xml:space="preserve">ampaigns </w:t>
            </w:r>
            <w:proofErr w:type="gramStart"/>
            <w:r>
              <w:rPr>
                <w:rFonts w:ascii="Arial Narrow" w:hAnsi="Arial Narrow" w:cs="Times New Roman"/>
                <w:b w:val="0"/>
                <w:bCs/>
                <w:sz w:val="18"/>
                <w:szCs w:val="18"/>
              </w:rPr>
              <w:t>will be held</w:t>
            </w:r>
            <w:proofErr w:type="gramEnd"/>
            <w:r>
              <w:rPr>
                <w:rFonts w:ascii="Arial Narrow" w:hAnsi="Arial Narrow" w:cs="Times New Roman"/>
                <w:b w:val="0"/>
                <w:bCs/>
                <w:sz w:val="18"/>
                <w:szCs w:val="18"/>
              </w:rPr>
              <w:t xml:space="preserve"> in Years 1 and 3.</w:t>
            </w:r>
          </w:p>
        </w:tc>
        <w:tc>
          <w:tcPr>
            <w:tcW w:w="344" w:type="dxa"/>
            <w:shd w:val="clear" w:color="auto" w:fill="auto"/>
            <w:tcMar>
              <w:left w:w="28" w:type="dxa"/>
              <w:right w:w="28" w:type="dxa"/>
            </w:tcMar>
            <w:vAlign w:val="center"/>
          </w:tcPr>
          <w:p w14:paraId="1BC8A10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AD58B8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D560CD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9383FE5"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DF8044B"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EC96B6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029B35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AD30765"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CCF9D4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3D0D8A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E1432D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7EE65F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44EF8358" w14:textId="77777777" w:rsidTr="00B46482">
        <w:tc>
          <w:tcPr>
            <w:tcW w:w="560" w:type="dxa"/>
            <w:tcMar>
              <w:left w:w="28" w:type="dxa"/>
              <w:right w:w="28" w:type="dxa"/>
            </w:tcMar>
          </w:tcPr>
          <w:p w14:paraId="51ECF04C" w14:textId="23204C62"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2.3.5</w:t>
            </w:r>
          </w:p>
        </w:tc>
        <w:tc>
          <w:tcPr>
            <w:tcW w:w="1985" w:type="dxa"/>
            <w:tcMar>
              <w:left w:w="28" w:type="dxa"/>
              <w:right w:w="28" w:type="dxa"/>
            </w:tcMar>
          </w:tcPr>
          <w:p w14:paraId="09CB73F9" w14:textId="1A661C62" w:rsidR="00FF4FCB" w:rsidRPr="00263536" w:rsidRDefault="00FF4FCB" w:rsidP="00D96ECF">
            <w:pPr>
              <w:spacing w:before="40" w:after="40" w:line="240" w:lineRule="auto"/>
              <w:jc w:val="both"/>
              <w:rPr>
                <w:rFonts w:ascii="Arial Narrow" w:hAnsi="Arial Narrow" w:cs="Times New Roman"/>
                <w:b w:val="0"/>
                <w:bCs/>
                <w:sz w:val="18"/>
                <w:szCs w:val="18"/>
              </w:rPr>
            </w:pPr>
            <w:r w:rsidRPr="00E46957">
              <w:rPr>
                <w:rFonts w:ascii="Arial Narrow" w:hAnsi="Arial Narrow" w:cs="Times New Roman"/>
                <w:b w:val="0"/>
                <w:bCs/>
                <w:sz w:val="18"/>
                <w:szCs w:val="18"/>
              </w:rPr>
              <w:t>Training f</w:t>
            </w:r>
            <w:r>
              <w:rPr>
                <w:rFonts w:ascii="Arial Narrow" w:hAnsi="Arial Narrow" w:cs="Times New Roman"/>
                <w:b w:val="0"/>
                <w:bCs/>
                <w:sz w:val="18"/>
                <w:szCs w:val="18"/>
              </w:rPr>
              <w:t>or NGOs in TB and DR-TB control</w:t>
            </w:r>
          </w:p>
        </w:tc>
        <w:tc>
          <w:tcPr>
            <w:tcW w:w="6448" w:type="dxa"/>
            <w:tcMar>
              <w:left w:w="28" w:type="dxa"/>
              <w:right w:w="28" w:type="dxa"/>
            </w:tcMar>
          </w:tcPr>
          <w:p w14:paraId="5D2CBB32" w14:textId="76F00CAE" w:rsidR="004C2381" w:rsidRPr="00263536" w:rsidRDefault="00FF4FCB" w:rsidP="00D96ECF">
            <w:pPr>
              <w:spacing w:before="40" w:after="40" w:line="240" w:lineRule="auto"/>
              <w:jc w:val="both"/>
              <w:rPr>
                <w:rFonts w:ascii="Arial Narrow" w:hAnsi="Arial Narrow" w:cs="Times New Roman"/>
                <w:b w:val="0"/>
                <w:bCs/>
                <w:sz w:val="18"/>
                <w:szCs w:val="18"/>
              </w:rPr>
            </w:pPr>
            <w:proofErr w:type="gramStart"/>
            <w:r w:rsidRPr="00E46957">
              <w:rPr>
                <w:rFonts w:ascii="Arial Narrow" w:hAnsi="Arial Narrow" w:cs="Times New Roman"/>
                <w:b w:val="0"/>
                <w:bCs/>
                <w:sz w:val="18"/>
                <w:szCs w:val="18"/>
              </w:rPr>
              <w:t xml:space="preserve">Trainings for NGOs will be organized by the NTP with participation of other partners, which will focus on priority </w:t>
            </w:r>
            <w:r w:rsidR="004C2381">
              <w:rPr>
                <w:rFonts w:ascii="Arial Narrow" w:hAnsi="Arial Narrow" w:cs="Times New Roman"/>
                <w:b w:val="0"/>
                <w:bCs/>
                <w:sz w:val="18"/>
                <w:szCs w:val="18"/>
              </w:rPr>
              <w:t xml:space="preserve">TB-related </w:t>
            </w:r>
            <w:r w:rsidRPr="00E46957">
              <w:rPr>
                <w:rFonts w:ascii="Arial Narrow" w:hAnsi="Arial Narrow" w:cs="Times New Roman"/>
                <w:b w:val="0"/>
                <w:bCs/>
                <w:sz w:val="18"/>
                <w:szCs w:val="18"/>
              </w:rPr>
              <w:t xml:space="preserve">problems in the target groups, contemporary approaches for patient support and the roles of civil society and local actors for strengthening adherence and other types of support in conditions of </w:t>
            </w:r>
            <w:r w:rsidR="00AA18AC">
              <w:rPr>
                <w:rFonts w:ascii="Arial Narrow" w:hAnsi="Arial Narrow" w:cs="Times New Roman"/>
                <w:b w:val="0"/>
                <w:bCs/>
                <w:sz w:val="18"/>
                <w:szCs w:val="18"/>
              </w:rPr>
              <w:t xml:space="preserve">implementation of </w:t>
            </w:r>
            <w:r w:rsidRPr="00E46957">
              <w:rPr>
                <w:rFonts w:ascii="Arial Narrow" w:hAnsi="Arial Narrow" w:cs="Times New Roman"/>
                <w:b w:val="0"/>
                <w:bCs/>
                <w:sz w:val="18"/>
                <w:szCs w:val="18"/>
              </w:rPr>
              <w:t>TB care delivery model based on outpatient treatment and patient-centered approaches</w:t>
            </w:r>
            <w:r w:rsidR="00AA18AC">
              <w:rPr>
                <w:rFonts w:ascii="Arial Narrow" w:hAnsi="Arial Narrow" w:cs="Times New Roman"/>
                <w:b w:val="0"/>
                <w:bCs/>
                <w:sz w:val="18"/>
                <w:szCs w:val="18"/>
              </w:rPr>
              <w:t xml:space="preserve"> (2 courses in Year 1 </w:t>
            </w:r>
            <w:r w:rsidR="00AA18AC" w:rsidRPr="0060605F">
              <w:rPr>
                <w:rFonts w:ascii="Arial Narrow" w:hAnsi="Arial Narrow" w:cs="Times New Roman"/>
                <w:b w:val="0"/>
                <w:bCs/>
                <w:sz w:val="18"/>
                <w:szCs w:val="18"/>
              </w:rPr>
              <w:t>and 1 course in Year 2</w:t>
            </w:r>
            <w:r w:rsidR="00D96ECF" w:rsidRPr="0060605F">
              <w:rPr>
                <w:rFonts w:ascii="Arial Narrow" w:hAnsi="Arial Narrow" w:cs="Times New Roman"/>
                <w:b w:val="0"/>
                <w:bCs/>
                <w:sz w:val="18"/>
                <w:szCs w:val="18"/>
              </w:rPr>
              <w:t xml:space="preserve"> and 3</w:t>
            </w:r>
            <w:r w:rsidR="00AA18AC" w:rsidRPr="0060605F">
              <w:rPr>
                <w:rFonts w:ascii="Arial Narrow" w:hAnsi="Arial Narrow" w:cs="Times New Roman"/>
                <w:b w:val="0"/>
                <w:bCs/>
                <w:sz w:val="18"/>
                <w:szCs w:val="18"/>
              </w:rPr>
              <w:t xml:space="preserve">, </w:t>
            </w:r>
            <w:r w:rsidRPr="0060605F">
              <w:rPr>
                <w:rFonts w:ascii="Arial Narrow" w:hAnsi="Arial Narrow" w:cs="Times New Roman"/>
                <w:b w:val="0"/>
                <w:bCs/>
                <w:sz w:val="18"/>
                <w:szCs w:val="18"/>
              </w:rPr>
              <w:t xml:space="preserve">at </w:t>
            </w:r>
            <w:r>
              <w:rPr>
                <w:rFonts w:ascii="Arial Narrow" w:hAnsi="Arial Narrow" w:cs="Times New Roman"/>
                <w:b w:val="0"/>
                <w:bCs/>
                <w:sz w:val="18"/>
                <w:szCs w:val="18"/>
              </w:rPr>
              <w:t>central level</w:t>
            </w:r>
            <w:r w:rsidR="00AA18AC">
              <w:rPr>
                <w:rFonts w:ascii="Arial Narrow" w:hAnsi="Arial Narrow" w:cs="Times New Roman"/>
                <w:b w:val="0"/>
                <w:bCs/>
                <w:sz w:val="18"/>
                <w:szCs w:val="18"/>
              </w:rPr>
              <w:t>).</w:t>
            </w:r>
            <w:proofErr w:type="gramEnd"/>
          </w:p>
        </w:tc>
        <w:tc>
          <w:tcPr>
            <w:tcW w:w="344" w:type="dxa"/>
            <w:shd w:val="clear" w:color="auto" w:fill="auto"/>
            <w:tcMar>
              <w:left w:w="28" w:type="dxa"/>
              <w:right w:w="28" w:type="dxa"/>
            </w:tcMar>
            <w:vAlign w:val="center"/>
          </w:tcPr>
          <w:p w14:paraId="18165FA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2D60787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8FB1FA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4FB7955"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E6A75E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53A692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CE0BA2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4528B3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DB2979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476F407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2082A2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E462B1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4E309D54" w14:textId="77777777" w:rsidTr="00B46482">
        <w:tc>
          <w:tcPr>
            <w:tcW w:w="560" w:type="dxa"/>
            <w:tcMar>
              <w:left w:w="28" w:type="dxa"/>
              <w:right w:w="28" w:type="dxa"/>
            </w:tcMar>
          </w:tcPr>
          <w:p w14:paraId="2041DE40" w14:textId="6733BB61"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2.3.6</w:t>
            </w:r>
          </w:p>
        </w:tc>
        <w:tc>
          <w:tcPr>
            <w:tcW w:w="1985" w:type="dxa"/>
            <w:tcMar>
              <w:left w:w="28" w:type="dxa"/>
              <w:right w:w="28" w:type="dxa"/>
            </w:tcMar>
          </w:tcPr>
          <w:p w14:paraId="19F80183" w14:textId="62B5820C" w:rsidR="00FF4FCB" w:rsidRPr="00263536" w:rsidRDefault="00FF4FCB" w:rsidP="001C6126">
            <w:pPr>
              <w:spacing w:before="40" w:after="40" w:line="240" w:lineRule="auto"/>
              <w:jc w:val="both"/>
              <w:rPr>
                <w:rFonts w:ascii="Arial Narrow" w:hAnsi="Arial Narrow" w:cs="Times New Roman"/>
                <w:b w:val="0"/>
                <w:bCs/>
                <w:sz w:val="18"/>
                <w:szCs w:val="18"/>
              </w:rPr>
            </w:pPr>
            <w:r w:rsidRPr="00E46957">
              <w:rPr>
                <w:rFonts w:ascii="Arial Narrow" w:hAnsi="Arial Narrow" w:cs="Times New Roman"/>
                <w:b w:val="0"/>
                <w:bCs/>
                <w:sz w:val="18"/>
                <w:szCs w:val="18"/>
              </w:rPr>
              <w:t>Training</w:t>
            </w:r>
            <w:r w:rsidR="00AA18AC">
              <w:rPr>
                <w:rFonts w:ascii="Arial Narrow" w:hAnsi="Arial Narrow" w:cs="Times New Roman"/>
                <w:b w:val="0"/>
                <w:bCs/>
                <w:sz w:val="18"/>
                <w:szCs w:val="18"/>
              </w:rPr>
              <w:t xml:space="preserve"> for NGOs</w:t>
            </w:r>
            <w:r w:rsidRPr="00E46957">
              <w:rPr>
                <w:rFonts w:ascii="Arial Narrow" w:hAnsi="Arial Narrow" w:cs="Times New Roman"/>
                <w:b w:val="0"/>
                <w:bCs/>
                <w:sz w:val="18"/>
                <w:szCs w:val="18"/>
              </w:rPr>
              <w:t xml:space="preserve"> in</w:t>
            </w:r>
            <w:r w:rsidR="00AA18AC">
              <w:rPr>
                <w:rFonts w:ascii="Arial Narrow" w:hAnsi="Arial Narrow" w:cs="Times New Roman"/>
                <w:b w:val="0"/>
                <w:bCs/>
                <w:sz w:val="18"/>
                <w:szCs w:val="18"/>
              </w:rPr>
              <w:t xml:space="preserve"> organizational development, strategic planning and project management</w:t>
            </w:r>
          </w:p>
        </w:tc>
        <w:tc>
          <w:tcPr>
            <w:tcW w:w="6448" w:type="dxa"/>
            <w:tcMar>
              <w:left w:w="28" w:type="dxa"/>
              <w:right w:w="28" w:type="dxa"/>
            </w:tcMar>
          </w:tcPr>
          <w:p w14:paraId="5A5EC446" w14:textId="61FE8812" w:rsidR="00AA18AC" w:rsidRPr="00263536" w:rsidRDefault="00FF4FCB" w:rsidP="001C6126">
            <w:pPr>
              <w:spacing w:before="40" w:after="40" w:line="240" w:lineRule="auto"/>
              <w:jc w:val="both"/>
              <w:rPr>
                <w:rFonts w:ascii="Arial Narrow" w:hAnsi="Arial Narrow" w:cs="Times New Roman"/>
                <w:b w:val="0"/>
                <w:bCs/>
                <w:sz w:val="18"/>
                <w:szCs w:val="18"/>
              </w:rPr>
            </w:pPr>
            <w:r w:rsidRPr="00E46957">
              <w:rPr>
                <w:rFonts w:ascii="Arial Narrow" w:hAnsi="Arial Narrow" w:cs="Times New Roman"/>
                <w:b w:val="0"/>
                <w:bCs/>
                <w:sz w:val="18"/>
                <w:szCs w:val="18"/>
              </w:rPr>
              <w:t xml:space="preserve">Trainings for NGOs will be organized by the NTP with participation of other relevant partners, which will focus on strengthening the capacities of the NGO </w:t>
            </w:r>
            <w:r w:rsidR="00AA18AC">
              <w:rPr>
                <w:rFonts w:ascii="Arial Narrow" w:hAnsi="Arial Narrow" w:cs="Times New Roman"/>
                <w:b w:val="0"/>
                <w:bCs/>
                <w:sz w:val="18"/>
                <w:szCs w:val="18"/>
              </w:rPr>
              <w:t>in</w:t>
            </w:r>
            <w:r w:rsidRPr="00E46957">
              <w:rPr>
                <w:rFonts w:ascii="Arial Narrow" w:hAnsi="Arial Narrow" w:cs="Times New Roman"/>
                <w:b w:val="0"/>
                <w:bCs/>
                <w:sz w:val="18"/>
                <w:szCs w:val="18"/>
              </w:rPr>
              <w:t xml:space="preserve"> </w:t>
            </w:r>
            <w:r w:rsidR="00AA18AC" w:rsidRPr="00FE2CD6">
              <w:rPr>
                <w:rFonts w:ascii="Arial Narrow" w:hAnsi="Arial Narrow" w:cs="Times New Roman"/>
                <w:b w:val="0"/>
                <w:bCs/>
                <w:sz w:val="18"/>
                <w:szCs w:val="18"/>
              </w:rPr>
              <w:t xml:space="preserve">organizational development; project design, implementation, monitoring and evaluation; communications and reporting (2 </w:t>
            </w:r>
            <w:r w:rsidR="00AA18AC">
              <w:rPr>
                <w:rFonts w:ascii="Arial Narrow" w:hAnsi="Arial Narrow" w:cs="Times New Roman"/>
                <w:b w:val="0"/>
                <w:bCs/>
                <w:sz w:val="18"/>
                <w:szCs w:val="18"/>
              </w:rPr>
              <w:t xml:space="preserve">training </w:t>
            </w:r>
            <w:r w:rsidR="00AA18AC" w:rsidRPr="00FE2CD6">
              <w:rPr>
                <w:rFonts w:ascii="Arial Narrow" w:hAnsi="Arial Narrow" w:cs="Times New Roman"/>
                <w:b w:val="0"/>
                <w:bCs/>
                <w:sz w:val="18"/>
                <w:szCs w:val="18"/>
              </w:rPr>
              <w:t>courses</w:t>
            </w:r>
            <w:r w:rsidR="00AA18AC">
              <w:rPr>
                <w:rFonts w:ascii="Arial Narrow" w:hAnsi="Arial Narrow" w:cs="Times New Roman"/>
                <w:b w:val="0"/>
                <w:bCs/>
                <w:sz w:val="18"/>
                <w:szCs w:val="18"/>
              </w:rPr>
              <w:t xml:space="preserve"> in Years 1-2, at central level</w:t>
            </w:r>
            <w:r w:rsidR="00AA18AC" w:rsidRPr="00FE2CD6">
              <w:rPr>
                <w:rFonts w:ascii="Arial Narrow" w:hAnsi="Arial Narrow" w:cs="Times New Roman"/>
                <w:b w:val="0"/>
                <w:bCs/>
                <w:sz w:val="18"/>
                <w:szCs w:val="18"/>
              </w:rPr>
              <w:t>).</w:t>
            </w:r>
          </w:p>
        </w:tc>
        <w:tc>
          <w:tcPr>
            <w:tcW w:w="344" w:type="dxa"/>
            <w:shd w:val="clear" w:color="auto" w:fill="auto"/>
            <w:tcMar>
              <w:left w:w="28" w:type="dxa"/>
              <w:right w:w="28" w:type="dxa"/>
            </w:tcMar>
            <w:vAlign w:val="center"/>
          </w:tcPr>
          <w:p w14:paraId="009C886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02A6CA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6971F35"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2E94FFB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524091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27EAFB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1280E4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8B9352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439E8B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CA0E8E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412CF1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09F669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7194732F" w14:textId="77777777" w:rsidTr="00B46482">
        <w:tc>
          <w:tcPr>
            <w:tcW w:w="560" w:type="dxa"/>
            <w:tcMar>
              <w:left w:w="28" w:type="dxa"/>
              <w:right w:w="28" w:type="dxa"/>
            </w:tcMar>
          </w:tcPr>
          <w:p w14:paraId="3A1088DE" w14:textId="620C0805"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2.3.7</w:t>
            </w:r>
          </w:p>
        </w:tc>
        <w:tc>
          <w:tcPr>
            <w:tcW w:w="1985" w:type="dxa"/>
            <w:tcMar>
              <w:left w:w="28" w:type="dxa"/>
              <w:right w:w="28" w:type="dxa"/>
            </w:tcMar>
          </w:tcPr>
          <w:p w14:paraId="01C10A2E" w14:textId="55857F00" w:rsidR="00FF4FCB" w:rsidRPr="00E46957" w:rsidRDefault="00FF4FCB" w:rsidP="001C6126">
            <w:pPr>
              <w:spacing w:before="40" w:after="40" w:line="240" w:lineRule="auto"/>
              <w:jc w:val="both"/>
              <w:rPr>
                <w:rFonts w:ascii="Arial Narrow" w:hAnsi="Arial Narrow" w:cs="Times New Roman"/>
                <w:b w:val="0"/>
                <w:bCs/>
                <w:sz w:val="18"/>
                <w:szCs w:val="18"/>
              </w:rPr>
            </w:pPr>
            <w:r w:rsidRPr="00E46957">
              <w:rPr>
                <w:rFonts w:ascii="Arial Narrow" w:hAnsi="Arial Narrow" w:cs="Times New Roman"/>
                <w:b w:val="0"/>
                <w:bCs/>
                <w:sz w:val="18"/>
                <w:szCs w:val="18"/>
              </w:rPr>
              <w:t xml:space="preserve">NGO </w:t>
            </w:r>
            <w:r w:rsidR="00AA18AC">
              <w:rPr>
                <w:rFonts w:ascii="Arial Narrow" w:hAnsi="Arial Narrow" w:cs="Times New Roman"/>
                <w:b w:val="0"/>
                <w:bCs/>
                <w:sz w:val="18"/>
                <w:szCs w:val="18"/>
              </w:rPr>
              <w:t>grants program</w:t>
            </w:r>
          </w:p>
          <w:p w14:paraId="275F6EF6" w14:textId="77777777" w:rsidR="00FF4FCB" w:rsidRPr="00263536" w:rsidRDefault="00FF4FCB" w:rsidP="001C6126">
            <w:pPr>
              <w:spacing w:before="40" w:after="40" w:line="240" w:lineRule="auto"/>
              <w:jc w:val="both"/>
              <w:rPr>
                <w:rFonts w:ascii="Arial Narrow" w:hAnsi="Arial Narrow" w:cs="Times New Roman"/>
                <w:b w:val="0"/>
                <w:bCs/>
                <w:sz w:val="18"/>
                <w:szCs w:val="18"/>
              </w:rPr>
            </w:pPr>
          </w:p>
        </w:tc>
        <w:tc>
          <w:tcPr>
            <w:tcW w:w="6448" w:type="dxa"/>
            <w:tcMar>
              <w:left w:w="28" w:type="dxa"/>
              <w:right w:w="28" w:type="dxa"/>
            </w:tcMar>
          </w:tcPr>
          <w:p w14:paraId="1330A3B2" w14:textId="76254896" w:rsidR="00AA18AC" w:rsidRPr="00263536" w:rsidRDefault="00AA18AC" w:rsidP="001C6126">
            <w:pPr>
              <w:spacing w:before="40" w:after="40" w:line="240" w:lineRule="auto"/>
              <w:jc w:val="both"/>
              <w:rPr>
                <w:rFonts w:ascii="Arial Narrow" w:hAnsi="Arial Narrow" w:cs="Times New Roman"/>
                <w:b w:val="0"/>
                <w:bCs/>
                <w:sz w:val="18"/>
                <w:szCs w:val="18"/>
              </w:rPr>
            </w:pPr>
            <w:r w:rsidRPr="00AA18AC">
              <w:rPr>
                <w:rFonts w:ascii="Arial Narrow" w:hAnsi="Arial Narrow" w:cs="Times New Roman"/>
                <w:b w:val="0"/>
                <w:bCs/>
                <w:sz w:val="18"/>
                <w:szCs w:val="18"/>
              </w:rPr>
              <w:t xml:space="preserve">The </w:t>
            </w:r>
            <w:r>
              <w:rPr>
                <w:rFonts w:ascii="Arial Narrow" w:hAnsi="Arial Narrow" w:cs="Times New Roman"/>
                <w:b w:val="0"/>
                <w:bCs/>
                <w:sz w:val="18"/>
                <w:szCs w:val="18"/>
              </w:rPr>
              <w:t xml:space="preserve">project will </w:t>
            </w:r>
            <w:r w:rsidRPr="00AA18AC">
              <w:rPr>
                <w:rFonts w:ascii="Arial Narrow" w:hAnsi="Arial Narrow" w:cs="Times New Roman"/>
                <w:b w:val="0"/>
                <w:bCs/>
                <w:sz w:val="18"/>
                <w:szCs w:val="18"/>
              </w:rPr>
              <w:t xml:space="preserve">support to </w:t>
            </w:r>
            <w:proofErr w:type="gramStart"/>
            <w:r w:rsidRPr="00AA18AC">
              <w:rPr>
                <w:rFonts w:ascii="Arial Narrow" w:hAnsi="Arial Narrow" w:cs="Times New Roman"/>
                <w:b w:val="0"/>
                <w:bCs/>
                <w:sz w:val="18"/>
                <w:szCs w:val="18"/>
              </w:rPr>
              <w:t>a total of 45</w:t>
            </w:r>
            <w:proofErr w:type="gramEnd"/>
            <w:r w:rsidRPr="00AA18AC">
              <w:rPr>
                <w:rFonts w:ascii="Arial Narrow" w:hAnsi="Arial Narrow" w:cs="Times New Roman"/>
                <w:b w:val="0"/>
                <w:bCs/>
                <w:sz w:val="18"/>
                <w:szCs w:val="18"/>
              </w:rPr>
              <w:t xml:space="preserve"> small NGO grants</w:t>
            </w:r>
            <w:r>
              <w:rPr>
                <w:rFonts w:ascii="Arial Narrow" w:hAnsi="Arial Narrow" w:cs="Times New Roman"/>
                <w:b w:val="0"/>
                <w:bCs/>
                <w:sz w:val="18"/>
                <w:szCs w:val="18"/>
              </w:rPr>
              <w:t xml:space="preserve">: </w:t>
            </w:r>
            <w:r w:rsidRPr="00AA18AC">
              <w:rPr>
                <w:rFonts w:ascii="Arial Narrow" w:hAnsi="Arial Narrow" w:cs="Times New Roman"/>
                <w:b w:val="0"/>
                <w:bCs/>
                <w:sz w:val="18"/>
                <w:szCs w:val="18"/>
              </w:rPr>
              <w:t xml:space="preserve">Year 1- 20 grants, Year 2 – 15 grants, Year 3 – 10 grants, relying on the state </w:t>
            </w:r>
            <w:r>
              <w:rPr>
                <w:rFonts w:ascii="Arial Narrow" w:hAnsi="Arial Narrow" w:cs="Times New Roman"/>
                <w:b w:val="0"/>
                <w:bCs/>
                <w:sz w:val="18"/>
                <w:szCs w:val="18"/>
              </w:rPr>
              <w:t xml:space="preserve">takeover with time </w:t>
            </w:r>
            <w:r w:rsidRPr="00AA18AC">
              <w:rPr>
                <w:rFonts w:ascii="Arial Narrow" w:hAnsi="Arial Narrow" w:cs="Times New Roman"/>
                <w:b w:val="0"/>
                <w:bCs/>
                <w:sz w:val="18"/>
                <w:szCs w:val="18"/>
              </w:rPr>
              <w:t>through social contracting</w:t>
            </w:r>
            <w:r>
              <w:rPr>
                <w:rFonts w:ascii="Arial Narrow" w:hAnsi="Arial Narrow" w:cs="Times New Roman"/>
                <w:b w:val="0"/>
                <w:bCs/>
                <w:sz w:val="18"/>
                <w:szCs w:val="18"/>
              </w:rPr>
              <w:t xml:space="preserve">. </w:t>
            </w:r>
            <w:proofErr w:type="gramStart"/>
            <w:r w:rsidRPr="00AA18AC">
              <w:rPr>
                <w:rFonts w:ascii="Arial Narrow" w:hAnsi="Arial Narrow" w:cs="Times New Roman"/>
                <w:b w:val="0"/>
                <w:bCs/>
                <w:sz w:val="18"/>
                <w:szCs w:val="18"/>
              </w:rPr>
              <w:t>The NGO grants will be implemented in different regions of the country and will include a comprehensive range of interventions focusing on: (</w:t>
            </w:r>
            <w:proofErr w:type="spellStart"/>
            <w:r w:rsidRPr="00AA18AC">
              <w:rPr>
                <w:rFonts w:ascii="Arial Narrow" w:hAnsi="Arial Narrow" w:cs="Times New Roman"/>
                <w:b w:val="0"/>
                <w:bCs/>
                <w:sz w:val="18"/>
                <w:szCs w:val="18"/>
              </w:rPr>
              <w:t>i</w:t>
            </w:r>
            <w:proofErr w:type="spellEnd"/>
            <w:r w:rsidRPr="00AA18AC">
              <w:rPr>
                <w:rFonts w:ascii="Arial Narrow" w:hAnsi="Arial Narrow" w:cs="Times New Roman"/>
                <w:b w:val="0"/>
                <w:bCs/>
                <w:sz w:val="18"/>
                <w:szCs w:val="18"/>
              </w:rPr>
              <w:t xml:space="preserve">) rolling out of innovative people- and patient-centered approaches for improving case detection, treatment adherence, contact tracing and prevention in disadvantaged communities; (ii) support to TB and DR-TB case finding, case management and </w:t>
            </w:r>
            <w:r w:rsidRPr="00AA18AC">
              <w:rPr>
                <w:rFonts w:ascii="Arial Narrow" w:hAnsi="Arial Narrow" w:cs="Times New Roman"/>
                <w:b w:val="0"/>
                <w:bCs/>
                <w:sz w:val="18"/>
                <w:szCs w:val="18"/>
              </w:rPr>
              <w:lastRenderedPageBreak/>
              <w:t>prevention in high-risk and vulnerable population groups: PLHIV, IDUs, migrants, prisoners and ex-prisoners, and homeless people; and (iii) addressing legal barriers to care, human rights, gender, stigma and other factors limiting access to services.</w:t>
            </w:r>
            <w:proofErr w:type="gramEnd"/>
          </w:p>
        </w:tc>
        <w:tc>
          <w:tcPr>
            <w:tcW w:w="344" w:type="dxa"/>
            <w:shd w:val="clear" w:color="auto" w:fill="D9D9D9" w:themeFill="background1" w:themeFillShade="D9"/>
            <w:tcMar>
              <w:left w:w="28" w:type="dxa"/>
              <w:right w:w="28" w:type="dxa"/>
            </w:tcMar>
            <w:vAlign w:val="center"/>
          </w:tcPr>
          <w:p w14:paraId="4C048C5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589245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59453BE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017321B"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4EA09F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18CAEC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D1AF485"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E236A6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FB6EF2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8027CC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27A63B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C5059D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1D9B242C" w14:textId="77777777" w:rsidTr="00B46482">
        <w:tc>
          <w:tcPr>
            <w:tcW w:w="560" w:type="dxa"/>
            <w:tcMar>
              <w:left w:w="28" w:type="dxa"/>
              <w:right w:w="28" w:type="dxa"/>
            </w:tcMar>
          </w:tcPr>
          <w:p w14:paraId="087A9F2A" w14:textId="7077D8D2"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lastRenderedPageBreak/>
              <w:t>2.3.8</w:t>
            </w:r>
          </w:p>
        </w:tc>
        <w:tc>
          <w:tcPr>
            <w:tcW w:w="1985" w:type="dxa"/>
            <w:tcMar>
              <w:left w:w="28" w:type="dxa"/>
              <w:right w:w="28" w:type="dxa"/>
            </w:tcMar>
          </w:tcPr>
          <w:p w14:paraId="6338C674" w14:textId="7D7C77A6" w:rsidR="00FF4FCB" w:rsidRPr="00263536" w:rsidRDefault="00F4688D" w:rsidP="001C6126">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M</w:t>
            </w:r>
            <w:r w:rsidR="00FF4FCB" w:rsidRPr="00E46957">
              <w:rPr>
                <w:rFonts w:ascii="Arial Narrow" w:hAnsi="Arial Narrow" w:cs="Times New Roman"/>
                <w:b w:val="0"/>
                <w:bCs/>
                <w:sz w:val="18"/>
                <w:szCs w:val="18"/>
              </w:rPr>
              <w:t xml:space="preserve">onitoring of </w:t>
            </w:r>
            <w:r>
              <w:rPr>
                <w:rFonts w:ascii="Arial Narrow" w:hAnsi="Arial Narrow" w:cs="Times New Roman"/>
                <w:b w:val="0"/>
                <w:bCs/>
                <w:sz w:val="18"/>
                <w:szCs w:val="18"/>
              </w:rPr>
              <w:t xml:space="preserve">NGO </w:t>
            </w:r>
            <w:r w:rsidR="00FF4FCB" w:rsidRPr="00E46957">
              <w:rPr>
                <w:rFonts w:ascii="Arial Narrow" w:hAnsi="Arial Narrow" w:cs="Times New Roman"/>
                <w:b w:val="0"/>
                <w:bCs/>
                <w:sz w:val="18"/>
                <w:szCs w:val="18"/>
              </w:rPr>
              <w:t>grants implementation</w:t>
            </w:r>
          </w:p>
        </w:tc>
        <w:tc>
          <w:tcPr>
            <w:tcW w:w="6448" w:type="dxa"/>
            <w:tcMar>
              <w:left w:w="28" w:type="dxa"/>
              <w:right w:w="28" w:type="dxa"/>
            </w:tcMar>
          </w:tcPr>
          <w:p w14:paraId="142232D3" w14:textId="4D01DA77" w:rsidR="00AA18AC" w:rsidRPr="00263536" w:rsidRDefault="00AA18AC" w:rsidP="001C6126">
            <w:pPr>
              <w:spacing w:before="40" w:after="40" w:line="240" w:lineRule="auto"/>
              <w:jc w:val="both"/>
              <w:rPr>
                <w:rFonts w:ascii="Arial Narrow" w:hAnsi="Arial Narrow" w:cs="Times New Roman"/>
                <w:b w:val="0"/>
                <w:bCs/>
                <w:sz w:val="18"/>
                <w:szCs w:val="18"/>
              </w:rPr>
            </w:pPr>
            <w:proofErr w:type="gramStart"/>
            <w:r w:rsidRPr="00AA18AC">
              <w:rPr>
                <w:rFonts w:ascii="Arial Narrow" w:hAnsi="Arial Narrow" w:cs="Times New Roman"/>
                <w:b w:val="0"/>
                <w:bCs/>
                <w:sz w:val="18"/>
                <w:szCs w:val="18"/>
              </w:rPr>
              <w:t>Monitoring visits to selected regions and projects will be conducted by PR and NTP M&amp;E staff to assess grants implementation, quality of services and users’ satisfaction, and identify implementation challenges and measures required to address them</w:t>
            </w:r>
            <w:r w:rsidR="00F4688D">
              <w:rPr>
                <w:rFonts w:ascii="Arial Narrow" w:hAnsi="Arial Narrow" w:cs="Times New Roman"/>
                <w:b w:val="0"/>
                <w:bCs/>
                <w:sz w:val="18"/>
                <w:szCs w:val="18"/>
              </w:rPr>
              <w:t xml:space="preserve"> (2 </w:t>
            </w:r>
            <w:r w:rsidRPr="00AA18AC">
              <w:rPr>
                <w:rFonts w:ascii="Arial Narrow" w:hAnsi="Arial Narrow" w:cs="Times New Roman"/>
                <w:b w:val="0"/>
                <w:bCs/>
                <w:sz w:val="18"/>
                <w:szCs w:val="18"/>
              </w:rPr>
              <w:t>monitoring visits per project per year</w:t>
            </w:r>
            <w:r w:rsidR="00F4688D">
              <w:rPr>
                <w:rFonts w:ascii="Arial Narrow" w:hAnsi="Arial Narrow" w:cs="Times New Roman"/>
                <w:b w:val="0"/>
                <w:bCs/>
                <w:sz w:val="18"/>
                <w:szCs w:val="18"/>
              </w:rPr>
              <w:t>)</w:t>
            </w:r>
            <w:proofErr w:type="gramEnd"/>
            <w:r w:rsidR="00F4688D">
              <w:rPr>
                <w:rFonts w:ascii="Arial Narrow" w:hAnsi="Arial Narrow" w:cs="Times New Roman"/>
                <w:b w:val="0"/>
                <w:bCs/>
                <w:sz w:val="18"/>
                <w:szCs w:val="18"/>
              </w:rPr>
              <w:t>.</w:t>
            </w:r>
          </w:p>
        </w:tc>
        <w:tc>
          <w:tcPr>
            <w:tcW w:w="344" w:type="dxa"/>
            <w:shd w:val="clear" w:color="auto" w:fill="D9D9D9" w:themeFill="background1" w:themeFillShade="D9"/>
            <w:tcMar>
              <w:left w:w="28" w:type="dxa"/>
              <w:right w:w="28" w:type="dxa"/>
            </w:tcMar>
            <w:vAlign w:val="center"/>
          </w:tcPr>
          <w:p w14:paraId="7F04849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B5FA10B"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4EB21D8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2222B71B"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8D7471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5CF5E1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F58F07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720EF9B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38E1F65"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E5737B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302238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7419D20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26950A0C" w14:textId="77777777" w:rsidTr="00B46482">
        <w:tc>
          <w:tcPr>
            <w:tcW w:w="560" w:type="dxa"/>
            <w:tcMar>
              <w:left w:w="28" w:type="dxa"/>
              <w:right w:w="28" w:type="dxa"/>
            </w:tcMar>
          </w:tcPr>
          <w:p w14:paraId="63C7665A" w14:textId="31435348"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2.3.9</w:t>
            </w:r>
          </w:p>
        </w:tc>
        <w:tc>
          <w:tcPr>
            <w:tcW w:w="1985" w:type="dxa"/>
            <w:tcMar>
              <w:left w:w="28" w:type="dxa"/>
              <w:right w:w="28" w:type="dxa"/>
            </w:tcMar>
          </w:tcPr>
          <w:p w14:paraId="73AE77A3" w14:textId="260D5447" w:rsidR="00FF4FCB" w:rsidRPr="00263536" w:rsidRDefault="00F4688D" w:rsidP="001C6126">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E</w:t>
            </w:r>
            <w:r w:rsidR="00FF4FCB" w:rsidRPr="00E46957">
              <w:rPr>
                <w:rFonts w:ascii="Arial Narrow" w:hAnsi="Arial Narrow" w:cs="Times New Roman"/>
                <w:b w:val="0"/>
                <w:bCs/>
                <w:sz w:val="18"/>
                <w:szCs w:val="18"/>
              </w:rPr>
              <w:t>xperience exchange visits</w:t>
            </w:r>
            <w:r>
              <w:rPr>
                <w:rFonts w:ascii="Arial Narrow" w:hAnsi="Arial Narrow" w:cs="Times New Roman"/>
                <w:b w:val="0"/>
                <w:bCs/>
                <w:sz w:val="18"/>
                <w:szCs w:val="18"/>
              </w:rPr>
              <w:t xml:space="preserve"> for NGOs</w:t>
            </w:r>
          </w:p>
        </w:tc>
        <w:tc>
          <w:tcPr>
            <w:tcW w:w="6448" w:type="dxa"/>
            <w:tcMar>
              <w:left w:w="28" w:type="dxa"/>
              <w:right w:w="28" w:type="dxa"/>
            </w:tcMar>
          </w:tcPr>
          <w:p w14:paraId="0730AC78" w14:textId="0826B6F8" w:rsidR="00F4688D" w:rsidRPr="00263536" w:rsidRDefault="00F4688D" w:rsidP="001C6126">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E</w:t>
            </w:r>
            <w:r w:rsidRPr="00AA18AC">
              <w:rPr>
                <w:rFonts w:ascii="Arial Narrow" w:hAnsi="Arial Narrow" w:cs="Times New Roman"/>
                <w:b w:val="0"/>
                <w:bCs/>
                <w:sz w:val="18"/>
                <w:szCs w:val="18"/>
              </w:rPr>
              <w:t xml:space="preserve">xchange visits between different NGO implementers </w:t>
            </w:r>
            <w:proofErr w:type="gramStart"/>
            <w:r w:rsidRPr="00AA18AC">
              <w:rPr>
                <w:rFonts w:ascii="Arial Narrow" w:hAnsi="Arial Narrow" w:cs="Times New Roman"/>
                <w:b w:val="0"/>
                <w:bCs/>
                <w:sz w:val="18"/>
                <w:szCs w:val="18"/>
              </w:rPr>
              <w:t>will be organized</w:t>
            </w:r>
            <w:proofErr w:type="gramEnd"/>
            <w:r w:rsidRPr="00AA18AC">
              <w:rPr>
                <w:rFonts w:ascii="Arial Narrow" w:hAnsi="Arial Narrow" w:cs="Times New Roman"/>
                <w:b w:val="0"/>
                <w:bCs/>
                <w:sz w:val="18"/>
                <w:szCs w:val="18"/>
              </w:rPr>
              <w:t xml:space="preserve"> with the scope of peer review and experience s</w:t>
            </w:r>
            <w:r>
              <w:rPr>
                <w:rFonts w:ascii="Arial Narrow" w:hAnsi="Arial Narrow" w:cs="Times New Roman"/>
                <w:b w:val="0"/>
                <w:bCs/>
                <w:sz w:val="18"/>
                <w:szCs w:val="18"/>
              </w:rPr>
              <w:t>haring (</w:t>
            </w:r>
            <w:r w:rsidRPr="00E46957">
              <w:rPr>
                <w:rFonts w:ascii="Arial Narrow" w:hAnsi="Arial Narrow" w:cs="Times New Roman"/>
                <w:b w:val="0"/>
                <w:bCs/>
                <w:sz w:val="18"/>
                <w:szCs w:val="18"/>
              </w:rPr>
              <w:t xml:space="preserve">2 visits per year </w:t>
            </w:r>
            <w:r>
              <w:rPr>
                <w:rFonts w:ascii="Arial Narrow" w:hAnsi="Arial Narrow" w:cs="Times New Roman"/>
                <w:b w:val="0"/>
                <w:bCs/>
                <w:sz w:val="18"/>
                <w:szCs w:val="18"/>
              </w:rPr>
              <w:t>in Years 1-2).</w:t>
            </w:r>
          </w:p>
        </w:tc>
        <w:tc>
          <w:tcPr>
            <w:tcW w:w="344" w:type="dxa"/>
            <w:shd w:val="clear" w:color="auto" w:fill="auto"/>
            <w:tcMar>
              <w:left w:w="28" w:type="dxa"/>
              <w:right w:w="28" w:type="dxa"/>
            </w:tcMar>
            <w:vAlign w:val="center"/>
          </w:tcPr>
          <w:p w14:paraId="71551BA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911FDD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7244728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46EA992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103688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ACDF5A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A5710F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932BE3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AB7AF1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3C4522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D91863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2D73EE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5CD46C4E" w14:textId="77777777" w:rsidTr="00B46482">
        <w:tc>
          <w:tcPr>
            <w:tcW w:w="560" w:type="dxa"/>
            <w:tcMar>
              <w:left w:w="28" w:type="dxa"/>
              <w:right w:w="28" w:type="dxa"/>
            </w:tcMar>
          </w:tcPr>
          <w:p w14:paraId="3EAF37F0" w14:textId="684D62E0"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2.3.10</w:t>
            </w:r>
          </w:p>
        </w:tc>
        <w:tc>
          <w:tcPr>
            <w:tcW w:w="1985" w:type="dxa"/>
            <w:tcMar>
              <w:left w:w="28" w:type="dxa"/>
              <w:right w:w="28" w:type="dxa"/>
            </w:tcMar>
          </w:tcPr>
          <w:p w14:paraId="6301DA43" w14:textId="02AFFC1E" w:rsidR="00FF4FCB" w:rsidRPr="00263536" w:rsidRDefault="00FF4FCB" w:rsidP="001C6126">
            <w:pPr>
              <w:spacing w:before="40" w:after="40" w:line="240" w:lineRule="auto"/>
              <w:jc w:val="both"/>
              <w:rPr>
                <w:rFonts w:ascii="Arial Narrow" w:hAnsi="Arial Narrow" w:cs="Times New Roman"/>
                <w:b w:val="0"/>
                <w:bCs/>
                <w:sz w:val="18"/>
                <w:szCs w:val="18"/>
              </w:rPr>
            </w:pPr>
            <w:r w:rsidRPr="00E46957">
              <w:rPr>
                <w:rFonts w:ascii="Arial Narrow" w:hAnsi="Arial Narrow" w:cs="Times New Roman"/>
                <w:b w:val="0"/>
                <w:bCs/>
                <w:sz w:val="18"/>
                <w:szCs w:val="18"/>
              </w:rPr>
              <w:t>Update of t</w:t>
            </w:r>
            <w:r>
              <w:rPr>
                <w:rFonts w:ascii="Arial Narrow" w:hAnsi="Arial Narrow" w:cs="Times New Roman"/>
                <w:b w:val="0"/>
                <w:bCs/>
                <w:sz w:val="18"/>
                <w:szCs w:val="18"/>
              </w:rPr>
              <w:t>he NGO clients</w:t>
            </w:r>
            <w:r w:rsidR="00F4688D">
              <w:rPr>
                <w:rFonts w:ascii="Arial Narrow" w:hAnsi="Arial Narrow" w:cs="Times New Roman"/>
                <w:b w:val="0"/>
                <w:bCs/>
                <w:sz w:val="18"/>
                <w:szCs w:val="18"/>
              </w:rPr>
              <w:t>’</w:t>
            </w:r>
            <w:r>
              <w:rPr>
                <w:rFonts w:ascii="Arial Narrow" w:hAnsi="Arial Narrow" w:cs="Times New Roman"/>
                <w:b w:val="0"/>
                <w:bCs/>
                <w:sz w:val="18"/>
                <w:szCs w:val="18"/>
              </w:rPr>
              <w:t xml:space="preserve"> database</w:t>
            </w:r>
          </w:p>
        </w:tc>
        <w:tc>
          <w:tcPr>
            <w:tcW w:w="6448" w:type="dxa"/>
            <w:tcMar>
              <w:left w:w="28" w:type="dxa"/>
              <w:right w:w="28" w:type="dxa"/>
            </w:tcMar>
          </w:tcPr>
          <w:p w14:paraId="591F21A4" w14:textId="41726181" w:rsidR="00F4688D" w:rsidRPr="00263536" w:rsidRDefault="00F4688D" w:rsidP="001C6126">
            <w:pPr>
              <w:spacing w:before="40" w:after="40" w:line="240" w:lineRule="auto"/>
              <w:jc w:val="both"/>
              <w:rPr>
                <w:rFonts w:ascii="Arial Narrow" w:hAnsi="Arial Narrow" w:cs="Times New Roman"/>
                <w:b w:val="0"/>
                <w:bCs/>
                <w:sz w:val="18"/>
                <w:szCs w:val="18"/>
              </w:rPr>
            </w:pPr>
            <w:r w:rsidRPr="00AA18AC">
              <w:rPr>
                <w:rFonts w:ascii="Arial Narrow" w:hAnsi="Arial Narrow" w:cs="Times New Roman"/>
                <w:b w:val="0"/>
                <w:bCs/>
                <w:sz w:val="18"/>
                <w:szCs w:val="18"/>
              </w:rPr>
              <w:t xml:space="preserve">The NGO clients’ database, which is being established under the ongoing TGF TB project, will be maintained and regularly updated to ensure </w:t>
            </w:r>
            <w:r>
              <w:rPr>
                <w:rFonts w:ascii="Arial Narrow" w:hAnsi="Arial Narrow" w:cs="Times New Roman"/>
                <w:b w:val="0"/>
                <w:bCs/>
                <w:sz w:val="18"/>
                <w:szCs w:val="18"/>
              </w:rPr>
              <w:t xml:space="preserve">reliable evidence of clients and </w:t>
            </w:r>
            <w:r w:rsidRPr="00AA18AC">
              <w:rPr>
                <w:rFonts w:ascii="Arial Narrow" w:hAnsi="Arial Narrow" w:cs="Times New Roman"/>
                <w:b w:val="0"/>
                <w:bCs/>
                <w:sz w:val="18"/>
                <w:szCs w:val="18"/>
              </w:rPr>
              <w:t>effective M&amp;E of servi</w:t>
            </w:r>
            <w:r>
              <w:rPr>
                <w:rFonts w:ascii="Arial Narrow" w:hAnsi="Arial Narrow" w:cs="Times New Roman"/>
                <w:b w:val="0"/>
                <w:bCs/>
                <w:sz w:val="18"/>
                <w:szCs w:val="18"/>
              </w:rPr>
              <w:t>ces provided within the grants (in Year 1).</w:t>
            </w:r>
          </w:p>
        </w:tc>
        <w:tc>
          <w:tcPr>
            <w:tcW w:w="344" w:type="dxa"/>
            <w:shd w:val="clear" w:color="auto" w:fill="auto"/>
            <w:tcMar>
              <w:left w:w="28" w:type="dxa"/>
              <w:right w:w="28" w:type="dxa"/>
            </w:tcMar>
            <w:vAlign w:val="center"/>
          </w:tcPr>
          <w:p w14:paraId="1A5A809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D04364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45A2898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782A3B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9CF424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F2E6A5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2B38A6B"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CD1DE6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A4EADD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7713FA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EA36B8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E617BB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7B1F8730" w14:textId="77777777" w:rsidTr="00B46482">
        <w:tc>
          <w:tcPr>
            <w:tcW w:w="560" w:type="dxa"/>
            <w:tcMar>
              <w:left w:w="28" w:type="dxa"/>
              <w:right w:w="28" w:type="dxa"/>
            </w:tcMar>
          </w:tcPr>
          <w:p w14:paraId="5C4BCF17" w14:textId="14241030"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2.3.11</w:t>
            </w:r>
          </w:p>
        </w:tc>
        <w:tc>
          <w:tcPr>
            <w:tcW w:w="1985" w:type="dxa"/>
            <w:tcMar>
              <w:left w:w="28" w:type="dxa"/>
              <w:right w:w="28" w:type="dxa"/>
            </w:tcMar>
          </w:tcPr>
          <w:p w14:paraId="63548EA1" w14:textId="422843BF" w:rsidR="00FF4FCB" w:rsidRPr="00263536" w:rsidRDefault="00FF4FCB" w:rsidP="001C6126">
            <w:pPr>
              <w:spacing w:before="40" w:after="40" w:line="240" w:lineRule="auto"/>
              <w:jc w:val="both"/>
              <w:rPr>
                <w:rFonts w:ascii="Arial Narrow" w:hAnsi="Arial Narrow" w:cs="Times New Roman"/>
                <w:b w:val="0"/>
                <w:bCs/>
                <w:sz w:val="18"/>
                <w:szCs w:val="18"/>
              </w:rPr>
            </w:pPr>
            <w:r w:rsidRPr="00E46957">
              <w:rPr>
                <w:rFonts w:ascii="Arial Narrow" w:hAnsi="Arial Narrow" w:cs="Times New Roman"/>
                <w:b w:val="0"/>
                <w:bCs/>
                <w:sz w:val="18"/>
                <w:szCs w:val="18"/>
              </w:rPr>
              <w:t xml:space="preserve">Training on </w:t>
            </w:r>
            <w:r w:rsidR="00F4688D">
              <w:rPr>
                <w:rFonts w:ascii="Arial Narrow" w:hAnsi="Arial Narrow" w:cs="Times New Roman"/>
                <w:b w:val="0"/>
                <w:bCs/>
                <w:sz w:val="18"/>
                <w:szCs w:val="18"/>
              </w:rPr>
              <w:t xml:space="preserve">the </w:t>
            </w:r>
            <w:r w:rsidRPr="00E46957">
              <w:rPr>
                <w:rFonts w:ascii="Arial Narrow" w:hAnsi="Arial Narrow" w:cs="Times New Roman"/>
                <w:b w:val="0"/>
                <w:bCs/>
                <w:sz w:val="18"/>
                <w:szCs w:val="18"/>
              </w:rPr>
              <w:t>use of t</w:t>
            </w:r>
            <w:r>
              <w:rPr>
                <w:rFonts w:ascii="Arial Narrow" w:hAnsi="Arial Narrow" w:cs="Times New Roman"/>
                <w:b w:val="0"/>
                <w:bCs/>
                <w:sz w:val="18"/>
                <w:szCs w:val="18"/>
              </w:rPr>
              <w:t>he NGO clients</w:t>
            </w:r>
            <w:r w:rsidR="00F4688D">
              <w:rPr>
                <w:rFonts w:ascii="Arial Narrow" w:hAnsi="Arial Narrow" w:cs="Times New Roman"/>
                <w:b w:val="0"/>
                <w:bCs/>
                <w:sz w:val="18"/>
                <w:szCs w:val="18"/>
              </w:rPr>
              <w:t>’ data</w:t>
            </w:r>
            <w:r>
              <w:rPr>
                <w:rFonts w:ascii="Arial Narrow" w:hAnsi="Arial Narrow" w:cs="Times New Roman"/>
                <w:b w:val="0"/>
                <w:bCs/>
                <w:sz w:val="18"/>
                <w:szCs w:val="18"/>
              </w:rPr>
              <w:t>base</w:t>
            </w:r>
          </w:p>
        </w:tc>
        <w:tc>
          <w:tcPr>
            <w:tcW w:w="6448" w:type="dxa"/>
            <w:tcMar>
              <w:left w:w="28" w:type="dxa"/>
              <w:right w:w="28" w:type="dxa"/>
            </w:tcMar>
          </w:tcPr>
          <w:p w14:paraId="3DF09832" w14:textId="5183FF77" w:rsidR="00F4688D" w:rsidRPr="00263536" w:rsidRDefault="00F4688D" w:rsidP="001C6126">
            <w:pPr>
              <w:spacing w:before="40" w:after="40" w:line="240" w:lineRule="auto"/>
              <w:jc w:val="both"/>
              <w:rPr>
                <w:rFonts w:ascii="Arial Narrow" w:hAnsi="Arial Narrow" w:cs="Times New Roman"/>
                <w:b w:val="0"/>
                <w:bCs/>
                <w:sz w:val="18"/>
                <w:szCs w:val="18"/>
              </w:rPr>
            </w:pPr>
            <w:r w:rsidRPr="00AA18AC">
              <w:rPr>
                <w:rFonts w:ascii="Arial Narrow" w:hAnsi="Arial Narrow" w:cs="Times New Roman"/>
                <w:b w:val="0"/>
                <w:bCs/>
                <w:sz w:val="18"/>
                <w:szCs w:val="18"/>
              </w:rPr>
              <w:t>The NGO grantees’ staff will receive appropriate training and management of clients’ data</w:t>
            </w:r>
            <w:r>
              <w:rPr>
                <w:rFonts w:ascii="Arial Narrow" w:hAnsi="Arial Narrow" w:cs="Times New Roman"/>
                <w:b w:val="0"/>
                <w:bCs/>
                <w:sz w:val="18"/>
                <w:szCs w:val="18"/>
              </w:rPr>
              <w:t xml:space="preserve">. Two people from each implementing organization </w:t>
            </w:r>
            <w:proofErr w:type="gramStart"/>
            <w:r>
              <w:rPr>
                <w:rFonts w:ascii="Arial Narrow" w:hAnsi="Arial Narrow" w:cs="Times New Roman"/>
                <w:b w:val="0"/>
                <w:bCs/>
                <w:sz w:val="18"/>
                <w:szCs w:val="18"/>
              </w:rPr>
              <w:t>will be trained</w:t>
            </w:r>
            <w:proofErr w:type="gramEnd"/>
            <w:r>
              <w:rPr>
                <w:rFonts w:ascii="Arial Narrow" w:hAnsi="Arial Narrow" w:cs="Times New Roman"/>
                <w:b w:val="0"/>
                <w:bCs/>
                <w:sz w:val="18"/>
                <w:szCs w:val="18"/>
              </w:rPr>
              <w:t xml:space="preserve"> during Year 2.</w:t>
            </w:r>
          </w:p>
        </w:tc>
        <w:tc>
          <w:tcPr>
            <w:tcW w:w="344" w:type="dxa"/>
            <w:shd w:val="clear" w:color="auto" w:fill="auto"/>
            <w:tcMar>
              <w:left w:w="28" w:type="dxa"/>
              <w:right w:w="28" w:type="dxa"/>
            </w:tcMar>
            <w:vAlign w:val="center"/>
          </w:tcPr>
          <w:p w14:paraId="520B8A9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FD1515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C2A928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8444505"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7E18B3F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4BC30AB"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2A3DD6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37069C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A965F6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5D65B5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B7AF48B"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7044D8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79677EFA" w14:textId="77777777" w:rsidTr="00B46482">
        <w:tc>
          <w:tcPr>
            <w:tcW w:w="560" w:type="dxa"/>
            <w:tcMar>
              <w:left w:w="28" w:type="dxa"/>
              <w:right w:w="28" w:type="dxa"/>
            </w:tcMar>
          </w:tcPr>
          <w:p w14:paraId="6713D499" w14:textId="725AA354"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2.3.12</w:t>
            </w:r>
          </w:p>
        </w:tc>
        <w:tc>
          <w:tcPr>
            <w:tcW w:w="1985" w:type="dxa"/>
            <w:tcMar>
              <w:left w:w="28" w:type="dxa"/>
              <w:right w:w="28" w:type="dxa"/>
            </w:tcMar>
          </w:tcPr>
          <w:p w14:paraId="7ECFDB9A" w14:textId="74D064F5" w:rsidR="00FF4FCB" w:rsidRPr="00263536" w:rsidRDefault="00FF4FCB" w:rsidP="001C6126">
            <w:pPr>
              <w:spacing w:before="40" w:after="40" w:line="240" w:lineRule="auto"/>
              <w:jc w:val="both"/>
              <w:rPr>
                <w:rFonts w:ascii="Arial Narrow" w:hAnsi="Arial Narrow" w:cs="Times New Roman"/>
                <w:b w:val="0"/>
                <w:bCs/>
                <w:sz w:val="18"/>
                <w:szCs w:val="18"/>
              </w:rPr>
            </w:pPr>
            <w:r w:rsidRPr="00E46957">
              <w:rPr>
                <w:rFonts w:ascii="Arial Narrow" w:hAnsi="Arial Narrow" w:cs="Times New Roman"/>
                <w:b w:val="0"/>
                <w:bCs/>
                <w:sz w:val="18"/>
                <w:szCs w:val="18"/>
              </w:rPr>
              <w:t xml:space="preserve">National TB </w:t>
            </w:r>
            <w:r>
              <w:rPr>
                <w:rFonts w:ascii="Arial Narrow" w:hAnsi="Arial Narrow" w:cs="Times New Roman"/>
                <w:b w:val="0"/>
                <w:bCs/>
                <w:sz w:val="18"/>
                <w:szCs w:val="18"/>
              </w:rPr>
              <w:t xml:space="preserve">conference </w:t>
            </w:r>
          </w:p>
        </w:tc>
        <w:tc>
          <w:tcPr>
            <w:tcW w:w="6448" w:type="dxa"/>
            <w:tcMar>
              <w:left w:w="28" w:type="dxa"/>
              <w:right w:w="28" w:type="dxa"/>
            </w:tcMar>
          </w:tcPr>
          <w:p w14:paraId="0728A3FA" w14:textId="746C5789" w:rsidR="00F4688D" w:rsidRPr="00263536" w:rsidRDefault="00F4688D" w:rsidP="001C6126">
            <w:pPr>
              <w:spacing w:before="40" w:after="40" w:line="240" w:lineRule="auto"/>
              <w:jc w:val="both"/>
              <w:rPr>
                <w:rFonts w:ascii="Arial Narrow" w:hAnsi="Arial Narrow" w:cs="Times New Roman"/>
                <w:b w:val="0"/>
                <w:bCs/>
                <w:sz w:val="18"/>
                <w:szCs w:val="18"/>
              </w:rPr>
            </w:pPr>
            <w:r w:rsidRPr="00AA18AC">
              <w:rPr>
                <w:rFonts w:ascii="Arial Narrow" w:hAnsi="Arial Narrow" w:cs="Times New Roman"/>
                <w:b w:val="0"/>
                <w:bCs/>
                <w:sz w:val="18"/>
                <w:szCs w:val="18"/>
              </w:rPr>
              <w:t>The national TB conference, with participation of all partners active in TB control (from governmental agencies and public services, non-governmental organizations and international agencies), will be organized in the last year of the project implementation. The conference will discuss and analyze the progress achieved by the national TB program, with special emphasis on sharing innovative experiences across the country regions and identifying potential for further actions through partnerships with local authorities, civil society and the private sector. The conference will provide a forum for presenting the results of the NGO small grants’ program and planning future actions for transition and sustainability.</w:t>
            </w:r>
          </w:p>
        </w:tc>
        <w:tc>
          <w:tcPr>
            <w:tcW w:w="344" w:type="dxa"/>
            <w:shd w:val="clear" w:color="auto" w:fill="auto"/>
            <w:tcMar>
              <w:left w:w="28" w:type="dxa"/>
              <w:right w:w="28" w:type="dxa"/>
            </w:tcMar>
            <w:vAlign w:val="center"/>
          </w:tcPr>
          <w:p w14:paraId="3D27593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996004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A94615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967AC3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94575E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8C89E7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37437F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C94A8F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E22230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EA7B37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29BCA5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DAE791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31580EA9" w14:textId="77777777" w:rsidTr="00B46482">
        <w:tc>
          <w:tcPr>
            <w:tcW w:w="560" w:type="dxa"/>
            <w:shd w:val="clear" w:color="auto" w:fill="FFFF99"/>
            <w:tcMar>
              <w:left w:w="28" w:type="dxa"/>
              <w:right w:w="28" w:type="dxa"/>
            </w:tcMar>
          </w:tcPr>
          <w:p w14:paraId="200856C3" w14:textId="361ACA19" w:rsidR="00FF4FCB" w:rsidRPr="00263536" w:rsidRDefault="00FF4FCB" w:rsidP="00807FDF">
            <w:pPr>
              <w:spacing w:before="40" w:after="40" w:line="240" w:lineRule="auto"/>
              <w:jc w:val="center"/>
              <w:rPr>
                <w:rFonts w:ascii="Arial Narrow" w:hAnsi="Arial Narrow" w:cs="Times New Roman"/>
                <w:sz w:val="18"/>
                <w:szCs w:val="18"/>
              </w:rPr>
            </w:pPr>
            <w:r>
              <w:rPr>
                <w:rFonts w:ascii="Arial Narrow" w:hAnsi="Arial Narrow" w:cs="Times New Roman"/>
                <w:sz w:val="18"/>
                <w:szCs w:val="18"/>
              </w:rPr>
              <w:t>2.4</w:t>
            </w:r>
          </w:p>
        </w:tc>
        <w:tc>
          <w:tcPr>
            <w:tcW w:w="8433" w:type="dxa"/>
            <w:gridSpan w:val="2"/>
            <w:shd w:val="clear" w:color="auto" w:fill="FFFF99"/>
            <w:tcMar>
              <w:left w:w="28" w:type="dxa"/>
              <w:right w:w="28" w:type="dxa"/>
            </w:tcMar>
          </w:tcPr>
          <w:p w14:paraId="6F0C2C1E" w14:textId="0D31A442" w:rsidR="00FF4FCB" w:rsidRPr="002B520C" w:rsidRDefault="00FF4FCB" w:rsidP="00FF4FCB">
            <w:pPr>
              <w:spacing w:before="40" w:after="40" w:line="240" w:lineRule="auto"/>
              <w:rPr>
                <w:rFonts w:ascii="Arial Narrow" w:hAnsi="Arial Narrow" w:cs="Times New Roman"/>
                <w:sz w:val="18"/>
                <w:szCs w:val="18"/>
              </w:rPr>
            </w:pPr>
            <w:r w:rsidRPr="00FF4FCB">
              <w:rPr>
                <w:rFonts w:ascii="Arial Narrow" w:hAnsi="Arial Narrow" w:cs="Times New Roman"/>
                <w:sz w:val="18"/>
                <w:szCs w:val="18"/>
              </w:rPr>
              <w:t>Other MDR-TB interventions</w:t>
            </w:r>
          </w:p>
          <w:p w14:paraId="7AF53494" w14:textId="41056496" w:rsidR="00FF4FCB" w:rsidRPr="00263536" w:rsidRDefault="00FF4FCB" w:rsidP="00FF4FCB">
            <w:pPr>
              <w:spacing w:before="40" w:after="40" w:line="240" w:lineRule="auto"/>
              <w:rPr>
                <w:rFonts w:ascii="Arial Narrow" w:hAnsi="Arial Narrow" w:cs="Times New Roman"/>
                <w:sz w:val="18"/>
                <w:szCs w:val="18"/>
              </w:rPr>
            </w:pPr>
            <w:r w:rsidRPr="002B520C">
              <w:rPr>
                <w:rFonts w:ascii="Arial Narrow" w:hAnsi="Arial Narrow" w:cs="Times New Roman"/>
                <w:b w:val="0"/>
                <w:i/>
                <w:sz w:val="18"/>
                <w:szCs w:val="18"/>
              </w:rPr>
              <w:t>Module:</w:t>
            </w:r>
            <w:r w:rsidRPr="002B520C">
              <w:rPr>
                <w:rFonts w:ascii="Arial Narrow" w:hAnsi="Arial Narrow" w:cs="Times New Roman"/>
                <w:b w:val="0"/>
                <w:i/>
                <w:sz w:val="18"/>
                <w:szCs w:val="18"/>
              </w:rPr>
              <w:tab/>
              <w:t xml:space="preserve"> Multidrug-resistant tuberculosis (MDR-TB)</w:t>
            </w:r>
          </w:p>
        </w:tc>
        <w:tc>
          <w:tcPr>
            <w:tcW w:w="344" w:type="dxa"/>
            <w:shd w:val="clear" w:color="auto" w:fill="FFFF99"/>
            <w:tcMar>
              <w:left w:w="28" w:type="dxa"/>
              <w:right w:w="28" w:type="dxa"/>
            </w:tcMar>
            <w:vAlign w:val="center"/>
          </w:tcPr>
          <w:p w14:paraId="2BEF0562"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0BAE3E92"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36A322D5"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2B7C1D45"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537BBC61"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4CF6A6AF"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2D65726C"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27E373D3"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5BDF3048"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1C4C10B3"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2D297500" w14:textId="77777777" w:rsidR="00FF4FCB" w:rsidRPr="00263536" w:rsidRDefault="00FF4FCB" w:rsidP="00FF4FCB">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2A7A4FE7" w14:textId="77777777" w:rsidR="00FF4FCB" w:rsidRPr="00263536" w:rsidRDefault="00FF4FCB" w:rsidP="00FF4FCB">
            <w:pPr>
              <w:spacing w:before="40" w:after="40" w:line="240" w:lineRule="auto"/>
              <w:jc w:val="center"/>
              <w:rPr>
                <w:rFonts w:ascii="Arial Narrow" w:hAnsi="Arial Narrow" w:cs="Times New Roman"/>
                <w:sz w:val="18"/>
                <w:szCs w:val="18"/>
              </w:rPr>
            </w:pPr>
          </w:p>
        </w:tc>
      </w:tr>
      <w:tr w:rsidR="00FF4FCB" w:rsidRPr="00263536" w14:paraId="557D23B9" w14:textId="77777777" w:rsidTr="00B46482">
        <w:tc>
          <w:tcPr>
            <w:tcW w:w="560" w:type="dxa"/>
            <w:tcMar>
              <w:left w:w="28" w:type="dxa"/>
              <w:right w:w="28" w:type="dxa"/>
            </w:tcMar>
          </w:tcPr>
          <w:p w14:paraId="1A3736A6" w14:textId="1D9EA145" w:rsidR="00FF4FCB" w:rsidRPr="00263536" w:rsidRDefault="00FF4FCB" w:rsidP="00807FDF">
            <w:pPr>
              <w:spacing w:before="40" w:after="40" w:line="240" w:lineRule="auto"/>
              <w:jc w:val="center"/>
              <w:rPr>
                <w:rFonts w:ascii="Arial Narrow" w:hAnsi="Arial Narrow" w:cs="Times New Roman"/>
                <w:b w:val="0"/>
                <w:bCs/>
                <w:sz w:val="18"/>
                <w:szCs w:val="18"/>
              </w:rPr>
            </w:pPr>
            <w:r w:rsidRPr="00916E39">
              <w:rPr>
                <w:rFonts w:ascii="Arial Narrow" w:hAnsi="Arial Narrow" w:cs="Times New Roman"/>
                <w:b w:val="0"/>
                <w:bCs/>
                <w:sz w:val="18"/>
                <w:szCs w:val="18"/>
              </w:rPr>
              <w:t>2.4.1</w:t>
            </w:r>
          </w:p>
        </w:tc>
        <w:tc>
          <w:tcPr>
            <w:tcW w:w="1985" w:type="dxa"/>
            <w:tcMar>
              <w:left w:w="28" w:type="dxa"/>
              <w:right w:w="28" w:type="dxa"/>
            </w:tcMar>
          </w:tcPr>
          <w:p w14:paraId="53383C32" w14:textId="78512E28" w:rsidR="00FF4FCB" w:rsidRPr="00263536" w:rsidRDefault="00956DCA" w:rsidP="00082047">
            <w:pPr>
              <w:spacing w:before="40" w:after="40" w:line="240" w:lineRule="auto"/>
              <w:jc w:val="both"/>
              <w:rPr>
                <w:rFonts w:ascii="Arial Narrow" w:hAnsi="Arial Narrow" w:cs="Times New Roman"/>
                <w:b w:val="0"/>
                <w:bCs/>
                <w:sz w:val="18"/>
                <w:szCs w:val="18"/>
              </w:rPr>
            </w:pPr>
            <w:r w:rsidRPr="00956DCA">
              <w:rPr>
                <w:rFonts w:ascii="Arial Narrow" w:hAnsi="Arial Narrow" w:cs="Times New Roman"/>
                <w:b w:val="0"/>
                <w:bCs/>
                <w:sz w:val="18"/>
                <w:szCs w:val="18"/>
              </w:rPr>
              <w:t>National co</w:t>
            </w:r>
            <w:r>
              <w:rPr>
                <w:rFonts w:ascii="Arial Narrow" w:hAnsi="Arial Narrow" w:cs="Times New Roman"/>
                <w:b w:val="0"/>
                <w:bCs/>
                <w:sz w:val="18"/>
                <w:szCs w:val="18"/>
              </w:rPr>
              <w:t xml:space="preserve">nsultant, </w:t>
            </w:r>
            <w:r w:rsidR="00B06BF0">
              <w:rPr>
                <w:rFonts w:ascii="Arial Narrow" w:hAnsi="Arial Narrow" w:cs="Times New Roman"/>
                <w:b w:val="0"/>
                <w:bCs/>
                <w:sz w:val="18"/>
                <w:szCs w:val="18"/>
              </w:rPr>
              <w:t xml:space="preserve">TB </w:t>
            </w:r>
            <w:r>
              <w:rPr>
                <w:rFonts w:ascii="Arial Narrow" w:hAnsi="Arial Narrow" w:cs="Times New Roman"/>
                <w:b w:val="0"/>
                <w:bCs/>
                <w:sz w:val="18"/>
                <w:szCs w:val="18"/>
              </w:rPr>
              <w:t>ACSM / IEC activities</w:t>
            </w:r>
          </w:p>
        </w:tc>
        <w:tc>
          <w:tcPr>
            <w:tcW w:w="6448" w:type="dxa"/>
            <w:tcMar>
              <w:left w:w="28" w:type="dxa"/>
              <w:right w:w="28" w:type="dxa"/>
            </w:tcMar>
          </w:tcPr>
          <w:p w14:paraId="2F6A255A" w14:textId="3A99AA6B" w:rsidR="00B06BF0" w:rsidRPr="00263536" w:rsidRDefault="00B06BF0" w:rsidP="00082047">
            <w:pPr>
              <w:spacing w:before="40" w:after="40" w:line="240" w:lineRule="auto"/>
              <w:jc w:val="both"/>
              <w:rPr>
                <w:rFonts w:ascii="Arial Narrow" w:hAnsi="Arial Narrow" w:cs="Times New Roman"/>
                <w:b w:val="0"/>
                <w:bCs/>
                <w:sz w:val="18"/>
                <w:szCs w:val="18"/>
              </w:rPr>
            </w:pPr>
            <w:r w:rsidRPr="00B06BF0">
              <w:rPr>
                <w:rFonts w:ascii="Arial Narrow" w:hAnsi="Arial Narrow" w:cs="Times New Roman"/>
                <w:b w:val="0"/>
                <w:bCs/>
                <w:sz w:val="18"/>
                <w:szCs w:val="18"/>
              </w:rPr>
              <w:t>A national consultant will provide technical assistance to the NTP and partners in designing public awareness campaigns, elaborati</w:t>
            </w:r>
            <w:r>
              <w:rPr>
                <w:rFonts w:ascii="Arial Narrow" w:hAnsi="Arial Narrow" w:cs="Times New Roman"/>
                <w:b w:val="0"/>
                <w:bCs/>
                <w:sz w:val="18"/>
                <w:szCs w:val="18"/>
              </w:rPr>
              <w:t>ng</w:t>
            </w:r>
            <w:r w:rsidRPr="00B06BF0">
              <w:rPr>
                <w:rFonts w:ascii="Arial Narrow" w:hAnsi="Arial Narrow" w:cs="Times New Roman"/>
                <w:b w:val="0"/>
                <w:bCs/>
                <w:sz w:val="18"/>
                <w:szCs w:val="18"/>
              </w:rPr>
              <w:t xml:space="preserve"> and pretesting IEC materials, obtaining relevant endorsements with authorities, facilitate and monitor implementation, and ensure appropriate c</w:t>
            </w:r>
            <w:r>
              <w:rPr>
                <w:rFonts w:ascii="Arial Narrow" w:hAnsi="Arial Narrow" w:cs="Times New Roman"/>
                <w:b w:val="0"/>
                <w:bCs/>
                <w:sz w:val="18"/>
                <w:szCs w:val="18"/>
              </w:rPr>
              <w:t>ommunication in social media.</w:t>
            </w:r>
          </w:p>
        </w:tc>
        <w:tc>
          <w:tcPr>
            <w:tcW w:w="344" w:type="dxa"/>
            <w:shd w:val="clear" w:color="auto" w:fill="D9D9D9" w:themeFill="background1" w:themeFillShade="D9"/>
            <w:tcMar>
              <w:left w:w="28" w:type="dxa"/>
              <w:right w:w="28" w:type="dxa"/>
            </w:tcMar>
            <w:vAlign w:val="center"/>
          </w:tcPr>
          <w:p w14:paraId="1627C9B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F7200B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3915B4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A673F2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5EEBA4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26BDF2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F5B991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80D696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2591E1C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890243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CCAAC1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6390B8F"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22F30EDC" w14:textId="77777777" w:rsidTr="00B46482">
        <w:tc>
          <w:tcPr>
            <w:tcW w:w="560" w:type="dxa"/>
            <w:tcMar>
              <w:left w:w="28" w:type="dxa"/>
              <w:right w:w="28" w:type="dxa"/>
            </w:tcMar>
          </w:tcPr>
          <w:p w14:paraId="3CD04194" w14:textId="2D02C4C3"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2.4.2</w:t>
            </w:r>
          </w:p>
        </w:tc>
        <w:tc>
          <w:tcPr>
            <w:tcW w:w="1985" w:type="dxa"/>
            <w:tcMar>
              <w:left w:w="28" w:type="dxa"/>
              <w:right w:w="28" w:type="dxa"/>
            </w:tcMar>
          </w:tcPr>
          <w:p w14:paraId="1C70AEA6" w14:textId="5E271378" w:rsidR="00FF4FCB" w:rsidRPr="00263536" w:rsidRDefault="00B06BF0" w:rsidP="00082047">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 xml:space="preserve">TB </w:t>
            </w:r>
            <w:r w:rsidR="00956DCA">
              <w:rPr>
                <w:rFonts w:ascii="Arial Narrow" w:hAnsi="Arial Narrow" w:cs="Times New Roman"/>
                <w:b w:val="0"/>
                <w:bCs/>
                <w:sz w:val="18"/>
                <w:szCs w:val="18"/>
              </w:rPr>
              <w:t>KAP survey</w:t>
            </w:r>
          </w:p>
        </w:tc>
        <w:tc>
          <w:tcPr>
            <w:tcW w:w="6448" w:type="dxa"/>
            <w:tcMar>
              <w:left w:w="28" w:type="dxa"/>
              <w:right w:w="28" w:type="dxa"/>
            </w:tcMar>
          </w:tcPr>
          <w:p w14:paraId="29E8CEA7" w14:textId="5EBDD064" w:rsidR="00B06BF0" w:rsidRPr="00263536" w:rsidRDefault="00B06BF0" w:rsidP="00082047">
            <w:pPr>
              <w:spacing w:before="40" w:after="40" w:line="240" w:lineRule="auto"/>
              <w:jc w:val="both"/>
              <w:rPr>
                <w:rFonts w:ascii="Arial Narrow" w:hAnsi="Arial Narrow" w:cs="Times New Roman"/>
                <w:b w:val="0"/>
                <w:bCs/>
                <w:sz w:val="18"/>
                <w:szCs w:val="18"/>
              </w:rPr>
            </w:pPr>
            <w:r w:rsidRPr="00B06BF0">
              <w:rPr>
                <w:rFonts w:ascii="Arial Narrow" w:hAnsi="Arial Narrow" w:cs="Times New Roman"/>
                <w:b w:val="0"/>
                <w:bCs/>
                <w:sz w:val="18"/>
                <w:szCs w:val="18"/>
              </w:rPr>
              <w:t xml:space="preserve">A TB Knowledge, Attitudes and Practices (KAP) survey </w:t>
            </w:r>
            <w:proofErr w:type="gramStart"/>
            <w:r w:rsidRPr="00B06BF0">
              <w:rPr>
                <w:rFonts w:ascii="Arial Narrow" w:hAnsi="Arial Narrow" w:cs="Times New Roman"/>
                <w:b w:val="0"/>
                <w:bCs/>
                <w:sz w:val="18"/>
                <w:szCs w:val="18"/>
              </w:rPr>
              <w:t>will be performed</w:t>
            </w:r>
            <w:proofErr w:type="gramEnd"/>
            <w:r w:rsidRPr="00B06BF0">
              <w:rPr>
                <w:rFonts w:ascii="Arial Narrow" w:hAnsi="Arial Narrow" w:cs="Times New Roman"/>
                <w:b w:val="0"/>
                <w:bCs/>
                <w:sz w:val="18"/>
                <w:szCs w:val="18"/>
              </w:rPr>
              <w:t xml:space="preserve"> in Year 1, to assess the situat</w:t>
            </w:r>
            <w:r>
              <w:rPr>
                <w:rFonts w:ascii="Arial Narrow" w:hAnsi="Arial Narrow" w:cs="Times New Roman"/>
                <w:b w:val="0"/>
                <w:bCs/>
                <w:sz w:val="18"/>
                <w:szCs w:val="18"/>
              </w:rPr>
              <w:t>ion and inform further actions.</w:t>
            </w:r>
          </w:p>
        </w:tc>
        <w:tc>
          <w:tcPr>
            <w:tcW w:w="344" w:type="dxa"/>
            <w:shd w:val="clear" w:color="auto" w:fill="D9D9D9" w:themeFill="background1" w:themeFillShade="D9"/>
            <w:tcMar>
              <w:left w:w="28" w:type="dxa"/>
              <w:right w:w="28" w:type="dxa"/>
            </w:tcMar>
            <w:vAlign w:val="center"/>
          </w:tcPr>
          <w:p w14:paraId="634CA6E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EAC85C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B95C9B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C6731F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DF4A01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CAE06D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B485AF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1D683C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D8B5A0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6091FA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710E99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EDF2DF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6C71A215" w14:textId="77777777" w:rsidTr="00B46482">
        <w:tc>
          <w:tcPr>
            <w:tcW w:w="560" w:type="dxa"/>
            <w:tcMar>
              <w:left w:w="28" w:type="dxa"/>
              <w:right w:w="28" w:type="dxa"/>
            </w:tcMar>
          </w:tcPr>
          <w:p w14:paraId="618DD540" w14:textId="276D17B6"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2.4.3</w:t>
            </w:r>
          </w:p>
        </w:tc>
        <w:tc>
          <w:tcPr>
            <w:tcW w:w="1985" w:type="dxa"/>
            <w:tcMar>
              <w:left w:w="28" w:type="dxa"/>
              <w:right w:w="28" w:type="dxa"/>
            </w:tcMar>
          </w:tcPr>
          <w:p w14:paraId="193AF575" w14:textId="274ACD51" w:rsidR="00FF4FCB" w:rsidRPr="00263536" w:rsidRDefault="00956DCA" w:rsidP="00082047">
            <w:pPr>
              <w:spacing w:before="40" w:after="40" w:line="240" w:lineRule="auto"/>
              <w:jc w:val="both"/>
              <w:rPr>
                <w:rFonts w:ascii="Arial Narrow" w:hAnsi="Arial Narrow" w:cs="Times New Roman"/>
                <w:b w:val="0"/>
                <w:bCs/>
                <w:sz w:val="18"/>
                <w:szCs w:val="18"/>
              </w:rPr>
            </w:pPr>
            <w:r w:rsidRPr="00956DCA">
              <w:rPr>
                <w:rFonts w:ascii="Arial Narrow" w:hAnsi="Arial Narrow" w:cs="Times New Roman"/>
                <w:b w:val="0"/>
                <w:bCs/>
                <w:sz w:val="18"/>
                <w:szCs w:val="18"/>
              </w:rPr>
              <w:t>Technica</w:t>
            </w:r>
            <w:r w:rsidR="00B06BF0">
              <w:rPr>
                <w:rFonts w:ascii="Arial Narrow" w:hAnsi="Arial Narrow" w:cs="Times New Roman"/>
                <w:b w:val="0"/>
                <w:bCs/>
                <w:sz w:val="18"/>
                <w:szCs w:val="18"/>
              </w:rPr>
              <w:t>l assistance, d</w:t>
            </w:r>
            <w:r w:rsidRPr="00956DCA">
              <w:rPr>
                <w:rFonts w:ascii="Arial Narrow" w:hAnsi="Arial Narrow" w:cs="Times New Roman"/>
                <w:b w:val="0"/>
                <w:bCs/>
                <w:sz w:val="18"/>
                <w:szCs w:val="18"/>
              </w:rPr>
              <w:t>evelopment of the Nationa</w:t>
            </w:r>
            <w:r>
              <w:rPr>
                <w:rFonts w:ascii="Arial Narrow" w:hAnsi="Arial Narrow" w:cs="Times New Roman"/>
                <w:b w:val="0"/>
                <w:bCs/>
                <w:sz w:val="18"/>
                <w:szCs w:val="18"/>
              </w:rPr>
              <w:t>l ACSM Plan</w:t>
            </w:r>
          </w:p>
        </w:tc>
        <w:tc>
          <w:tcPr>
            <w:tcW w:w="6448" w:type="dxa"/>
            <w:tcMar>
              <w:left w:w="28" w:type="dxa"/>
              <w:right w:w="28" w:type="dxa"/>
            </w:tcMar>
          </w:tcPr>
          <w:p w14:paraId="05E750FD" w14:textId="620A55DF" w:rsidR="00B06BF0" w:rsidRPr="00263536" w:rsidRDefault="00B06BF0" w:rsidP="00082047">
            <w:pPr>
              <w:spacing w:before="40" w:after="40" w:line="240" w:lineRule="auto"/>
              <w:jc w:val="both"/>
              <w:rPr>
                <w:rFonts w:ascii="Arial Narrow" w:hAnsi="Arial Narrow" w:cs="Times New Roman"/>
                <w:b w:val="0"/>
                <w:bCs/>
                <w:sz w:val="18"/>
                <w:szCs w:val="18"/>
              </w:rPr>
            </w:pPr>
            <w:r w:rsidRPr="00B06BF0">
              <w:rPr>
                <w:rFonts w:ascii="Arial Narrow" w:hAnsi="Arial Narrow" w:cs="Times New Roman"/>
                <w:b w:val="0"/>
                <w:bCs/>
                <w:sz w:val="18"/>
                <w:szCs w:val="18"/>
              </w:rPr>
              <w:t xml:space="preserve">Based on the </w:t>
            </w:r>
            <w:r>
              <w:rPr>
                <w:rFonts w:ascii="Arial Narrow" w:hAnsi="Arial Narrow" w:cs="Times New Roman"/>
                <w:b w:val="0"/>
                <w:bCs/>
                <w:sz w:val="18"/>
                <w:szCs w:val="18"/>
              </w:rPr>
              <w:t xml:space="preserve">KAP study </w:t>
            </w:r>
            <w:r w:rsidRPr="00B06BF0">
              <w:rPr>
                <w:rFonts w:ascii="Arial Narrow" w:hAnsi="Arial Narrow" w:cs="Times New Roman"/>
                <w:b w:val="0"/>
                <w:bCs/>
                <w:sz w:val="18"/>
                <w:szCs w:val="18"/>
              </w:rPr>
              <w:t xml:space="preserve">results, the National ACSM Plan for years 2021-2025 </w:t>
            </w:r>
            <w:proofErr w:type="gramStart"/>
            <w:r w:rsidRPr="00B06BF0">
              <w:rPr>
                <w:rFonts w:ascii="Arial Narrow" w:hAnsi="Arial Narrow" w:cs="Times New Roman"/>
                <w:b w:val="0"/>
                <w:bCs/>
                <w:sz w:val="18"/>
                <w:szCs w:val="18"/>
              </w:rPr>
              <w:t>will be developed</w:t>
            </w:r>
            <w:proofErr w:type="gramEnd"/>
            <w:r w:rsidRPr="00B06BF0">
              <w:rPr>
                <w:rFonts w:ascii="Arial Narrow" w:hAnsi="Arial Narrow" w:cs="Times New Roman"/>
                <w:b w:val="0"/>
                <w:bCs/>
                <w:sz w:val="18"/>
                <w:szCs w:val="18"/>
              </w:rPr>
              <w:t xml:space="preserve"> with an external consultant’s support</w:t>
            </w:r>
            <w:r>
              <w:rPr>
                <w:rFonts w:ascii="Arial Narrow" w:hAnsi="Arial Narrow" w:cs="Times New Roman"/>
                <w:b w:val="0"/>
                <w:bCs/>
                <w:sz w:val="18"/>
                <w:szCs w:val="18"/>
              </w:rPr>
              <w:t xml:space="preserve"> (and the end of Year 1)</w:t>
            </w:r>
            <w:r w:rsidRPr="00B06BF0">
              <w:rPr>
                <w:rFonts w:ascii="Arial Narrow" w:hAnsi="Arial Narrow" w:cs="Times New Roman"/>
                <w:b w:val="0"/>
                <w:bCs/>
                <w:sz w:val="18"/>
                <w:szCs w:val="18"/>
              </w:rPr>
              <w:t>.</w:t>
            </w:r>
          </w:p>
        </w:tc>
        <w:tc>
          <w:tcPr>
            <w:tcW w:w="344" w:type="dxa"/>
            <w:shd w:val="clear" w:color="auto" w:fill="auto"/>
            <w:tcMar>
              <w:left w:w="28" w:type="dxa"/>
              <w:right w:w="28" w:type="dxa"/>
            </w:tcMar>
            <w:vAlign w:val="center"/>
          </w:tcPr>
          <w:p w14:paraId="161AB85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A1E2DC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2CE2AA5"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A46B42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55798565"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1FF560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B92FD7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112924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083662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BF3636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33A245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890F77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4855CA92" w14:textId="77777777" w:rsidTr="00B46482">
        <w:tc>
          <w:tcPr>
            <w:tcW w:w="560" w:type="dxa"/>
            <w:tcMar>
              <w:left w:w="28" w:type="dxa"/>
              <w:right w:w="28" w:type="dxa"/>
            </w:tcMar>
          </w:tcPr>
          <w:p w14:paraId="068C53BD" w14:textId="55FAFEAB"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2.4.4</w:t>
            </w:r>
          </w:p>
        </w:tc>
        <w:tc>
          <w:tcPr>
            <w:tcW w:w="1985" w:type="dxa"/>
            <w:tcMar>
              <w:left w:w="28" w:type="dxa"/>
              <w:right w:w="28" w:type="dxa"/>
            </w:tcMar>
          </w:tcPr>
          <w:p w14:paraId="50752A96" w14:textId="352C08D1" w:rsidR="00FF4FCB" w:rsidRPr="00263536" w:rsidRDefault="00956DCA" w:rsidP="00082047">
            <w:pPr>
              <w:spacing w:before="40" w:after="40" w:line="240" w:lineRule="auto"/>
              <w:jc w:val="both"/>
              <w:rPr>
                <w:rFonts w:ascii="Arial Narrow" w:hAnsi="Arial Narrow" w:cs="Times New Roman"/>
                <w:b w:val="0"/>
                <w:bCs/>
                <w:sz w:val="18"/>
                <w:szCs w:val="18"/>
              </w:rPr>
            </w:pPr>
            <w:r w:rsidRPr="00956DCA">
              <w:rPr>
                <w:rFonts w:ascii="Arial Narrow" w:hAnsi="Arial Narrow" w:cs="Times New Roman"/>
                <w:b w:val="0"/>
                <w:bCs/>
                <w:sz w:val="18"/>
                <w:szCs w:val="18"/>
              </w:rPr>
              <w:t xml:space="preserve">Development of the Plan for Prevention of </w:t>
            </w:r>
            <w:r>
              <w:rPr>
                <w:rFonts w:ascii="Arial Narrow" w:hAnsi="Arial Narrow" w:cs="Times New Roman"/>
                <w:b w:val="0"/>
                <w:bCs/>
                <w:sz w:val="18"/>
                <w:szCs w:val="18"/>
              </w:rPr>
              <w:t>TB Stigma and Discrimination</w:t>
            </w:r>
          </w:p>
        </w:tc>
        <w:tc>
          <w:tcPr>
            <w:tcW w:w="6448" w:type="dxa"/>
            <w:tcMar>
              <w:left w:w="28" w:type="dxa"/>
              <w:right w:w="28" w:type="dxa"/>
            </w:tcMar>
          </w:tcPr>
          <w:p w14:paraId="39EFADC9" w14:textId="2E67F1C6" w:rsidR="00B06BF0" w:rsidRPr="00263536" w:rsidRDefault="00B06BF0" w:rsidP="00082047">
            <w:pPr>
              <w:spacing w:before="40" w:after="40" w:line="240" w:lineRule="auto"/>
              <w:jc w:val="both"/>
              <w:rPr>
                <w:rFonts w:ascii="Arial Narrow" w:hAnsi="Arial Narrow" w:cs="Times New Roman"/>
                <w:b w:val="0"/>
                <w:bCs/>
                <w:sz w:val="18"/>
                <w:szCs w:val="18"/>
              </w:rPr>
            </w:pPr>
            <w:r w:rsidRPr="00B06BF0">
              <w:rPr>
                <w:rFonts w:ascii="Arial Narrow" w:hAnsi="Arial Narrow" w:cs="Times New Roman"/>
                <w:b w:val="0"/>
                <w:bCs/>
                <w:sz w:val="18"/>
                <w:szCs w:val="18"/>
              </w:rPr>
              <w:t xml:space="preserve">In Year 2, external TA </w:t>
            </w:r>
            <w:proofErr w:type="gramStart"/>
            <w:r w:rsidRPr="00B06BF0">
              <w:rPr>
                <w:rFonts w:ascii="Arial Narrow" w:hAnsi="Arial Narrow" w:cs="Times New Roman"/>
                <w:b w:val="0"/>
                <w:bCs/>
                <w:sz w:val="18"/>
                <w:szCs w:val="18"/>
              </w:rPr>
              <w:t>will be also provided</w:t>
            </w:r>
            <w:proofErr w:type="gramEnd"/>
            <w:r w:rsidRPr="00B06BF0">
              <w:rPr>
                <w:rFonts w:ascii="Arial Narrow" w:hAnsi="Arial Narrow" w:cs="Times New Roman"/>
                <w:b w:val="0"/>
                <w:bCs/>
                <w:sz w:val="18"/>
                <w:szCs w:val="18"/>
              </w:rPr>
              <w:t xml:space="preserve"> to assist the NTP in the development of a </w:t>
            </w:r>
            <w:proofErr w:type="spellStart"/>
            <w:r w:rsidRPr="00B06BF0">
              <w:rPr>
                <w:rFonts w:ascii="Arial Narrow" w:hAnsi="Arial Narrow" w:cs="Times New Roman"/>
                <w:b w:val="0"/>
                <w:bCs/>
                <w:sz w:val="18"/>
                <w:szCs w:val="18"/>
              </w:rPr>
              <w:t>multisectoral</w:t>
            </w:r>
            <w:proofErr w:type="spellEnd"/>
            <w:r w:rsidRPr="00B06BF0">
              <w:rPr>
                <w:rFonts w:ascii="Arial Narrow" w:hAnsi="Arial Narrow" w:cs="Times New Roman"/>
                <w:b w:val="0"/>
                <w:bCs/>
                <w:sz w:val="18"/>
                <w:szCs w:val="18"/>
              </w:rPr>
              <w:t xml:space="preserve"> Plan for Reduction and Prevention of TB Stigma and Discrimination, which, inter alia, will identify the changes needed in various legislative and regulatory acts to eliminate and/or prevent discriminatory practices.</w:t>
            </w:r>
          </w:p>
        </w:tc>
        <w:tc>
          <w:tcPr>
            <w:tcW w:w="344" w:type="dxa"/>
            <w:shd w:val="clear" w:color="auto" w:fill="auto"/>
            <w:tcMar>
              <w:left w:w="28" w:type="dxa"/>
              <w:right w:w="28" w:type="dxa"/>
            </w:tcMar>
            <w:vAlign w:val="center"/>
          </w:tcPr>
          <w:p w14:paraId="3AEAC41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B70CE6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1AAA2BB"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A318F9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A5E5B6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0E5B6E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7A62A50"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CB1FE9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38134F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EDA759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DDF38F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79849D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27693D1F" w14:textId="77777777" w:rsidTr="00B46482">
        <w:tc>
          <w:tcPr>
            <w:tcW w:w="560" w:type="dxa"/>
            <w:tcMar>
              <w:left w:w="28" w:type="dxa"/>
              <w:right w:w="28" w:type="dxa"/>
            </w:tcMar>
          </w:tcPr>
          <w:p w14:paraId="1E491A7C" w14:textId="2768511D" w:rsidR="00FF4FCB" w:rsidRPr="00263536" w:rsidRDefault="00FF4FCB"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lastRenderedPageBreak/>
              <w:t>2.4.5</w:t>
            </w:r>
          </w:p>
        </w:tc>
        <w:tc>
          <w:tcPr>
            <w:tcW w:w="1985" w:type="dxa"/>
            <w:tcMar>
              <w:left w:w="28" w:type="dxa"/>
              <w:right w:w="28" w:type="dxa"/>
            </w:tcMar>
          </w:tcPr>
          <w:p w14:paraId="7589B98C" w14:textId="5D1FD3CC" w:rsidR="00FF4FCB" w:rsidRPr="00263536" w:rsidRDefault="00956DCA" w:rsidP="00082047">
            <w:pPr>
              <w:spacing w:before="40" w:after="40" w:line="240" w:lineRule="auto"/>
              <w:jc w:val="both"/>
              <w:rPr>
                <w:rFonts w:ascii="Arial Narrow" w:hAnsi="Arial Narrow" w:cs="Times New Roman"/>
                <w:b w:val="0"/>
                <w:bCs/>
                <w:sz w:val="18"/>
                <w:szCs w:val="18"/>
              </w:rPr>
            </w:pPr>
            <w:r w:rsidRPr="00956DCA">
              <w:rPr>
                <w:rFonts w:ascii="Arial Narrow" w:hAnsi="Arial Narrow" w:cs="Times New Roman"/>
                <w:b w:val="0"/>
                <w:bCs/>
                <w:sz w:val="18"/>
                <w:szCs w:val="18"/>
              </w:rPr>
              <w:t xml:space="preserve">IEC materials for DR-TB prevention and control: </w:t>
            </w:r>
            <w:r>
              <w:rPr>
                <w:rFonts w:ascii="Arial Narrow" w:hAnsi="Arial Narrow" w:cs="Times New Roman"/>
                <w:b w:val="0"/>
                <w:bCs/>
                <w:sz w:val="18"/>
                <w:szCs w:val="18"/>
              </w:rPr>
              <w:t>printed</w:t>
            </w:r>
          </w:p>
        </w:tc>
        <w:tc>
          <w:tcPr>
            <w:tcW w:w="6448" w:type="dxa"/>
            <w:tcMar>
              <w:left w:w="28" w:type="dxa"/>
              <w:right w:w="28" w:type="dxa"/>
            </w:tcMar>
          </w:tcPr>
          <w:p w14:paraId="3FA01A08" w14:textId="5F685BD3" w:rsidR="00575E55" w:rsidRPr="00263536" w:rsidRDefault="00575E55" w:rsidP="00082047">
            <w:pPr>
              <w:spacing w:before="40" w:after="40" w:line="240" w:lineRule="auto"/>
              <w:jc w:val="both"/>
              <w:rPr>
                <w:rFonts w:ascii="Arial Narrow" w:hAnsi="Arial Narrow" w:cs="Times New Roman"/>
                <w:b w:val="0"/>
                <w:bCs/>
                <w:sz w:val="18"/>
                <w:szCs w:val="18"/>
              </w:rPr>
            </w:pPr>
            <w:r w:rsidRPr="00B06BF0">
              <w:rPr>
                <w:rFonts w:ascii="Arial Narrow" w:hAnsi="Arial Narrow" w:cs="Times New Roman"/>
                <w:b w:val="0"/>
                <w:bCs/>
                <w:sz w:val="18"/>
                <w:szCs w:val="18"/>
              </w:rPr>
              <w:t xml:space="preserve">A set of informational and educational (IEC) materials for DR-TB prevention and care will be developed and disseminated in line with the objectives of the national TB program and </w:t>
            </w:r>
            <w:proofErr w:type="gramStart"/>
            <w:r w:rsidRPr="00B06BF0">
              <w:rPr>
                <w:rFonts w:ascii="Arial Narrow" w:hAnsi="Arial Narrow" w:cs="Times New Roman"/>
                <w:b w:val="0"/>
                <w:bCs/>
                <w:sz w:val="18"/>
                <w:szCs w:val="18"/>
              </w:rPr>
              <w:t>on the basis of</w:t>
            </w:r>
            <w:proofErr w:type="gramEnd"/>
            <w:r w:rsidRPr="00B06BF0">
              <w:rPr>
                <w:rFonts w:ascii="Arial Narrow" w:hAnsi="Arial Narrow" w:cs="Times New Roman"/>
                <w:b w:val="0"/>
                <w:bCs/>
                <w:sz w:val="18"/>
                <w:szCs w:val="18"/>
              </w:rPr>
              <w:t xml:space="preserve"> the preceding KAP survey results. </w:t>
            </w:r>
            <w:proofErr w:type="gramStart"/>
            <w:r w:rsidRPr="00B06BF0">
              <w:rPr>
                <w:rFonts w:ascii="Arial Narrow" w:hAnsi="Arial Narrow" w:cs="Times New Roman"/>
                <w:b w:val="0"/>
                <w:bCs/>
                <w:sz w:val="18"/>
                <w:szCs w:val="18"/>
              </w:rPr>
              <w:t>The set will include guidelines for patients and their families; printed IEC materials for vulnerable at-risk population groups such as PLHIV, prisoners, seasonal labor migrants, homeless people, etc.; recommendations for social workers, psychologists, primary health care providers; as well as different materials to promote new methods for TB diagnosis and treatment, with special emphasis on the need to complete treatment and prevent drug resistance.</w:t>
            </w:r>
            <w:proofErr w:type="gramEnd"/>
            <w:r w:rsidRPr="00B06BF0">
              <w:rPr>
                <w:rFonts w:ascii="Arial Narrow" w:hAnsi="Arial Narrow" w:cs="Times New Roman"/>
                <w:b w:val="0"/>
                <w:bCs/>
                <w:sz w:val="18"/>
                <w:szCs w:val="18"/>
              </w:rPr>
              <w:t xml:space="preserve"> </w:t>
            </w:r>
          </w:p>
        </w:tc>
        <w:tc>
          <w:tcPr>
            <w:tcW w:w="344" w:type="dxa"/>
            <w:shd w:val="clear" w:color="auto" w:fill="auto"/>
            <w:tcMar>
              <w:left w:w="28" w:type="dxa"/>
              <w:right w:w="28" w:type="dxa"/>
            </w:tcMar>
            <w:vAlign w:val="center"/>
          </w:tcPr>
          <w:p w14:paraId="7C138D9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52B5D7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BACFA3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606F57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40434B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0664F6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000175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E8CACB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5CBAEB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1FA9D97"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67C6E1E"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E993A96"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FF4FCB" w:rsidRPr="00263536" w14:paraId="0CA1D509" w14:textId="77777777" w:rsidTr="00B46482">
        <w:tc>
          <w:tcPr>
            <w:tcW w:w="560" w:type="dxa"/>
            <w:tcMar>
              <w:left w:w="28" w:type="dxa"/>
              <w:right w:w="28" w:type="dxa"/>
            </w:tcMar>
          </w:tcPr>
          <w:p w14:paraId="338EA215" w14:textId="76C2774C" w:rsidR="00FF4FCB" w:rsidRPr="00263536" w:rsidRDefault="00956DC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2.4.6</w:t>
            </w:r>
          </w:p>
        </w:tc>
        <w:tc>
          <w:tcPr>
            <w:tcW w:w="1985" w:type="dxa"/>
            <w:tcMar>
              <w:left w:w="28" w:type="dxa"/>
              <w:right w:w="28" w:type="dxa"/>
            </w:tcMar>
          </w:tcPr>
          <w:p w14:paraId="01ECD4AD" w14:textId="5677678F" w:rsidR="00FF4FCB" w:rsidRPr="00263536" w:rsidRDefault="00956DCA" w:rsidP="00506484">
            <w:pPr>
              <w:spacing w:before="40" w:after="40" w:line="240" w:lineRule="auto"/>
              <w:jc w:val="both"/>
              <w:rPr>
                <w:rFonts w:ascii="Arial Narrow" w:hAnsi="Arial Narrow" w:cs="Times New Roman"/>
                <w:b w:val="0"/>
                <w:bCs/>
                <w:sz w:val="18"/>
                <w:szCs w:val="18"/>
              </w:rPr>
            </w:pPr>
            <w:r w:rsidRPr="00956DCA">
              <w:rPr>
                <w:rFonts w:ascii="Arial Narrow" w:hAnsi="Arial Narrow" w:cs="Times New Roman"/>
                <w:b w:val="0"/>
                <w:bCs/>
                <w:sz w:val="18"/>
                <w:szCs w:val="18"/>
              </w:rPr>
              <w:t>IEC materials for DR-TB prevention and control: audio</w:t>
            </w:r>
            <w:r w:rsidR="00575E55">
              <w:rPr>
                <w:rFonts w:ascii="Arial Narrow" w:hAnsi="Arial Narrow" w:cs="Times New Roman"/>
                <w:b w:val="0"/>
                <w:bCs/>
                <w:sz w:val="18"/>
                <w:szCs w:val="18"/>
              </w:rPr>
              <w:t xml:space="preserve"> and video</w:t>
            </w:r>
          </w:p>
        </w:tc>
        <w:tc>
          <w:tcPr>
            <w:tcW w:w="6448" w:type="dxa"/>
            <w:tcMar>
              <w:left w:w="28" w:type="dxa"/>
              <w:right w:w="28" w:type="dxa"/>
            </w:tcMar>
          </w:tcPr>
          <w:p w14:paraId="75A7AA8A" w14:textId="0FFAE5F9" w:rsidR="00575E55" w:rsidRPr="00263536" w:rsidRDefault="00575E55" w:rsidP="00506484">
            <w:pPr>
              <w:spacing w:before="40" w:after="40" w:line="240" w:lineRule="auto"/>
              <w:jc w:val="both"/>
              <w:rPr>
                <w:rFonts w:ascii="Arial Narrow" w:hAnsi="Arial Narrow" w:cs="Times New Roman"/>
                <w:b w:val="0"/>
                <w:bCs/>
                <w:sz w:val="18"/>
                <w:szCs w:val="18"/>
              </w:rPr>
            </w:pPr>
            <w:r w:rsidRPr="00B06BF0">
              <w:rPr>
                <w:rFonts w:ascii="Arial Narrow" w:hAnsi="Arial Narrow" w:cs="Times New Roman"/>
                <w:b w:val="0"/>
                <w:bCs/>
                <w:sz w:val="18"/>
                <w:szCs w:val="18"/>
              </w:rPr>
              <w:t>The project will support production of TV and radio spots on aimed at increasing the population awareness of TB and TB/HIV, with special emphasis on the access to services, availability of innovative diagnostic and treatment methods and the need for adherence to prevent drug resistance.</w:t>
            </w:r>
          </w:p>
        </w:tc>
        <w:tc>
          <w:tcPr>
            <w:tcW w:w="344" w:type="dxa"/>
            <w:shd w:val="clear" w:color="auto" w:fill="auto"/>
            <w:tcMar>
              <w:left w:w="28" w:type="dxa"/>
              <w:right w:w="28" w:type="dxa"/>
            </w:tcMar>
            <w:vAlign w:val="center"/>
          </w:tcPr>
          <w:p w14:paraId="3C466B1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48744F8"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46DC25A"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1C5ABAC"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757A913"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8FDEB3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0364984"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DAF3C4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6A9064D"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D6397E1"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0C67FC2"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A201A69" w14:textId="77777777" w:rsidR="00FF4FCB" w:rsidRPr="00263536" w:rsidRDefault="00FF4FCB" w:rsidP="00FF4FCB">
            <w:pPr>
              <w:spacing w:before="40" w:after="40" w:line="240" w:lineRule="auto"/>
              <w:jc w:val="center"/>
              <w:rPr>
                <w:rFonts w:ascii="Arial Narrow" w:hAnsi="Arial Narrow" w:cs="Times New Roman"/>
                <w:b w:val="0"/>
                <w:bCs/>
                <w:sz w:val="18"/>
                <w:szCs w:val="18"/>
              </w:rPr>
            </w:pPr>
          </w:p>
        </w:tc>
      </w:tr>
      <w:tr w:rsidR="00956DCA" w:rsidRPr="00263536" w14:paraId="080173E2" w14:textId="77777777" w:rsidTr="00B46482">
        <w:tc>
          <w:tcPr>
            <w:tcW w:w="560" w:type="dxa"/>
            <w:tcMar>
              <w:left w:w="28" w:type="dxa"/>
              <w:right w:w="28" w:type="dxa"/>
            </w:tcMar>
          </w:tcPr>
          <w:p w14:paraId="1B0CD449" w14:textId="61550E27" w:rsidR="00956DCA" w:rsidRPr="00263536" w:rsidRDefault="00956DC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2.4.7</w:t>
            </w:r>
          </w:p>
        </w:tc>
        <w:tc>
          <w:tcPr>
            <w:tcW w:w="1985" w:type="dxa"/>
            <w:tcMar>
              <w:left w:w="28" w:type="dxa"/>
              <w:right w:w="28" w:type="dxa"/>
            </w:tcMar>
          </w:tcPr>
          <w:p w14:paraId="5638B76E" w14:textId="26220D40" w:rsidR="00956DCA" w:rsidRPr="00263536" w:rsidRDefault="00575E55" w:rsidP="00506484">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Broadcasting of audio and video spots</w:t>
            </w:r>
          </w:p>
        </w:tc>
        <w:tc>
          <w:tcPr>
            <w:tcW w:w="6448" w:type="dxa"/>
            <w:tcMar>
              <w:left w:w="28" w:type="dxa"/>
              <w:right w:w="28" w:type="dxa"/>
            </w:tcMar>
          </w:tcPr>
          <w:p w14:paraId="58E1E70D" w14:textId="3D4EDC33" w:rsidR="00575E55" w:rsidRPr="00263536" w:rsidRDefault="00575E55" w:rsidP="00506484">
            <w:pPr>
              <w:spacing w:before="40" w:after="40" w:line="240" w:lineRule="auto"/>
              <w:jc w:val="both"/>
              <w:rPr>
                <w:rFonts w:ascii="Arial Narrow" w:hAnsi="Arial Narrow" w:cs="Times New Roman"/>
                <w:b w:val="0"/>
                <w:bCs/>
                <w:sz w:val="18"/>
                <w:szCs w:val="18"/>
              </w:rPr>
            </w:pPr>
            <w:r>
              <w:rPr>
                <w:rFonts w:ascii="Arial Narrow" w:hAnsi="Arial Narrow" w:cs="Times New Roman"/>
                <w:b w:val="0"/>
                <w:bCs/>
                <w:sz w:val="18"/>
                <w:szCs w:val="18"/>
              </w:rPr>
              <w:t xml:space="preserve">TB </w:t>
            </w:r>
            <w:r w:rsidRPr="00B06BF0">
              <w:rPr>
                <w:rFonts w:ascii="Arial Narrow" w:hAnsi="Arial Narrow" w:cs="Times New Roman"/>
                <w:b w:val="0"/>
                <w:bCs/>
                <w:sz w:val="18"/>
                <w:szCs w:val="18"/>
              </w:rPr>
              <w:t xml:space="preserve">TV and radio spots </w:t>
            </w:r>
            <w:proofErr w:type="gramStart"/>
            <w:r>
              <w:rPr>
                <w:rFonts w:ascii="Arial Narrow" w:hAnsi="Arial Narrow" w:cs="Times New Roman"/>
                <w:b w:val="0"/>
                <w:bCs/>
                <w:sz w:val="18"/>
                <w:szCs w:val="18"/>
              </w:rPr>
              <w:t>will be broadcasted</w:t>
            </w:r>
            <w:proofErr w:type="gramEnd"/>
            <w:r>
              <w:rPr>
                <w:rFonts w:ascii="Arial Narrow" w:hAnsi="Arial Narrow" w:cs="Times New Roman"/>
                <w:b w:val="0"/>
                <w:bCs/>
                <w:sz w:val="18"/>
                <w:szCs w:val="18"/>
              </w:rPr>
              <w:t xml:space="preserve"> </w:t>
            </w:r>
            <w:r w:rsidRPr="00B06BF0">
              <w:rPr>
                <w:rFonts w:ascii="Arial Narrow" w:hAnsi="Arial Narrow" w:cs="Times New Roman"/>
                <w:b w:val="0"/>
                <w:bCs/>
                <w:sz w:val="18"/>
                <w:szCs w:val="18"/>
              </w:rPr>
              <w:t xml:space="preserve">on </w:t>
            </w:r>
            <w:r>
              <w:rPr>
                <w:rFonts w:ascii="Arial Narrow" w:hAnsi="Arial Narrow" w:cs="Times New Roman"/>
                <w:b w:val="0"/>
                <w:bCs/>
                <w:sz w:val="18"/>
                <w:szCs w:val="18"/>
              </w:rPr>
              <w:t>local and national media.</w:t>
            </w:r>
          </w:p>
        </w:tc>
        <w:tc>
          <w:tcPr>
            <w:tcW w:w="344" w:type="dxa"/>
            <w:shd w:val="clear" w:color="auto" w:fill="auto"/>
            <w:tcMar>
              <w:left w:w="28" w:type="dxa"/>
              <w:right w:w="28" w:type="dxa"/>
            </w:tcMar>
            <w:vAlign w:val="center"/>
          </w:tcPr>
          <w:p w14:paraId="6D69D3BB"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FECB05C"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63683FB"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471DD64"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F4741C9"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7BB38A9E"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1D9BDFE"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95A9703"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3600A7B"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467EF9F5"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10480DCA"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745B36F"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r>
      <w:tr w:rsidR="00956DCA" w:rsidRPr="00263536" w14:paraId="0C32B21A" w14:textId="77777777" w:rsidTr="00B46482">
        <w:tc>
          <w:tcPr>
            <w:tcW w:w="560" w:type="dxa"/>
            <w:tcMar>
              <w:left w:w="28" w:type="dxa"/>
              <w:right w:w="28" w:type="dxa"/>
            </w:tcMar>
          </w:tcPr>
          <w:p w14:paraId="68BB91F7" w14:textId="493F93F0" w:rsidR="00956DCA" w:rsidRPr="00263536" w:rsidRDefault="00956DC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2.4.8</w:t>
            </w:r>
          </w:p>
        </w:tc>
        <w:tc>
          <w:tcPr>
            <w:tcW w:w="1985" w:type="dxa"/>
            <w:tcMar>
              <w:left w:w="28" w:type="dxa"/>
              <w:right w:w="28" w:type="dxa"/>
            </w:tcMar>
          </w:tcPr>
          <w:p w14:paraId="7EDBABD6" w14:textId="3696C566" w:rsidR="00956DCA" w:rsidRPr="00263536" w:rsidRDefault="00956DCA" w:rsidP="00506484">
            <w:pPr>
              <w:spacing w:before="40" w:after="40" w:line="240" w:lineRule="auto"/>
              <w:jc w:val="both"/>
              <w:rPr>
                <w:rFonts w:ascii="Arial Narrow" w:hAnsi="Arial Narrow" w:cs="Times New Roman"/>
                <w:b w:val="0"/>
                <w:bCs/>
                <w:sz w:val="18"/>
                <w:szCs w:val="18"/>
              </w:rPr>
            </w:pPr>
            <w:r w:rsidRPr="00956DCA">
              <w:rPr>
                <w:rFonts w:ascii="Arial Narrow" w:hAnsi="Arial Narrow" w:cs="Times New Roman"/>
                <w:b w:val="0"/>
                <w:bCs/>
                <w:sz w:val="18"/>
                <w:szCs w:val="18"/>
              </w:rPr>
              <w:t>Training for mass media on TB a</w:t>
            </w:r>
            <w:r>
              <w:rPr>
                <w:rFonts w:ascii="Arial Narrow" w:hAnsi="Arial Narrow" w:cs="Times New Roman"/>
                <w:b w:val="0"/>
                <w:bCs/>
                <w:sz w:val="18"/>
                <w:szCs w:val="18"/>
              </w:rPr>
              <w:t>nd DR-TB prevention and control</w:t>
            </w:r>
          </w:p>
        </w:tc>
        <w:tc>
          <w:tcPr>
            <w:tcW w:w="6448" w:type="dxa"/>
            <w:tcMar>
              <w:left w:w="28" w:type="dxa"/>
              <w:right w:w="28" w:type="dxa"/>
            </w:tcMar>
          </w:tcPr>
          <w:p w14:paraId="4C5C1B4A" w14:textId="45B647F7" w:rsidR="00EE78A7" w:rsidRPr="00263536" w:rsidRDefault="00EE78A7" w:rsidP="00506484">
            <w:pPr>
              <w:spacing w:before="40" w:after="40" w:line="240" w:lineRule="auto"/>
              <w:jc w:val="both"/>
              <w:rPr>
                <w:rFonts w:ascii="Arial Narrow" w:hAnsi="Arial Narrow" w:cs="Times New Roman"/>
                <w:b w:val="0"/>
                <w:bCs/>
                <w:sz w:val="18"/>
                <w:szCs w:val="18"/>
              </w:rPr>
            </w:pPr>
            <w:r w:rsidRPr="00B06BF0">
              <w:rPr>
                <w:rFonts w:ascii="Arial Narrow" w:hAnsi="Arial Narrow" w:cs="Times New Roman"/>
                <w:b w:val="0"/>
                <w:bCs/>
                <w:sz w:val="18"/>
                <w:szCs w:val="18"/>
              </w:rPr>
              <w:t xml:space="preserve">The project will provide the journalists working in mainstream media (print, electronic and social networks) with timely and reliable information on TB and its control, countrywide and locally. For this purpose, training for mass media on TB and DR-TB prevention and care </w:t>
            </w:r>
            <w:proofErr w:type="gramStart"/>
            <w:r w:rsidRPr="00B06BF0">
              <w:rPr>
                <w:rFonts w:ascii="Arial Narrow" w:hAnsi="Arial Narrow" w:cs="Times New Roman"/>
                <w:b w:val="0"/>
                <w:bCs/>
                <w:sz w:val="18"/>
                <w:szCs w:val="18"/>
              </w:rPr>
              <w:t>will be organized</w:t>
            </w:r>
            <w:proofErr w:type="gramEnd"/>
            <w:r w:rsidRPr="00B06BF0">
              <w:rPr>
                <w:rFonts w:ascii="Arial Narrow" w:hAnsi="Arial Narrow" w:cs="Times New Roman"/>
                <w:b w:val="0"/>
                <w:bCs/>
                <w:sz w:val="18"/>
                <w:szCs w:val="18"/>
              </w:rPr>
              <w:t xml:space="preserve"> in each project year.</w:t>
            </w:r>
          </w:p>
        </w:tc>
        <w:tc>
          <w:tcPr>
            <w:tcW w:w="344" w:type="dxa"/>
            <w:shd w:val="clear" w:color="auto" w:fill="auto"/>
            <w:tcMar>
              <w:left w:w="28" w:type="dxa"/>
              <w:right w:w="28" w:type="dxa"/>
            </w:tcMar>
            <w:vAlign w:val="center"/>
          </w:tcPr>
          <w:p w14:paraId="048FCB1D"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B6FDA39"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2D138983"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18F2108"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AF323D2"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CB2090D"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51228CB"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4B3AAF8"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1BB2C0EA"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39F9C29"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D36B1DB"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0651D3B0"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r>
      <w:tr w:rsidR="00956DCA" w:rsidRPr="00263536" w14:paraId="3DEE5F67" w14:textId="77777777" w:rsidTr="00B46482">
        <w:tc>
          <w:tcPr>
            <w:tcW w:w="560" w:type="dxa"/>
            <w:tcMar>
              <w:left w:w="28" w:type="dxa"/>
              <w:right w:w="28" w:type="dxa"/>
            </w:tcMar>
          </w:tcPr>
          <w:p w14:paraId="264BA1BE" w14:textId="10E47BF3" w:rsidR="00956DCA" w:rsidRPr="00263536" w:rsidRDefault="00956DC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2.4.9</w:t>
            </w:r>
          </w:p>
        </w:tc>
        <w:tc>
          <w:tcPr>
            <w:tcW w:w="1985" w:type="dxa"/>
            <w:tcMar>
              <w:left w:w="28" w:type="dxa"/>
              <w:right w:w="28" w:type="dxa"/>
            </w:tcMar>
          </w:tcPr>
          <w:p w14:paraId="3E88B44A" w14:textId="708400AB" w:rsidR="00956DCA" w:rsidRPr="00263536" w:rsidRDefault="00956DCA" w:rsidP="00506484">
            <w:pPr>
              <w:spacing w:before="40" w:after="40" w:line="240" w:lineRule="auto"/>
              <w:jc w:val="both"/>
              <w:rPr>
                <w:rFonts w:ascii="Arial Narrow" w:hAnsi="Arial Narrow" w:cs="Times New Roman"/>
                <w:b w:val="0"/>
                <w:bCs/>
                <w:sz w:val="18"/>
                <w:szCs w:val="18"/>
              </w:rPr>
            </w:pPr>
            <w:r w:rsidRPr="00956DCA">
              <w:rPr>
                <w:rFonts w:ascii="Arial Narrow" w:hAnsi="Arial Narrow" w:cs="Times New Roman"/>
                <w:b w:val="0"/>
                <w:bCs/>
                <w:sz w:val="18"/>
                <w:szCs w:val="18"/>
              </w:rPr>
              <w:t>An</w:t>
            </w:r>
            <w:r>
              <w:rPr>
                <w:rFonts w:ascii="Arial Narrow" w:hAnsi="Arial Narrow" w:cs="Times New Roman"/>
                <w:b w:val="0"/>
                <w:bCs/>
                <w:sz w:val="18"/>
                <w:szCs w:val="18"/>
              </w:rPr>
              <w:t xml:space="preserve"> annual contest for </w:t>
            </w:r>
            <w:r w:rsidR="00506484">
              <w:rPr>
                <w:rFonts w:ascii="Arial Narrow" w:hAnsi="Arial Narrow" w:cs="Times New Roman"/>
                <w:b w:val="0"/>
                <w:bCs/>
                <w:sz w:val="18"/>
                <w:szCs w:val="18"/>
              </w:rPr>
              <w:t>journalists</w:t>
            </w:r>
          </w:p>
        </w:tc>
        <w:tc>
          <w:tcPr>
            <w:tcW w:w="6448" w:type="dxa"/>
            <w:tcMar>
              <w:left w:w="28" w:type="dxa"/>
              <w:right w:w="28" w:type="dxa"/>
            </w:tcMar>
          </w:tcPr>
          <w:p w14:paraId="1D79528D" w14:textId="23FE01C7" w:rsidR="00EE78A7" w:rsidRPr="00263536" w:rsidRDefault="00EE78A7" w:rsidP="00506484">
            <w:pPr>
              <w:spacing w:before="40" w:after="40" w:line="240" w:lineRule="auto"/>
              <w:jc w:val="both"/>
              <w:rPr>
                <w:rFonts w:ascii="Arial Narrow" w:hAnsi="Arial Narrow" w:cs="Times New Roman"/>
                <w:b w:val="0"/>
                <w:bCs/>
                <w:sz w:val="18"/>
                <w:szCs w:val="18"/>
              </w:rPr>
            </w:pPr>
            <w:r w:rsidRPr="00B06BF0">
              <w:rPr>
                <w:rFonts w:ascii="Arial Narrow" w:hAnsi="Arial Narrow" w:cs="Times New Roman"/>
                <w:b w:val="0"/>
                <w:bCs/>
                <w:sz w:val="18"/>
                <w:szCs w:val="18"/>
              </w:rPr>
              <w:t xml:space="preserve">The project will hold annual contests for journalists, who </w:t>
            </w:r>
            <w:proofErr w:type="gramStart"/>
            <w:r w:rsidRPr="00B06BF0">
              <w:rPr>
                <w:rFonts w:ascii="Arial Narrow" w:hAnsi="Arial Narrow" w:cs="Times New Roman"/>
                <w:b w:val="0"/>
                <w:bCs/>
                <w:sz w:val="18"/>
                <w:szCs w:val="18"/>
              </w:rPr>
              <w:t>will be awarded</w:t>
            </w:r>
            <w:proofErr w:type="gramEnd"/>
            <w:r w:rsidRPr="00B06BF0">
              <w:rPr>
                <w:rFonts w:ascii="Arial Narrow" w:hAnsi="Arial Narrow" w:cs="Times New Roman"/>
                <w:b w:val="0"/>
                <w:bCs/>
                <w:sz w:val="18"/>
                <w:szCs w:val="18"/>
              </w:rPr>
              <w:t xml:space="preserve"> for the best publications and programs on TB.</w:t>
            </w:r>
          </w:p>
        </w:tc>
        <w:tc>
          <w:tcPr>
            <w:tcW w:w="344" w:type="dxa"/>
            <w:shd w:val="clear" w:color="auto" w:fill="D9D9D9" w:themeFill="background1" w:themeFillShade="D9"/>
            <w:tcMar>
              <w:left w:w="28" w:type="dxa"/>
              <w:right w:w="28" w:type="dxa"/>
            </w:tcMar>
            <w:vAlign w:val="center"/>
          </w:tcPr>
          <w:p w14:paraId="5260B2A1"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62B1A84C"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54925555"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CE08309"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C0FABFD"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2045D9D6"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32C2A0D0"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6FA01CA2"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6C776138"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AD9909D"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78DA6D5"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20462461"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r>
      <w:tr w:rsidR="00956DCA" w:rsidRPr="00263536" w14:paraId="715ACD56" w14:textId="77777777" w:rsidTr="00B46482">
        <w:tc>
          <w:tcPr>
            <w:tcW w:w="560" w:type="dxa"/>
            <w:tcMar>
              <w:left w:w="28" w:type="dxa"/>
              <w:right w:w="28" w:type="dxa"/>
            </w:tcMar>
          </w:tcPr>
          <w:p w14:paraId="36F0E269" w14:textId="465F46C5" w:rsidR="00956DCA" w:rsidRPr="00263536" w:rsidRDefault="00956DCA"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2.4.10</w:t>
            </w:r>
          </w:p>
        </w:tc>
        <w:tc>
          <w:tcPr>
            <w:tcW w:w="1985" w:type="dxa"/>
            <w:tcMar>
              <w:left w:w="28" w:type="dxa"/>
              <w:right w:w="28" w:type="dxa"/>
            </w:tcMar>
          </w:tcPr>
          <w:p w14:paraId="522AAC63" w14:textId="35924F12" w:rsidR="00956DCA" w:rsidRPr="00263536" w:rsidRDefault="00956DCA" w:rsidP="00506484">
            <w:pPr>
              <w:spacing w:before="40" w:after="40" w:line="240" w:lineRule="auto"/>
              <w:jc w:val="both"/>
              <w:rPr>
                <w:rFonts w:ascii="Arial Narrow" w:hAnsi="Arial Narrow" w:cs="Times New Roman"/>
                <w:b w:val="0"/>
                <w:bCs/>
                <w:sz w:val="18"/>
                <w:szCs w:val="18"/>
              </w:rPr>
            </w:pPr>
            <w:r w:rsidRPr="00956DCA">
              <w:rPr>
                <w:rFonts w:ascii="Arial Narrow" w:hAnsi="Arial Narrow" w:cs="Times New Roman"/>
                <w:b w:val="0"/>
                <w:bCs/>
                <w:sz w:val="18"/>
                <w:szCs w:val="18"/>
              </w:rPr>
              <w:t>TB advocacy workshops at cen</w:t>
            </w:r>
            <w:r>
              <w:rPr>
                <w:rFonts w:ascii="Arial Narrow" w:hAnsi="Arial Narrow" w:cs="Times New Roman"/>
                <w:b w:val="0"/>
                <w:bCs/>
                <w:sz w:val="18"/>
                <w:szCs w:val="18"/>
              </w:rPr>
              <w:t>tral level on the event of WTBD</w:t>
            </w:r>
          </w:p>
        </w:tc>
        <w:tc>
          <w:tcPr>
            <w:tcW w:w="6448" w:type="dxa"/>
            <w:tcMar>
              <w:left w:w="28" w:type="dxa"/>
              <w:right w:w="28" w:type="dxa"/>
            </w:tcMar>
          </w:tcPr>
          <w:p w14:paraId="4A242E6D" w14:textId="7AC3CC2B" w:rsidR="00EE78A7" w:rsidRPr="00263536" w:rsidRDefault="00EE78A7" w:rsidP="00506484">
            <w:pPr>
              <w:spacing w:before="40" w:after="40" w:line="240" w:lineRule="auto"/>
              <w:jc w:val="both"/>
              <w:rPr>
                <w:rFonts w:ascii="Arial Narrow" w:hAnsi="Arial Narrow" w:cs="Times New Roman"/>
                <w:b w:val="0"/>
                <w:bCs/>
                <w:sz w:val="18"/>
                <w:szCs w:val="18"/>
              </w:rPr>
            </w:pPr>
            <w:r w:rsidRPr="00B06BF0">
              <w:rPr>
                <w:rFonts w:ascii="Arial Narrow" w:hAnsi="Arial Narrow" w:cs="Times New Roman"/>
                <w:b w:val="0"/>
                <w:bCs/>
                <w:sz w:val="18"/>
                <w:szCs w:val="18"/>
              </w:rPr>
              <w:t xml:space="preserve">TB advocacy workshops </w:t>
            </w:r>
            <w:proofErr w:type="gramStart"/>
            <w:r w:rsidRPr="00B06BF0">
              <w:rPr>
                <w:rFonts w:ascii="Arial Narrow" w:hAnsi="Arial Narrow" w:cs="Times New Roman"/>
                <w:b w:val="0"/>
                <w:bCs/>
                <w:sz w:val="18"/>
                <w:szCs w:val="18"/>
              </w:rPr>
              <w:t>will be held</w:t>
            </w:r>
            <w:proofErr w:type="gramEnd"/>
            <w:r w:rsidRPr="00B06BF0">
              <w:rPr>
                <w:rFonts w:ascii="Arial Narrow" w:hAnsi="Arial Narrow" w:cs="Times New Roman"/>
                <w:b w:val="0"/>
                <w:bCs/>
                <w:sz w:val="18"/>
                <w:szCs w:val="18"/>
              </w:rPr>
              <w:t xml:space="preserve"> at the central level on the World TB Days 24 March to increase awareness and commitment of public authorities and improve collaboration and coordination between different actors including civil society and mass media.</w:t>
            </w:r>
          </w:p>
        </w:tc>
        <w:tc>
          <w:tcPr>
            <w:tcW w:w="344" w:type="dxa"/>
            <w:shd w:val="clear" w:color="auto" w:fill="D9D9D9" w:themeFill="background1" w:themeFillShade="D9"/>
            <w:tcMar>
              <w:left w:w="28" w:type="dxa"/>
              <w:right w:w="28" w:type="dxa"/>
            </w:tcMar>
            <w:vAlign w:val="center"/>
          </w:tcPr>
          <w:p w14:paraId="6915EAFB"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8E481CB"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4153FDB8"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E3965CB"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0B02F072"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0ACEF4C6"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4090FB9D"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15118BE8"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D30FCE6"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3B62F78B"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3" w:type="dxa"/>
            <w:shd w:val="clear" w:color="auto" w:fill="auto"/>
            <w:tcMar>
              <w:left w:w="28" w:type="dxa"/>
              <w:right w:w="28" w:type="dxa"/>
            </w:tcMar>
            <w:vAlign w:val="center"/>
          </w:tcPr>
          <w:p w14:paraId="5EBF703A"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c>
          <w:tcPr>
            <w:tcW w:w="414" w:type="dxa"/>
            <w:shd w:val="clear" w:color="auto" w:fill="auto"/>
            <w:tcMar>
              <w:left w:w="28" w:type="dxa"/>
              <w:right w:w="28" w:type="dxa"/>
            </w:tcMar>
            <w:vAlign w:val="center"/>
          </w:tcPr>
          <w:p w14:paraId="71414E03" w14:textId="77777777" w:rsidR="00956DCA" w:rsidRPr="00263536" w:rsidRDefault="00956DCA" w:rsidP="00FF4FCB">
            <w:pPr>
              <w:spacing w:before="40" w:after="40" w:line="240" w:lineRule="auto"/>
              <w:jc w:val="center"/>
              <w:rPr>
                <w:rFonts w:ascii="Arial Narrow" w:hAnsi="Arial Narrow" w:cs="Times New Roman"/>
                <w:b w:val="0"/>
                <w:bCs/>
                <w:sz w:val="18"/>
                <w:szCs w:val="18"/>
              </w:rPr>
            </w:pPr>
          </w:p>
        </w:tc>
      </w:tr>
      <w:tr w:rsidR="00F52D2E" w:rsidRPr="00956DCA" w14:paraId="76E21EA2" w14:textId="77777777" w:rsidTr="00807FDF">
        <w:tc>
          <w:tcPr>
            <w:tcW w:w="560" w:type="dxa"/>
            <w:shd w:val="clear" w:color="auto" w:fill="B6DDE8" w:themeFill="accent5" w:themeFillTint="66"/>
            <w:tcMar>
              <w:left w:w="28" w:type="dxa"/>
              <w:right w:w="28" w:type="dxa"/>
            </w:tcMar>
          </w:tcPr>
          <w:p w14:paraId="43A5188F" w14:textId="25FA2201" w:rsidR="00F52D2E" w:rsidRPr="00956DCA" w:rsidRDefault="00F52D2E" w:rsidP="00807FDF">
            <w:pPr>
              <w:spacing w:before="40" w:after="40" w:line="240" w:lineRule="auto"/>
              <w:jc w:val="center"/>
              <w:rPr>
                <w:rFonts w:ascii="Arial Narrow" w:hAnsi="Arial Narrow" w:cs="Times New Roman"/>
              </w:rPr>
            </w:pPr>
            <w:r>
              <w:rPr>
                <w:rFonts w:ascii="Arial Narrow" w:hAnsi="Arial Narrow" w:cs="Times New Roman"/>
              </w:rPr>
              <w:t>3</w:t>
            </w:r>
          </w:p>
        </w:tc>
        <w:tc>
          <w:tcPr>
            <w:tcW w:w="13325" w:type="dxa"/>
            <w:gridSpan w:val="14"/>
            <w:shd w:val="clear" w:color="auto" w:fill="B6DDE8" w:themeFill="accent5" w:themeFillTint="66"/>
            <w:tcMar>
              <w:left w:w="28" w:type="dxa"/>
              <w:right w:w="28" w:type="dxa"/>
            </w:tcMar>
          </w:tcPr>
          <w:p w14:paraId="2FAC0FAD" w14:textId="093E804D" w:rsidR="00F52D2E" w:rsidRPr="00956DCA" w:rsidRDefault="00F52D2E" w:rsidP="009413DD">
            <w:pPr>
              <w:spacing w:before="40" w:after="40" w:line="240" w:lineRule="auto"/>
              <w:rPr>
                <w:rFonts w:ascii="Arial Narrow" w:hAnsi="Arial Narrow" w:cs="Times New Roman"/>
              </w:rPr>
            </w:pPr>
            <w:r>
              <w:rPr>
                <w:rFonts w:ascii="Arial Narrow" w:hAnsi="Arial Narrow" w:cs="Times New Roman"/>
              </w:rPr>
              <w:t>Grant management</w:t>
            </w:r>
          </w:p>
        </w:tc>
      </w:tr>
      <w:tr w:rsidR="00F52D2E" w:rsidRPr="00263536" w14:paraId="77386E60" w14:textId="77777777" w:rsidTr="00B46482">
        <w:tc>
          <w:tcPr>
            <w:tcW w:w="560" w:type="dxa"/>
            <w:shd w:val="clear" w:color="auto" w:fill="FFFF99"/>
            <w:tcMar>
              <w:left w:w="28" w:type="dxa"/>
              <w:right w:w="28" w:type="dxa"/>
            </w:tcMar>
          </w:tcPr>
          <w:p w14:paraId="5BBE354B" w14:textId="5689516F" w:rsidR="00F52D2E" w:rsidRPr="00263536" w:rsidRDefault="00F52D2E" w:rsidP="00807FDF">
            <w:pPr>
              <w:spacing w:before="40" w:after="40" w:line="240" w:lineRule="auto"/>
              <w:jc w:val="center"/>
              <w:rPr>
                <w:rFonts w:ascii="Arial Narrow" w:hAnsi="Arial Narrow" w:cs="Times New Roman"/>
                <w:sz w:val="18"/>
                <w:szCs w:val="18"/>
              </w:rPr>
            </w:pPr>
            <w:r>
              <w:rPr>
                <w:rFonts w:ascii="Arial Narrow" w:hAnsi="Arial Narrow" w:cs="Times New Roman"/>
                <w:sz w:val="18"/>
                <w:szCs w:val="18"/>
              </w:rPr>
              <w:t>3.1</w:t>
            </w:r>
          </w:p>
        </w:tc>
        <w:tc>
          <w:tcPr>
            <w:tcW w:w="8433" w:type="dxa"/>
            <w:gridSpan w:val="2"/>
            <w:shd w:val="clear" w:color="auto" w:fill="FFFF99"/>
            <w:tcMar>
              <w:left w:w="28" w:type="dxa"/>
              <w:right w:w="28" w:type="dxa"/>
            </w:tcMar>
          </w:tcPr>
          <w:p w14:paraId="2B0F759C" w14:textId="2DB47A06" w:rsidR="00F52D2E" w:rsidRPr="002B520C" w:rsidRDefault="00F52D2E" w:rsidP="009413DD">
            <w:pPr>
              <w:spacing w:before="40" w:after="40" w:line="240" w:lineRule="auto"/>
              <w:rPr>
                <w:rFonts w:ascii="Arial Narrow" w:hAnsi="Arial Narrow" w:cs="Times New Roman"/>
                <w:sz w:val="18"/>
                <w:szCs w:val="18"/>
              </w:rPr>
            </w:pPr>
            <w:r>
              <w:rPr>
                <w:rFonts w:ascii="Arial Narrow" w:hAnsi="Arial Narrow" w:cs="Times New Roman"/>
                <w:sz w:val="18"/>
                <w:szCs w:val="18"/>
              </w:rPr>
              <w:t>Grant management</w:t>
            </w:r>
          </w:p>
          <w:p w14:paraId="0B1FA2B7" w14:textId="0E04DCA5" w:rsidR="00F52D2E" w:rsidRPr="00263536" w:rsidRDefault="00F52D2E" w:rsidP="009413DD">
            <w:pPr>
              <w:spacing w:before="40" w:after="40" w:line="240" w:lineRule="auto"/>
              <w:rPr>
                <w:rFonts w:ascii="Arial Narrow" w:hAnsi="Arial Narrow" w:cs="Times New Roman"/>
                <w:i/>
                <w:sz w:val="18"/>
                <w:szCs w:val="18"/>
              </w:rPr>
            </w:pPr>
            <w:r w:rsidRPr="002B520C">
              <w:rPr>
                <w:rFonts w:ascii="Arial Narrow" w:hAnsi="Arial Narrow" w:cs="Times New Roman"/>
                <w:b w:val="0"/>
                <w:i/>
                <w:sz w:val="18"/>
                <w:szCs w:val="18"/>
              </w:rPr>
              <w:t>Module:</w:t>
            </w:r>
            <w:r w:rsidRPr="002B520C">
              <w:rPr>
                <w:rFonts w:ascii="Arial Narrow" w:hAnsi="Arial Narrow" w:cs="Times New Roman"/>
                <w:b w:val="0"/>
                <w:i/>
                <w:sz w:val="18"/>
                <w:szCs w:val="18"/>
              </w:rPr>
              <w:tab/>
              <w:t xml:space="preserve"> </w:t>
            </w:r>
            <w:r>
              <w:rPr>
                <w:rFonts w:ascii="Arial Narrow" w:hAnsi="Arial Narrow" w:cs="Times New Roman"/>
                <w:b w:val="0"/>
                <w:i/>
                <w:sz w:val="18"/>
                <w:szCs w:val="18"/>
              </w:rPr>
              <w:t>Program management</w:t>
            </w:r>
          </w:p>
        </w:tc>
        <w:tc>
          <w:tcPr>
            <w:tcW w:w="344" w:type="dxa"/>
            <w:shd w:val="clear" w:color="auto" w:fill="FFFF99"/>
            <w:tcMar>
              <w:left w:w="28" w:type="dxa"/>
              <w:right w:w="28" w:type="dxa"/>
            </w:tcMar>
            <w:vAlign w:val="center"/>
          </w:tcPr>
          <w:p w14:paraId="57B1ED11" w14:textId="77777777" w:rsidR="00F52D2E" w:rsidRPr="00263536" w:rsidRDefault="00F52D2E" w:rsidP="009413DD">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5FE093EB" w14:textId="77777777" w:rsidR="00F52D2E" w:rsidRPr="00263536" w:rsidRDefault="00F52D2E" w:rsidP="009413DD">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45978A0B" w14:textId="77777777" w:rsidR="00F52D2E" w:rsidRPr="00263536" w:rsidRDefault="00F52D2E" w:rsidP="009413DD">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6197A282" w14:textId="77777777" w:rsidR="00F52D2E" w:rsidRPr="00263536" w:rsidRDefault="00F52D2E" w:rsidP="009413DD">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11423F41" w14:textId="77777777" w:rsidR="00F52D2E" w:rsidRPr="00263536" w:rsidRDefault="00F52D2E" w:rsidP="009413DD">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358154EA" w14:textId="77777777" w:rsidR="00F52D2E" w:rsidRPr="00263536" w:rsidRDefault="00F52D2E" w:rsidP="009413DD">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3DA3669B" w14:textId="77777777" w:rsidR="00F52D2E" w:rsidRPr="00263536" w:rsidRDefault="00F52D2E" w:rsidP="009413DD">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40A41ABB" w14:textId="77777777" w:rsidR="00F52D2E" w:rsidRPr="00263536" w:rsidRDefault="00F52D2E" w:rsidP="009413DD">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72A24A47" w14:textId="77777777" w:rsidR="00F52D2E" w:rsidRPr="00263536" w:rsidRDefault="00F52D2E" w:rsidP="009413DD">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57087788" w14:textId="77777777" w:rsidR="00F52D2E" w:rsidRPr="00263536" w:rsidRDefault="00F52D2E" w:rsidP="009413DD">
            <w:pPr>
              <w:spacing w:before="40" w:after="40" w:line="240" w:lineRule="auto"/>
              <w:jc w:val="center"/>
              <w:rPr>
                <w:rFonts w:ascii="Arial Narrow" w:hAnsi="Arial Narrow" w:cs="Times New Roman"/>
                <w:sz w:val="18"/>
                <w:szCs w:val="18"/>
              </w:rPr>
            </w:pPr>
          </w:p>
        </w:tc>
        <w:tc>
          <w:tcPr>
            <w:tcW w:w="413" w:type="dxa"/>
            <w:shd w:val="clear" w:color="auto" w:fill="FFFF99"/>
            <w:tcMar>
              <w:left w:w="28" w:type="dxa"/>
              <w:right w:w="28" w:type="dxa"/>
            </w:tcMar>
            <w:vAlign w:val="center"/>
          </w:tcPr>
          <w:p w14:paraId="7ADE926A" w14:textId="77777777" w:rsidR="00F52D2E" w:rsidRPr="00263536" w:rsidRDefault="00F52D2E" w:rsidP="009413DD">
            <w:pPr>
              <w:spacing w:before="40" w:after="40" w:line="240" w:lineRule="auto"/>
              <w:jc w:val="center"/>
              <w:rPr>
                <w:rFonts w:ascii="Arial Narrow" w:hAnsi="Arial Narrow" w:cs="Times New Roman"/>
                <w:sz w:val="18"/>
                <w:szCs w:val="18"/>
              </w:rPr>
            </w:pPr>
          </w:p>
        </w:tc>
        <w:tc>
          <w:tcPr>
            <w:tcW w:w="414" w:type="dxa"/>
            <w:shd w:val="clear" w:color="auto" w:fill="FFFF99"/>
            <w:tcMar>
              <w:left w:w="28" w:type="dxa"/>
              <w:right w:w="28" w:type="dxa"/>
            </w:tcMar>
            <w:vAlign w:val="center"/>
          </w:tcPr>
          <w:p w14:paraId="47A3EFEF" w14:textId="77777777" w:rsidR="00F52D2E" w:rsidRPr="00263536" w:rsidRDefault="00F52D2E" w:rsidP="009413DD">
            <w:pPr>
              <w:spacing w:before="40" w:after="40" w:line="240" w:lineRule="auto"/>
              <w:jc w:val="center"/>
              <w:rPr>
                <w:rFonts w:ascii="Arial Narrow" w:hAnsi="Arial Narrow" w:cs="Times New Roman"/>
                <w:sz w:val="18"/>
                <w:szCs w:val="18"/>
              </w:rPr>
            </w:pPr>
          </w:p>
        </w:tc>
      </w:tr>
      <w:tr w:rsidR="00F52D2E" w:rsidRPr="00263536" w14:paraId="644DF92A" w14:textId="77777777" w:rsidTr="00B46482">
        <w:tc>
          <w:tcPr>
            <w:tcW w:w="560" w:type="dxa"/>
            <w:tcMar>
              <w:left w:w="28" w:type="dxa"/>
              <w:right w:w="28" w:type="dxa"/>
            </w:tcMar>
          </w:tcPr>
          <w:p w14:paraId="4AEF4ED0" w14:textId="1D12A5DF" w:rsidR="00F52D2E" w:rsidRPr="00263536" w:rsidRDefault="00F52D2E" w:rsidP="00807FDF">
            <w:pPr>
              <w:spacing w:before="40" w:after="40" w:line="240" w:lineRule="auto"/>
              <w:jc w:val="center"/>
              <w:rPr>
                <w:rFonts w:ascii="Arial Narrow" w:hAnsi="Arial Narrow" w:cs="Times New Roman"/>
                <w:b w:val="0"/>
                <w:bCs/>
                <w:sz w:val="18"/>
                <w:szCs w:val="18"/>
              </w:rPr>
            </w:pPr>
            <w:r>
              <w:rPr>
                <w:rFonts w:ascii="Arial Narrow" w:hAnsi="Arial Narrow" w:cs="Times New Roman"/>
                <w:b w:val="0"/>
                <w:bCs/>
                <w:sz w:val="18"/>
                <w:szCs w:val="18"/>
              </w:rPr>
              <w:t>3.1.1</w:t>
            </w:r>
          </w:p>
        </w:tc>
        <w:tc>
          <w:tcPr>
            <w:tcW w:w="1985" w:type="dxa"/>
            <w:tcMar>
              <w:left w:w="28" w:type="dxa"/>
              <w:right w:w="28" w:type="dxa"/>
            </w:tcMar>
          </w:tcPr>
          <w:p w14:paraId="59AF57CE" w14:textId="6628B130" w:rsidR="00F52D2E" w:rsidRPr="00F52D2E" w:rsidRDefault="00F52D2E" w:rsidP="009413DD">
            <w:pPr>
              <w:spacing w:before="40" w:after="40" w:line="240" w:lineRule="auto"/>
              <w:rPr>
                <w:rFonts w:ascii="Arial Narrow" w:hAnsi="Arial Narrow" w:cs="Times New Roman"/>
                <w:b w:val="0"/>
                <w:bCs/>
                <w:sz w:val="18"/>
                <w:szCs w:val="18"/>
                <w:highlight w:val="yellow"/>
              </w:rPr>
            </w:pPr>
          </w:p>
        </w:tc>
        <w:tc>
          <w:tcPr>
            <w:tcW w:w="6448" w:type="dxa"/>
            <w:tcMar>
              <w:left w:w="28" w:type="dxa"/>
              <w:right w:w="28" w:type="dxa"/>
            </w:tcMar>
          </w:tcPr>
          <w:p w14:paraId="1CE2EA5A" w14:textId="77777777" w:rsidR="00F52D2E" w:rsidRDefault="00F52D2E" w:rsidP="00E40DE3">
            <w:pPr>
              <w:spacing w:before="40" w:after="40" w:line="240" w:lineRule="auto"/>
              <w:jc w:val="both"/>
              <w:rPr>
                <w:rFonts w:ascii="Arial Narrow" w:hAnsi="Arial Narrow" w:cs="Times New Roman"/>
                <w:b w:val="0"/>
                <w:bCs/>
                <w:sz w:val="18"/>
                <w:szCs w:val="18"/>
              </w:rPr>
            </w:pPr>
            <w:r w:rsidRPr="00F52D2E">
              <w:rPr>
                <w:rFonts w:ascii="Arial Narrow" w:hAnsi="Arial Narrow" w:cs="Times New Roman"/>
                <w:b w:val="0"/>
                <w:bCs/>
                <w:sz w:val="18"/>
                <w:szCs w:val="18"/>
              </w:rPr>
              <w:t>Principal Recipient (PIU NSCP) costs</w:t>
            </w:r>
            <w:r>
              <w:rPr>
                <w:rFonts w:ascii="Arial Narrow" w:hAnsi="Arial Narrow" w:cs="Times New Roman"/>
                <w:b w:val="0"/>
                <w:bCs/>
                <w:sz w:val="18"/>
                <w:szCs w:val="18"/>
              </w:rPr>
              <w:t>:</w:t>
            </w:r>
          </w:p>
          <w:p w14:paraId="4B9C4A6A" w14:textId="77777777" w:rsidR="00F52D2E" w:rsidRDefault="00F52D2E" w:rsidP="00E40DE3">
            <w:pPr>
              <w:pStyle w:val="ListParagraph"/>
              <w:numPr>
                <w:ilvl w:val="0"/>
                <w:numId w:val="18"/>
              </w:numPr>
              <w:spacing w:before="40" w:after="40" w:line="240" w:lineRule="auto"/>
              <w:jc w:val="both"/>
              <w:rPr>
                <w:rFonts w:ascii="Arial Narrow" w:hAnsi="Arial Narrow" w:cs="Times New Roman"/>
                <w:b w:val="0"/>
                <w:bCs/>
                <w:sz w:val="18"/>
                <w:szCs w:val="18"/>
              </w:rPr>
            </w:pPr>
            <w:r w:rsidRPr="00F52D2E">
              <w:rPr>
                <w:rFonts w:ascii="Arial Narrow" w:hAnsi="Arial Narrow" w:cs="Times New Roman"/>
                <w:b w:val="0"/>
                <w:bCs/>
                <w:sz w:val="18"/>
                <w:szCs w:val="18"/>
              </w:rPr>
              <w:t>Staff: base salaries, social taxes, insurance and other staff costs</w:t>
            </w:r>
          </w:p>
          <w:p w14:paraId="36C8564C" w14:textId="72F567CE" w:rsidR="00F52D2E" w:rsidRPr="00F52D2E" w:rsidRDefault="00F52D2E" w:rsidP="00E40DE3">
            <w:pPr>
              <w:pStyle w:val="ListParagraph"/>
              <w:numPr>
                <w:ilvl w:val="0"/>
                <w:numId w:val="18"/>
              </w:numPr>
              <w:spacing w:before="40" w:after="40" w:line="240" w:lineRule="auto"/>
              <w:jc w:val="both"/>
              <w:rPr>
                <w:rFonts w:ascii="Arial Narrow" w:hAnsi="Arial Narrow" w:cs="Times New Roman"/>
                <w:b w:val="0"/>
                <w:bCs/>
                <w:sz w:val="18"/>
                <w:szCs w:val="18"/>
              </w:rPr>
            </w:pPr>
            <w:r w:rsidRPr="00F52D2E">
              <w:rPr>
                <w:rFonts w:ascii="Arial Narrow" w:hAnsi="Arial Narrow" w:cs="Times New Roman"/>
                <w:b w:val="0"/>
                <w:bCs/>
                <w:sz w:val="18"/>
                <w:szCs w:val="18"/>
              </w:rPr>
              <w:t>Project monitoring and operating costs: office operating costs, vehicles, audit and travel costs</w:t>
            </w:r>
          </w:p>
        </w:tc>
        <w:tc>
          <w:tcPr>
            <w:tcW w:w="344" w:type="dxa"/>
            <w:shd w:val="clear" w:color="auto" w:fill="D9D9D9" w:themeFill="background1" w:themeFillShade="D9"/>
            <w:tcMar>
              <w:left w:w="28" w:type="dxa"/>
              <w:right w:w="28" w:type="dxa"/>
            </w:tcMar>
            <w:vAlign w:val="center"/>
          </w:tcPr>
          <w:p w14:paraId="3EA380FE"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219872E2"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707BFD13"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FA8ABD9"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64D59E0A"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721CC949"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5562E5B0"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4E1267A1"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331E6B66"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310AEEB7"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c>
          <w:tcPr>
            <w:tcW w:w="413" w:type="dxa"/>
            <w:shd w:val="clear" w:color="auto" w:fill="D9D9D9" w:themeFill="background1" w:themeFillShade="D9"/>
            <w:tcMar>
              <w:left w:w="28" w:type="dxa"/>
              <w:right w:w="28" w:type="dxa"/>
            </w:tcMar>
            <w:vAlign w:val="center"/>
          </w:tcPr>
          <w:p w14:paraId="0B74A0F9"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c>
          <w:tcPr>
            <w:tcW w:w="414" w:type="dxa"/>
            <w:shd w:val="clear" w:color="auto" w:fill="D9D9D9" w:themeFill="background1" w:themeFillShade="D9"/>
            <w:tcMar>
              <w:left w:w="28" w:type="dxa"/>
              <w:right w:w="28" w:type="dxa"/>
            </w:tcMar>
            <w:vAlign w:val="center"/>
          </w:tcPr>
          <w:p w14:paraId="145036AB" w14:textId="77777777" w:rsidR="00F52D2E" w:rsidRPr="00263536" w:rsidRDefault="00F52D2E" w:rsidP="009413DD">
            <w:pPr>
              <w:spacing w:before="40" w:after="40" w:line="240" w:lineRule="auto"/>
              <w:jc w:val="center"/>
              <w:rPr>
                <w:rFonts w:ascii="Arial Narrow" w:hAnsi="Arial Narrow" w:cs="Times New Roman"/>
                <w:b w:val="0"/>
                <w:bCs/>
                <w:sz w:val="18"/>
                <w:szCs w:val="18"/>
              </w:rPr>
            </w:pPr>
          </w:p>
        </w:tc>
      </w:tr>
    </w:tbl>
    <w:p w14:paraId="09673062" w14:textId="502AC0E4" w:rsidR="00975364" w:rsidRDefault="00975364" w:rsidP="00AC6036">
      <w:pPr>
        <w:rPr>
          <w:rFonts w:ascii="Times New Roman" w:hAnsi="Times New Roman" w:cs="Times New Roman"/>
        </w:rPr>
      </w:pPr>
    </w:p>
    <w:p w14:paraId="19ED532A" w14:textId="6470F0CE" w:rsidR="00AC6036" w:rsidRDefault="00956DCA" w:rsidP="008A6FF4">
      <w:pPr>
        <w:jc w:val="center"/>
        <w:rPr>
          <w:rFonts w:ascii="Arial" w:hAnsi="Arial"/>
          <w:b w:val="0"/>
          <w:color w:val="FF0000"/>
          <w:sz w:val="20"/>
          <w:szCs w:val="20"/>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w:t>
      </w:r>
    </w:p>
    <w:p w14:paraId="79F0E9C9" w14:textId="77777777" w:rsidR="00AC6036" w:rsidRDefault="00AC6036" w:rsidP="00AC6036">
      <w:pPr>
        <w:spacing w:after="120" w:line="240" w:lineRule="auto"/>
        <w:rPr>
          <w:rFonts w:ascii="Arial" w:hAnsi="Arial"/>
          <w:b w:val="0"/>
          <w:color w:val="FF0000"/>
          <w:sz w:val="20"/>
          <w:szCs w:val="20"/>
        </w:rPr>
        <w:sectPr w:rsidR="00AC6036" w:rsidSect="00AC6036">
          <w:pgSz w:w="16838" w:h="11906" w:orient="landscape" w:code="9"/>
          <w:pgMar w:top="1134" w:right="1418" w:bottom="1134" w:left="1418" w:header="709" w:footer="692" w:gutter="0"/>
          <w:cols w:space="708"/>
          <w:docGrid w:linePitch="360"/>
        </w:sectPr>
      </w:pPr>
    </w:p>
    <w:p w14:paraId="449F2998" w14:textId="22964565" w:rsidR="00AC6036" w:rsidRDefault="00AC6036" w:rsidP="00AC6036">
      <w:pPr>
        <w:spacing w:after="120" w:line="240" w:lineRule="auto"/>
        <w:rPr>
          <w:rFonts w:ascii="Arial" w:hAnsi="Arial"/>
          <w:b w:val="0"/>
          <w:color w:val="FF0000"/>
          <w:sz w:val="20"/>
          <w:szCs w:val="20"/>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898"/>
      </w:tblGrid>
      <w:tr w:rsidR="006B114C" w:rsidRPr="00C53B9C" w14:paraId="53563F10" w14:textId="77777777" w:rsidTr="00833796">
        <w:trPr>
          <w:trHeight w:val="409"/>
          <w:jc w:val="center"/>
        </w:trPr>
        <w:tc>
          <w:tcPr>
            <w:tcW w:w="8898" w:type="dxa"/>
            <w:shd w:val="clear" w:color="auto" w:fill="1F497D"/>
            <w:vAlign w:val="center"/>
          </w:tcPr>
          <w:p w14:paraId="53563F0F" w14:textId="3AB64653" w:rsidR="006B114C" w:rsidRPr="00C53B9C" w:rsidRDefault="006B114C" w:rsidP="00F55A38">
            <w:pPr>
              <w:spacing w:after="0" w:line="240" w:lineRule="auto"/>
              <w:rPr>
                <w:rFonts w:ascii="Arial" w:hAnsi="Arial"/>
                <w:bCs/>
                <w:color w:val="FFFFFF" w:themeColor="background1"/>
                <w:sz w:val="20"/>
                <w:szCs w:val="20"/>
              </w:rPr>
            </w:pPr>
            <w:r w:rsidRPr="00C53B9C">
              <w:rPr>
                <w:rFonts w:ascii="Arial" w:eastAsia="SimSun" w:hAnsi="Arial"/>
                <w:color w:val="FFFFFF" w:themeColor="background1"/>
                <w:sz w:val="20"/>
                <w:szCs w:val="20"/>
                <w:lang w:eastAsia="zh-CN"/>
              </w:rPr>
              <w:t xml:space="preserve">SECTION </w:t>
            </w:r>
            <w:r w:rsidR="00F55A38" w:rsidRPr="00C53B9C">
              <w:rPr>
                <w:rFonts w:ascii="Arial" w:eastAsia="SimSun" w:hAnsi="Arial"/>
                <w:color w:val="FFFFFF" w:themeColor="background1"/>
                <w:sz w:val="20"/>
                <w:szCs w:val="20"/>
                <w:lang w:eastAsia="zh-CN"/>
              </w:rPr>
              <w:t>3</w:t>
            </w:r>
            <w:r w:rsidRPr="00C53B9C">
              <w:rPr>
                <w:rFonts w:ascii="Arial" w:eastAsia="SimSun" w:hAnsi="Arial"/>
                <w:color w:val="FFFFFF" w:themeColor="background1"/>
                <w:sz w:val="20"/>
                <w:szCs w:val="20"/>
                <w:lang w:eastAsia="zh-CN"/>
              </w:rPr>
              <w:t xml:space="preserve">: </w:t>
            </w:r>
            <w:r w:rsidR="00C7583B" w:rsidRPr="00C53B9C">
              <w:rPr>
                <w:rFonts w:ascii="Arial" w:eastAsia="SimSun" w:hAnsi="Arial"/>
                <w:color w:val="FFFFFF" w:themeColor="background1"/>
                <w:sz w:val="20"/>
                <w:szCs w:val="20"/>
                <w:lang w:eastAsia="zh-CN"/>
              </w:rPr>
              <w:t>OPERATIONALIZATION AND RISK MITIGATION</w:t>
            </w:r>
          </w:p>
        </w:tc>
      </w:tr>
      <w:tr w:rsidR="006B114C" w:rsidRPr="00C53B9C" w14:paraId="53563F12" w14:textId="77777777" w:rsidTr="00833796">
        <w:trPr>
          <w:trHeight w:val="1089"/>
          <w:jc w:val="center"/>
        </w:trPr>
        <w:tc>
          <w:tcPr>
            <w:tcW w:w="8898" w:type="dxa"/>
            <w:shd w:val="clear" w:color="auto" w:fill="F2F2F2" w:themeFill="background1" w:themeFillShade="F2"/>
            <w:vAlign w:val="center"/>
          </w:tcPr>
          <w:p w14:paraId="6B8CBAB4" w14:textId="3D23801F" w:rsidR="00C7583B" w:rsidRPr="00C53B9C" w:rsidRDefault="009A1AC0" w:rsidP="00833796">
            <w:pPr>
              <w:keepNext/>
              <w:keepLines/>
              <w:spacing w:before="120" w:after="120" w:line="240" w:lineRule="auto"/>
              <w:jc w:val="both"/>
              <w:rPr>
                <w:rFonts w:ascii="Arial" w:hAnsi="Arial"/>
                <w:b w:val="0"/>
                <w:bCs/>
                <w:iCs/>
                <w:sz w:val="20"/>
                <w:szCs w:val="20"/>
              </w:rPr>
            </w:pPr>
            <w:r w:rsidRPr="00C53B9C">
              <w:rPr>
                <w:rFonts w:ascii="Arial" w:hAnsi="Arial"/>
                <w:b w:val="0"/>
                <w:bCs/>
                <w:iCs/>
                <w:sz w:val="20"/>
                <w:szCs w:val="20"/>
              </w:rPr>
              <w:t xml:space="preserve">This section describes the </w:t>
            </w:r>
            <w:r w:rsidR="001A43EA" w:rsidRPr="00C53B9C">
              <w:rPr>
                <w:rFonts w:ascii="Arial" w:hAnsi="Arial"/>
                <w:b w:val="0"/>
                <w:bCs/>
                <w:iCs/>
                <w:sz w:val="20"/>
                <w:szCs w:val="20"/>
              </w:rPr>
              <w:t xml:space="preserve">planned </w:t>
            </w:r>
            <w:r w:rsidRPr="00C53B9C">
              <w:rPr>
                <w:rFonts w:ascii="Arial" w:hAnsi="Arial"/>
                <w:b w:val="0"/>
                <w:bCs/>
                <w:iCs/>
                <w:sz w:val="20"/>
                <w:szCs w:val="20"/>
              </w:rPr>
              <w:t>implementation arrangements and foreseen risks for the proposed program(s).</w:t>
            </w:r>
          </w:p>
          <w:p w14:paraId="53563F11" w14:textId="048C210D" w:rsidR="001A43EA" w:rsidRPr="00C53B9C" w:rsidRDefault="001A43EA" w:rsidP="00833796">
            <w:pPr>
              <w:keepNext/>
              <w:keepLines/>
              <w:spacing w:before="120" w:after="120" w:line="240" w:lineRule="auto"/>
              <w:jc w:val="both"/>
              <w:rPr>
                <w:rFonts w:ascii="Arial" w:hAnsi="Arial"/>
                <w:b w:val="0"/>
                <w:bCs/>
                <w:iCs/>
                <w:sz w:val="20"/>
                <w:szCs w:val="20"/>
              </w:rPr>
            </w:pPr>
            <w:r w:rsidRPr="00C53B9C">
              <w:rPr>
                <w:rFonts w:ascii="Arial" w:hAnsi="Arial"/>
                <w:b w:val="0"/>
                <w:bCs/>
                <w:iCs/>
                <w:sz w:val="20"/>
                <w:szCs w:val="20"/>
              </w:rPr>
              <w:t xml:space="preserve">To respond, refer to additional guidance provided in the </w:t>
            </w:r>
            <w:r w:rsidRPr="00C53B9C">
              <w:rPr>
                <w:rFonts w:ascii="Arial" w:hAnsi="Arial"/>
                <w:b w:val="0"/>
                <w:bCs/>
                <w:i/>
                <w:iCs/>
                <w:sz w:val="20"/>
                <w:szCs w:val="20"/>
              </w:rPr>
              <w:t>Instructions</w:t>
            </w:r>
            <w:r w:rsidR="000D4A2D" w:rsidRPr="00C53B9C">
              <w:rPr>
                <w:rFonts w:ascii="Arial" w:hAnsi="Arial"/>
                <w:b w:val="0"/>
                <w:bCs/>
                <w:iCs/>
                <w:sz w:val="20"/>
                <w:szCs w:val="20"/>
              </w:rPr>
              <w:t>.</w:t>
            </w:r>
          </w:p>
        </w:tc>
      </w:tr>
    </w:tbl>
    <w:p w14:paraId="53563F13" w14:textId="77777777" w:rsidR="00BF6111" w:rsidRPr="00C53B9C" w:rsidRDefault="00BF6111" w:rsidP="00DD58E9">
      <w:pPr>
        <w:spacing w:after="0"/>
        <w:rPr>
          <w:rFonts w:ascii="Arial" w:hAnsi="Arial"/>
          <w:sz w:val="20"/>
          <w:szCs w:val="20"/>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75"/>
        <w:gridCol w:w="1957"/>
      </w:tblGrid>
      <w:tr w:rsidR="00C7583B" w:rsidRPr="00C53B9C" w14:paraId="7E7BCFD2" w14:textId="77777777" w:rsidTr="008D124F">
        <w:trPr>
          <w:trHeight w:val="274"/>
          <w:jc w:val="center"/>
        </w:trPr>
        <w:tc>
          <w:tcPr>
            <w:tcW w:w="8932" w:type="dxa"/>
            <w:gridSpan w:val="2"/>
            <w:shd w:val="clear" w:color="auto" w:fill="C6D9F1" w:themeFill="text2" w:themeFillTint="33"/>
          </w:tcPr>
          <w:p w14:paraId="0A0860F2" w14:textId="0F178700" w:rsidR="00C7583B" w:rsidRPr="00C53B9C" w:rsidRDefault="00C7583B" w:rsidP="00C312DD">
            <w:pPr>
              <w:spacing w:before="120" w:after="120" w:line="240" w:lineRule="auto"/>
              <w:jc w:val="both"/>
              <w:rPr>
                <w:rFonts w:ascii="Arial" w:hAnsi="Arial"/>
                <w:bCs/>
                <w:sz w:val="20"/>
                <w:szCs w:val="20"/>
              </w:rPr>
            </w:pPr>
            <w:r w:rsidRPr="00C53B9C">
              <w:rPr>
                <w:rFonts w:ascii="Arial" w:hAnsi="Arial"/>
                <w:bCs/>
                <w:sz w:val="20"/>
                <w:szCs w:val="20"/>
              </w:rPr>
              <w:t xml:space="preserve">3.1 </w:t>
            </w:r>
            <w:r w:rsidRPr="00C53B9C">
              <w:rPr>
                <w:rFonts w:ascii="Arial" w:hAnsi="Arial"/>
                <w:bCs/>
                <w:sz w:val="20"/>
                <w:szCs w:val="20"/>
              </w:rPr>
              <w:tab/>
              <w:t>Implementation arrangements summary</w:t>
            </w:r>
          </w:p>
        </w:tc>
      </w:tr>
      <w:tr w:rsidR="00C7583B" w:rsidRPr="00C53B9C" w14:paraId="7931CC04" w14:textId="77777777" w:rsidTr="0077022B">
        <w:trPr>
          <w:trHeight w:val="688"/>
          <w:jc w:val="center"/>
        </w:trPr>
        <w:tc>
          <w:tcPr>
            <w:tcW w:w="6975" w:type="dxa"/>
            <w:shd w:val="clear" w:color="auto" w:fill="F2F2F2" w:themeFill="background1" w:themeFillShade="F2"/>
          </w:tcPr>
          <w:p w14:paraId="6EE0960F" w14:textId="34C06E55" w:rsidR="00C7583B" w:rsidRPr="00C53B9C" w:rsidRDefault="00C7583B" w:rsidP="00793E94">
            <w:pPr>
              <w:spacing w:before="120" w:after="120" w:line="240" w:lineRule="auto"/>
              <w:jc w:val="both"/>
              <w:rPr>
                <w:rFonts w:ascii="Arial" w:hAnsi="Arial"/>
                <w:b w:val="0"/>
                <w:bCs/>
                <w:sz w:val="20"/>
                <w:szCs w:val="20"/>
              </w:rPr>
            </w:pPr>
            <w:r w:rsidRPr="00C53B9C">
              <w:rPr>
                <w:rFonts w:ascii="Arial" w:hAnsi="Arial"/>
                <w:b w:val="0"/>
                <w:bCs/>
                <w:sz w:val="20"/>
                <w:szCs w:val="20"/>
              </w:rPr>
              <w:t>Do you propose major changes from past implementation arrange</w:t>
            </w:r>
            <w:r w:rsidR="00114136" w:rsidRPr="00C53B9C">
              <w:rPr>
                <w:rFonts w:ascii="Arial" w:hAnsi="Arial"/>
                <w:b w:val="0"/>
                <w:bCs/>
                <w:sz w:val="20"/>
                <w:szCs w:val="20"/>
              </w:rPr>
              <w:t>ments, e.g. in key implementers or</w:t>
            </w:r>
            <w:r w:rsidRPr="00C53B9C">
              <w:rPr>
                <w:rFonts w:ascii="Arial" w:hAnsi="Arial"/>
                <w:b w:val="0"/>
                <w:bCs/>
                <w:sz w:val="20"/>
                <w:szCs w:val="20"/>
              </w:rPr>
              <w:t xml:space="preserve"> flow of funds or commodities?</w:t>
            </w:r>
          </w:p>
        </w:tc>
        <w:tc>
          <w:tcPr>
            <w:tcW w:w="1957" w:type="dxa"/>
            <w:shd w:val="clear" w:color="auto" w:fill="FFFFFF" w:themeFill="background1"/>
            <w:vAlign w:val="center"/>
          </w:tcPr>
          <w:p w14:paraId="38E9B782" w14:textId="7DB05E45" w:rsidR="00C7583B" w:rsidRPr="00C53B9C" w:rsidRDefault="00D26022" w:rsidP="00886DF9">
            <w:pPr>
              <w:spacing w:after="0" w:line="240" w:lineRule="auto"/>
              <w:rPr>
                <w:rFonts w:ascii="Arial" w:hAnsi="Arial"/>
                <w:bCs/>
                <w:sz w:val="20"/>
                <w:szCs w:val="20"/>
              </w:rPr>
            </w:pPr>
            <w:sdt>
              <w:sdtPr>
                <w:rPr>
                  <w:rFonts w:ascii="Arial" w:hAnsi="Arial"/>
                  <w:bCs/>
                  <w:iCs/>
                  <w:sz w:val="20"/>
                  <w:szCs w:val="20"/>
                </w:rPr>
                <w:id w:val="-2008894418"/>
                <w14:checkbox>
                  <w14:checked w14:val="1"/>
                  <w14:checkedState w14:val="2612" w14:font="MS Gothic"/>
                  <w14:uncheckedState w14:val="2610" w14:font="MS Gothic"/>
                </w14:checkbox>
              </w:sdtPr>
              <w:sdtEndPr/>
              <w:sdtContent>
                <w:r w:rsidR="00AC6874" w:rsidRPr="00C53B9C">
                  <w:rPr>
                    <w:rFonts w:ascii="MS Gothic" w:eastAsia="MS Gothic" w:hAnsi="MS Gothic"/>
                    <w:bCs/>
                    <w:iCs/>
                    <w:sz w:val="20"/>
                    <w:szCs w:val="20"/>
                  </w:rPr>
                  <w:t>☒</w:t>
                </w:r>
              </w:sdtContent>
            </w:sdt>
            <w:r w:rsidR="00793E94" w:rsidRPr="00C53B9C">
              <w:rPr>
                <w:rFonts w:ascii="Arial" w:hAnsi="Arial"/>
                <w:bCs/>
                <w:iCs/>
                <w:sz w:val="20"/>
                <w:szCs w:val="20"/>
              </w:rPr>
              <w:t xml:space="preserve"> </w:t>
            </w:r>
            <w:r w:rsidR="00C7583B" w:rsidRPr="00C53B9C">
              <w:rPr>
                <w:rFonts w:ascii="Arial" w:hAnsi="Arial"/>
                <w:bCs/>
                <w:iCs/>
                <w:sz w:val="20"/>
                <w:szCs w:val="20"/>
              </w:rPr>
              <w:t>Yes</w:t>
            </w:r>
            <w:r w:rsidR="00C7583B" w:rsidRPr="00C53B9C">
              <w:rPr>
                <w:rFonts w:ascii="Arial" w:hAnsi="Arial"/>
                <w:b w:val="0"/>
                <w:bCs/>
                <w:iCs/>
                <w:sz w:val="20"/>
                <w:szCs w:val="20"/>
              </w:rPr>
              <w:t xml:space="preserve">       </w:t>
            </w:r>
            <w:sdt>
              <w:sdtPr>
                <w:rPr>
                  <w:rFonts w:ascii="Arial" w:hAnsi="Arial"/>
                  <w:b w:val="0"/>
                  <w:bCs/>
                  <w:iCs/>
                  <w:sz w:val="20"/>
                  <w:szCs w:val="20"/>
                </w:rPr>
                <w:id w:val="-1284489466"/>
                <w14:checkbox>
                  <w14:checked w14:val="0"/>
                  <w14:checkedState w14:val="2612" w14:font="MS Gothic"/>
                  <w14:uncheckedState w14:val="2610" w14:font="MS Gothic"/>
                </w14:checkbox>
              </w:sdtPr>
              <w:sdtEndPr/>
              <w:sdtContent>
                <w:r w:rsidR="007E2D4E" w:rsidRPr="00C53B9C">
                  <w:rPr>
                    <w:rFonts w:ascii="Segoe UI Symbol" w:eastAsia="MS Gothic" w:hAnsi="Segoe UI Symbol" w:cs="Segoe UI Symbol"/>
                    <w:b w:val="0"/>
                    <w:bCs/>
                    <w:iCs/>
                    <w:sz w:val="20"/>
                    <w:szCs w:val="20"/>
                  </w:rPr>
                  <w:t>☐</w:t>
                </w:r>
              </w:sdtContent>
            </w:sdt>
            <w:r w:rsidR="00C7583B" w:rsidRPr="00C53B9C">
              <w:rPr>
                <w:rFonts w:ascii="Arial" w:hAnsi="Arial"/>
                <w:b w:val="0"/>
                <w:bCs/>
                <w:iCs/>
                <w:sz w:val="20"/>
                <w:szCs w:val="20"/>
              </w:rPr>
              <w:t xml:space="preserve"> No</w:t>
            </w:r>
          </w:p>
        </w:tc>
      </w:tr>
      <w:tr w:rsidR="00C7583B" w:rsidRPr="00C53B9C" w14:paraId="13622121" w14:textId="77777777" w:rsidTr="0077022B">
        <w:trPr>
          <w:trHeight w:val="2101"/>
          <w:jc w:val="center"/>
        </w:trPr>
        <w:tc>
          <w:tcPr>
            <w:tcW w:w="8932" w:type="dxa"/>
            <w:gridSpan w:val="2"/>
            <w:shd w:val="clear" w:color="auto" w:fill="F2F2F2" w:themeFill="background1" w:themeFillShade="F2"/>
            <w:vAlign w:val="center"/>
          </w:tcPr>
          <w:p w14:paraId="16C26E7F" w14:textId="77777777" w:rsidR="00793E94" w:rsidRPr="00C53B9C" w:rsidRDefault="000A57BC" w:rsidP="0077022B">
            <w:pPr>
              <w:spacing w:before="120" w:after="120" w:line="240" w:lineRule="auto"/>
              <w:jc w:val="both"/>
              <w:rPr>
                <w:rFonts w:ascii="Arial" w:hAnsi="Arial"/>
                <w:b w:val="0"/>
                <w:sz w:val="20"/>
                <w:szCs w:val="20"/>
              </w:rPr>
            </w:pPr>
            <w:r w:rsidRPr="00C53B9C">
              <w:rPr>
                <w:rFonts w:ascii="Arial" w:hAnsi="Arial"/>
                <w:sz w:val="20"/>
                <w:szCs w:val="20"/>
              </w:rPr>
              <w:t>If yes</w:t>
            </w:r>
            <w:r w:rsidR="00C7583B" w:rsidRPr="00C53B9C">
              <w:rPr>
                <w:rFonts w:ascii="Arial" w:hAnsi="Arial"/>
                <w:b w:val="0"/>
                <w:sz w:val="20"/>
                <w:szCs w:val="20"/>
              </w:rPr>
              <w:t xml:space="preserve">, </w:t>
            </w:r>
          </w:p>
          <w:p w14:paraId="7B285112" w14:textId="78DAB5AC" w:rsidR="00793E94" w:rsidRPr="00C53B9C" w:rsidRDefault="00603916" w:rsidP="0077022B">
            <w:pPr>
              <w:pStyle w:val="ListParagraph"/>
              <w:numPr>
                <w:ilvl w:val="0"/>
                <w:numId w:val="5"/>
              </w:numPr>
              <w:spacing w:before="120" w:after="120" w:line="240" w:lineRule="auto"/>
              <w:jc w:val="both"/>
              <w:rPr>
                <w:rFonts w:ascii="Arial" w:hAnsi="Arial"/>
                <w:b w:val="0"/>
                <w:sz w:val="20"/>
                <w:szCs w:val="20"/>
              </w:rPr>
            </w:pPr>
            <w:r w:rsidRPr="00C53B9C">
              <w:rPr>
                <w:rFonts w:ascii="Arial" w:hAnsi="Arial"/>
                <w:b w:val="0"/>
                <w:sz w:val="20"/>
                <w:szCs w:val="20"/>
              </w:rPr>
              <w:t>O</w:t>
            </w:r>
            <w:r w:rsidR="000A57BC" w:rsidRPr="00C53B9C">
              <w:rPr>
                <w:rFonts w:ascii="Arial" w:hAnsi="Arial"/>
                <w:b w:val="0"/>
                <w:sz w:val="20"/>
                <w:szCs w:val="20"/>
              </w:rPr>
              <w:t xml:space="preserve">utline </w:t>
            </w:r>
            <w:r w:rsidRPr="00C53B9C">
              <w:rPr>
                <w:rFonts w:ascii="Arial" w:hAnsi="Arial"/>
                <w:b w:val="0"/>
                <w:sz w:val="20"/>
                <w:szCs w:val="20"/>
              </w:rPr>
              <w:t xml:space="preserve">the reasons and the </w:t>
            </w:r>
            <w:r w:rsidR="000A57BC" w:rsidRPr="00C53B9C">
              <w:rPr>
                <w:rFonts w:ascii="Arial" w:hAnsi="Arial"/>
                <w:b w:val="0"/>
                <w:sz w:val="20"/>
                <w:szCs w:val="20"/>
              </w:rPr>
              <w:t>key changes from past implementation arrangements to give an understanding of grant operationalization</w:t>
            </w:r>
            <w:r w:rsidRPr="00C53B9C">
              <w:rPr>
                <w:rFonts w:ascii="Arial" w:hAnsi="Arial"/>
                <w:b w:val="0"/>
                <w:sz w:val="20"/>
                <w:szCs w:val="20"/>
              </w:rPr>
              <w:t xml:space="preserve">. You can provide an </w:t>
            </w:r>
            <w:r w:rsidR="003967BB" w:rsidRPr="00C53B9C">
              <w:rPr>
                <w:rFonts w:ascii="Arial" w:hAnsi="Arial"/>
                <w:b w:val="0"/>
                <w:sz w:val="20"/>
                <w:szCs w:val="20"/>
              </w:rPr>
              <w:t>update</w:t>
            </w:r>
            <w:r w:rsidRPr="00C53B9C">
              <w:rPr>
                <w:rFonts w:ascii="Arial" w:hAnsi="Arial"/>
                <w:b w:val="0"/>
                <w:sz w:val="20"/>
                <w:szCs w:val="20"/>
              </w:rPr>
              <w:t>d</w:t>
            </w:r>
            <w:r w:rsidR="003967BB" w:rsidRPr="00C53B9C">
              <w:rPr>
                <w:rFonts w:ascii="Arial" w:hAnsi="Arial"/>
                <w:b w:val="0"/>
                <w:sz w:val="20"/>
                <w:szCs w:val="20"/>
              </w:rPr>
              <w:t xml:space="preserve"> </w:t>
            </w:r>
            <w:r w:rsidR="003967BB" w:rsidRPr="00C53B9C">
              <w:rPr>
                <w:rFonts w:ascii="Arial" w:hAnsi="Arial"/>
                <w:sz w:val="20"/>
                <w:szCs w:val="20"/>
              </w:rPr>
              <w:t xml:space="preserve">Implementation Arrangements </w:t>
            </w:r>
            <w:r w:rsidR="00793E94" w:rsidRPr="00C53B9C">
              <w:rPr>
                <w:rFonts w:ascii="Arial" w:hAnsi="Arial"/>
                <w:sz w:val="20"/>
                <w:szCs w:val="20"/>
              </w:rPr>
              <w:t>Map</w:t>
            </w:r>
            <w:r w:rsidR="00793E94" w:rsidRPr="00C53B9C">
              <w:rPr>
                <w:rFonts w:ascii="Arial" w:hAnsi="Arial"/>
                <w:b w:val="0"/>
                <w:sz w:val="20"/>
                <w:szCs w:val="20"/>
              </w:rPr>
              <w:t>;</w:t>
            </w:r>
            <w:r w:rsidR="00C7583B" w:rsidRPr="00C53B9C">
              <w:rPr>
                <w:rFonts w:ascii="Arial" w:hAnsi="Arial"/>
                <w:b w:val="0"/>
                <w:sz w:val="20"/>
                <w:szCs w:val="20"/>
              </w:rPr>
              <w:t xml:space="preserve"> </w:t>
            </w:r>
          </w:p>
          <w:p w14:paraId="70089230" w14:textId="79788E21" w:rsidR="00793E94" w:rsidRPr="00C53B9C" w:rsidRDefault="00603916" w:rsidP="0077022B">
            <w:pPr>
              <w:pStyle w:val="ListParagraph"/>
              <w:numPr>
                <w:ilvl w:val="0"/>
                <w:numId w:val="5"/>
              </w:numPr>
              <w:spacing w:before="120" w:after="120" w:line="240" w:lineRule="auto"/>
              <w:jc w:val="both"/>
              <w:rPr>
                <w:rFonts w:ascii="Arial" w:hAnsi="Arial"/>
                <w:b w:val="0"/>
                <w:sz w:val="20"/>
                <w:szCs w:val="20"/>
              </w:rPr>
            </w:pPr>
            <w:r w:rsidRPr="00C53B9C">
              <w:rPr>
                <w:rFonts w:ascii="Arial" w:hAnsi="Arial"/>
                <w:b w:val="0"/>
                <w:sz w:val="20"/>
                <w:szCs w:val="20"/>
              </w:rPr>
              <w:t>D</w:t>
            </w:r>
            <w:r w:rsidR="00872AE4" w:rsidRPr="00C53B9C">
              <w:rPr>
                <w:rFonts w:ascii="Arial" w:hAnsi="Arial"/>
                <w:b w:val="0"/>
                <w:sz w:val="20"/>
                <w:szCs w:val="20"/>
              </w:rPr>
              <w:t>etail how representatives of women's organizations, key populations and people living with the disease(s) as applicable will actively participate in the implementation of this funding request</w:t>
            </w:r>
            <w:r w:rsidR="00793E94" w:rsidRPr="00C53B9C">
              <w:rPr>
                <w:rFonts w:ascii="Arial" w:hAnsi="Arial"/>
                <w:b w:val="0"/>
                <w:sz w:val="20"/>
                <w:szCs w:val="20"/>
              </w:rPr>
              <w:t>;</w:t>
            </w:r>
            <w:r w:rsidR="00872AE4" w:rsidRPr="00C53B9C">
              <w:rPr>
                <w:rFonts w:ascii="Arial" w:hAnsi="Arial"/>
                <w:b w:val="0"/>
                <w:sz w:val="20"/>
                <w:szCs w:val="20"/>
              </w:rPr>
              <w:t xml:space="preserve"> </w:t>
            </w:r>
          </w:p>
          <w:p w14:paraId="066CB4D6" w14:textId="4E29E26F" w:rsidR="001A068C" w:rsidRPr="00C53B9C" w:rsidRDefault="00603916" w:rsidP="0077022B">
            <w:pPr>
              <w:pStyle w:val="ListParagraph"/>
              <w:numPr>
                <w:ilvl w:val="0"/>
                <w:numId w:val="5"/>
              </w:numPr>
              <w:spacing w:before="120" w:after="120" w:line="240" w:lineRule="auto"/>
              <w:jc w:val="both"/>
              <w:rPr>
                <w:rFonts w:ascii="Arial" w:hAnsi="Arial"/>
                <w:b w:val="0"/>
                <w:sz w:val="20"/>
                <w:szCs w:val="20"/>
              </w:rPr>
            </w:pPr>
            <w:r w:rsidRPr="00C53B9C">
              <w:rPr>
                <w:rFonts w:ascii="Arial" w:hAnsi="Arial"/>
                <w:b w:val="0"/>
                <w:sz w:val="20"/>
                <w:szCs w:val="20"/>
              </w:rPr>
              <w:t>I</w:t>
            </w:r>
            <w:r w:rsidR="00872AE4" w:rsidRPr="00C53B9C">
              <w:rPr>
                <w:rFonts w:ascii="Arial" w:hAnsi="Arial"/>
                <w:b w:val="0"/>
                <w:sz w:val="20"/>
                <w:szCs w:val="20"/>
              </w:rPr>
              <w:t>nclude a description of procurement mechanisms for the grant(s).</w:t>
            </w:r>
          </w:p>
        </w:tc>
      </w:tr>
    </w:tbl>
    <w:p w14:paraId="4FE515E0" w14:textId="77777777" w:rsidR="0077022B" w:rsidRPr="00C53B9C" w:rsidRDefault="0077022B" w:rsidP="00423E3E">
      <w:pPr>
        <w:spacing w:after="120" w:line="240" w:lineRule="auto"/>
        <w:jc w:val="both"/>
        <w:rPr>
          <w:rFonts w:ascii="Arial" w:hAnsi="Arial"/>
          <w:b w:val="0"/>
          <w:color w:val="FF0000"/>
          <w:sz w:val="8"/>
          <w:szCs w:val="8"/>
        </w:rPr>
      </w:pPr>
    </w:p>
    <w:p w14:paraId="02717CCE" w14:textId="7BBBD9E1" w:rsidR="00927B8A" w:rsidRPr="00C53B9C" w:rsidRDefault="00927B8A" w:rsidP="00423E3E">
      <w:pPr>
        <w:spacing w:after="120" w:line="240" w:lineRule="auto"/>
        <w:jc w:val="both"/>
        <w:rPr>
          <w:rFonts w:ascii="Arial" w:hAnsi="Arial"/>
          <w:b w:val="0"/>
        </w:rPr>
      </w:pPr>
      <w:r w:rsidRPr="00C53B9C">
        <w:rPr>
          <w:rFonts w:ascii="Arial" w:hAnsi="Arial"/>
          <w:b w:val="0"/>
        </w:rPr>
        <w:t xml:space="preserve">The Country Coordination Mechanism (CCM) for HIV and TB oversees the overall implementation of TGF grants and ensures proper coordination between different sectors as well as different programs implemented by other external partners. The CCM will continue to monitor the grant progress to ensure that the activities </w:t>
      </w:r>
      <w:proofErr w:type="gramStart"/>
      <w:r w:rsidRPr="00C53B9C">
        <w:rPr>
          <w:rFonts w:ascii="Arial" w:hAnsi="Arial"/>
          <w:b w:val="0"/>
        </w:rPr>
        <w:t>are carried out</w:t>
      </w:r>
      <w:proofErr w:type="gramEnd"/>
      <w:r w:rsidRPr="00C53B9C">
        <w:rPr>
          <w:rFonts w:ascii="Arial" w:hAnsi="Arial"/>
          <w:b w:val="0"/>
        </w:rPr>
        <w:t xml:space="preserve"> according to the work plan and indicators of programmatic and financial performance are accomplished. It will make the key financial and programmatic decisions and will have the responsibility to address the main problems and challenges related to the grant. The CCM meetings </w:t>
      </w:r>
      <w:proofErr w:type="gramStart"/>
      <w:r w:rsidRPr="00C53B9C">
        <w:rPr>
          <w:rFonts w:ascii="Arial" w:hAnsi="Arial"/>
          <w:b w:val="0"/>
        </w:rPr>
        <w:t>will be convened</w:t>
      </w:r>
      <w:proofErr w:type="gramEnd"/>
      <w:r w:rsidRPr="00C53B9C">
        <w:rPr>
          <w:rFonts w:ascii="Arial" w:hAnsi="Arial"/>
          <w:b w:val="0"/>
        </w:rPr>
        <w:t xml:space="preserve"> quarterly or more frequently if necessary. The CCM and the Ministry of Health will carry out the role of coordination with other programs and development initiatives.</w:t>
      </w:r>
    </w:p>
    <w:p w14:paraId="7E674133" w14:textId="36E7630C" w:rsidR="00927B8A" w:rsidRPr="00C53B9C" w:rsidRDefault="00927B8A" w:rsidP="00423E3E">
      <w:pPr>
        <w:spacing w:after="120" w:line="240" w:lineRule="auto"/>
        <w:jc w:val="both"/>
        <w:rPr>
          <w:rFonts w:ascii="Arial" w:hAnsi="Arial"/>
          <w:b w:val="0"/>
        </w:rPr>
      </w:pPr>
      <w:r w:rsidRPr="00C53B9C">
        <w:rPr>
          <w:rFonts w:ascii="Arial" w:hAnsi="Arial"/>
          <w:b w:val="0"/>
        </w:rPr>
        <w:t xml:space="preserve">On 9 November 2018, the CCM endorsed the National Scientific Center of </w:t>
      </w:r>
      <w:proofErr w:type="spellStart"/>
      <w:r w:rsidRPr="00C53B9C">
        <w:rPr>
          <w:rFonts w:ascii="Arial" w:hAnsi="Arial"/>
          <w:b w:val="0"/>
        </w:rPr>
        <w:t>Phthisiopulmonology</w:t>
      </w:r>
      <w:proofErr w:type="spellEnd"/>
      <w:r w:rsidRPr="00C53B9C">
        <w:rPr>
          <w:rFonts w:ascii="Arial" w:hAnsi="Arial"/>
          <w:b w:val="0"/>
        </w:rPr>
        <w:t xml:space="preserve"> (NSCP) of the Ministry of Health of the Republic of Kazakhstan to continue with its current role as the Principal Recipient (PR) for the TB grant. The PR will apply procedures in accordance to TGF requirements and in compliance with the national legislation. The grant funds </w:t>
      </w:r>
      <w:proofErr w:type="gramStart"/>
      <w:r w:rsidRPr="00C53B9C">
        <w:rPr>
          <w:rFonts w:ascii="Arial" w:hAnsi="Arial"/>
          <w:b w:val="0"/>
        </w:rPr>
        <w:t>will be transferred</w:t>
      </w:r>
      <w:proofErr w:type="gramEnd"/>
      <w:r w:rsidRPr="00C53B9C">
        <w:rPr>
          <w:rFonts w:ascii="Arial" w:hAnsi="Arial"/>
          <w:b w:val="0"/>
        </w:rPr>
        <w:t xml:space="preserve"> to the special account of the PR. The PR will be responsible for all practical issues related to the grant implementation including oversight of sub-contractors. The PR will undertake the functions of procurement of goods and services, financial management, grant-related monitoring and reporting to TGF.</w:t>
      </w:r>
    </w:p>
    <w:p w14:paraId="5A3D4254" w14:textId="581AC6F3" w:rsidR="00927B8A" w:rsidRPr="00C53B9C" w:rsidRDefault="00927B8A" w:rsidP="00423E3E">
      <w:pPr>
        <w:spacing w:after="120" w:line="240" w:lineRule="auto"/>
        <w:jc w:val="both"/>
        <w:rPr>
          <w:rFonts w:ascii="Arial" w:hAnsi="Arial"/>
          <w:b w:val="0"/>
        </w:rPr>
      </w:pPr>
      <w:r w:rsidRPr="00C53B9C">
        <w:rPr>
          <w:rFonts w:ascii="Arial" w:hAnsi="Arial"/>
          <w:b w:val="0"/>
        </w:rPr>
        <w:t xml:space="preserve">The PR will develop the </w:t>
      </w:r>
      <w:proofErr w:type="spellStart"/>
      <w:r w:rsidRPr="00C53B9C">
        <w:rPr>
          <w:rFonts w:ascii="Arial" w:hAnsi="Arial"/>
          <w:b w:val="0"/>
        </w:rPr>
        <w:t>workplans</w:t>
      </w:r>
      <w:proofErr w:type="spellEnd"/>
      <w:r w:rsidRPr="00C53B9C">
        <w:rPr>
          <w:rFonts w:ascii="Arial" w:hAnsi="Arial"/>
          <w:b w:val="0"/>
        </w:rPr>
        <w:t xml:space="preserve"> for grant implementation and will present </w:t>
      </w:r>
      <w:r w:rsidR="00A77416" w:rsidRPr="00C53B9C">
        <w:rPr>
          <w:rFonts w:ascii="Arial" w:hAnsi="Arial"/>
          <w:b w:val="0"/>
        </w:rPr>
        <w:t xml:space="preserve">activity and financial progress </w:t>
      </w:r>
      <w:r w:rsidRPr="00C53B9C">
        <w:rPr>
          <w:rFonts w:ascii="Arial" w:hAnsi="Arial"/>
          <w:b w:val="0"/>
        </w:rPr>
        <w:t xml:space="preserve">reports to the CCM. The CCM will annually review the grant performance and </w:t>
      </w:r>
      <w:r w:rsidR="00A77416" w:rsidRPr="00C53B9C">
        <w:rPr>
          <w:rFonts w:ascii="Arial" w:hAnsi="Arial"/>
          <w:b w:val="0"/>
        </w:rPr>
        <w:t xml:space="preserve">approve the </w:t>
      </w:r>
      <w:proofErr w:type="spellStart"/>
      <w:r w:rsidRPr="00C53B9C">
        <w:rPr>
          <w:rFonts w:ascii="Arial" w:hAnsi="Arial"/>
          <w:b w:val="0"/>
        </w:rPr>
        <w:t>workplans</w:t>
      </w:r>
      <w:proofErr w:type="spellEnd"/>
      <w:r w:rsidRPr="00C53B9C">
        <w:rPr>
          <w:rFonts w:ascii="Arial" w:hAnsi="Arial"/>
          <w:b w:val="0"/>
        </w:rPr>
        <w:t xml:space="preserve"> for the </w:t>
      </w:r>
      <w:r w:rsidR="00A77416" w:rsidRPr="00C53B9C">
        <w:rPr>
          <w:rFonts w:ascii="Arial" w:hAnsi="Arial"/>
          <w:b w:val="0"/>
        </w:rPr>
        <w:t xml:space="preserve">following </w:t>
      </w:r>
      <w:r w:rsidRPr="00C53B9C">
        <w:rPr>
          <w:rFonts w:ascii="Arial" w:hAnsi="Arial"/>
          <w:b w:val="0"/>
        </w:rPr>
        <w:t>year and additional disbursements.</w:t>
      </w:r>
    </w:p>
    <w:p w14:paraId="11E1A6CC" w14:textId="74FBEE85" w:rsidR="00D04898" w:rsidRPr="00C53B9C" w:rsidRDefault="00A77416" w:rsidP="00423E3E">
      <w:pPr>
        <w:spacing w:after="120" w:line="240" w:lineRule="auto"/>
        <w:jc w:val="both"/>
        <w:rPr>
          <w:rFonts w:ascii="Arial" w:hAnsi="Arial"/>
          <w:b w:val="0"/>
        </w:rPr>
      </w:pPr>
      <w:r w:rsidRPr="00C53B9C">
        <w:rPr>
          <w:rFonts w:ascii="Arial" w:hAnsi="Arial"/>
          <w:b w:val="0"/>
        </w:rPr>
        <w:t xml:space="preserve">The key changes from past implementation arrangements are mainly due to the decreased amount of funding allocated to TB in Kazakhstan compared to the previous allocation period resulting in the reduced and prioritized scope of the new project. </w:t>
      </w:r>
      <w:r w:rsidR="0077022B" w:rsidRPr="00C53B9C">
        <w:rPr>
          <w:rFonts w:ascii="Arial" w:hAnsi="Arial"/>
          <w:b w:val="0"/>
        </w:rPr>
        <w:t xml:space="preserve">In particular, </w:t>
      </w:r>
      <w:r w:rsidRPr="00C53B9C">
        <w:rPr>
          <w:rFonts w:ascii="Arial" w:hAnsi="Arial"/>
          <w:b w:val="0"/>
        </w:rPr>
        <w:t xml:space="preserve">no Sub-recipients (SRs) </w:t>
      </w:r>
      <w:proofErr w:type="gramStart"/>
      <w:r w:rsidRPr="00C53B9C">
        <w:rPr>
          <w:rFonts w:ascii="Arial" w:hAnsi="Arial"/>
          <w:b w:val="0"/>
        </w:rPr>
        <w:t>are foreseen</w:t>
      </w:r>
      <w:proofErr w:type="gramEnd"/>
      <w:r w:rsidRPr="00C53B9C">
        <w:rPr>
          <w:rFonts w:ascii="Arial" w:hAnsi="Arial"/>
          <w:b w:val="0"/>
        </w:rPr>
        <w:t xml:space="preserve"> for the new grant, and the PR will be responsible for oversight and coordination of the implementing partners including non-governmental partners </w:t>
      </w:r>
      <w:r w:rsidR="00D04898" w:rsidRPr="00C53B9C">
        <w:rPr>
          <w:rFonts w:ascii="Arial" w:hAnsi="Arial"/>
          <w:b w:val="0"/>
        </w:rPr>
        <w:t xml:space="preserve">for the NGO small grants’ program under Intervention 2.3. The grant management and administration arrangements </w:t>
      </w:r>
      <w:proofErr w:type="gramStart"/>
      <w:r w:rsidR="00D04898" w:rsidRPr="00C53B9C">
        <w:rPr>
          <w:rFonts w:ascii="Arial" w:hAnsi="Arial"/>
          <w:b w:val="0"/>
        </w:rPr>
        <w:t>will be simplified</w:t>
      </w:r>
      <w:proofErr w:type="gramEnd"/>
      <w:r w:rsidR="00D04898" w:rsidRPr="00C53B9C">
        <w:rPr>
          <w:rFonts w:ascii="Arial" w:hAnsi="Arial"/>
          <w:b w:val="0"/>
        </w:rPr>
        <w:t xml:space="preserve"> and optimized, i.e. less staff effort and other efficiency gains are foreseen in the upcoming project.</w:t>
      </w:r>
    </w:p>
    <w:p w14:paraId="390E95C8" w14:textId="27B2C4A2" w:rsidR="00D04898" w:rsidRPr="00C53B9C" w:rsidRDefault="00D04898" w:rsidP="00423E3E">
      <w:pPr>
        <w:spacing w:after="120" w:line="240" w:lineRule="auto"/>
        <w:jc w:val="both"/>
        <w:rPr>
          <w:rFonts w:ascii="Arial" w:hAnsi="Arial"/>
          <w:b w:val="0"/>
        </w:rPr>
      </w:pPr>
      <w:r w:rsidRPr="00C53B9C">
        <w:rPr>
          <w:rFonts w:ascii="Arial" w:hAnsi="Arial"/>
          <w:b w:val="0"/>
        </w:rPr>
        <w:t xml:space="preserve">The upcoming project will have a reduced scope of procurement of drugs, medical equipment and consumables, limited to the penitentiary sector and the first two years only. UNDP </w:t>
      </w:r>
      <w:proofErr w:type="gramStart"/>
      <w:r w:rsidRPr="00C53B9C">
        <w:rPr>
          <w:rFonts w:ascii="Arial" w:hAnsi="Arial"/>
          <w:b w:val="0"/>
        </w:rPr>
        <w:t xml:space="preserve">will no </w:t>
      </w:r>
      <w:r w:rsidRPr="00C53B9C">
        <w:rPr>
          <w:rFonts w:ascii="Arial" w:hAnsi="Arial"/>
          <w:b w:val="0"/>
        </w:rPr>
        <w:lastRenderedPageBreak/>
        <w:t>longer be used</w:t>
      </w:r>
      <w:proofErr w:type="gramEnd"/>
      <w:r w:rsidRPr="00C53B9C">
        <w:rPr>
          <w:rFonts w:ascii="Arial" w:hAnsi="Arial"/>
          <w:b w:val="0"/>
        </w:rPr>
        <w:t xml:space="preserve"> as a procurement agent (it is engaged in procurement of all laboratory goods in the current grant). </w:t>
      </w:r>
      <w:proofErr w:type="gramStart"/>
      <w:r w:rsidRPr="00C53B9C">
        <w:rPr>
          <w:rFonts w:ascii="Arial" w:hAnsi="Arial"/>
          <w:b w:val="0"/>
        </w:rPr>
        <w:t xml:space="preserve">Procurement of SLDs, </w:t>
      </w:r>
      <w:proofErr w:type="spellStart"/>
      <w:r w:rsidRPr="00C53B9C">
        <w:rPr>
          <w:rFonts w:ascii="Arial" w:hAnsi="Arial"/>
          <w:b w:val="0"/>
        </w:rPr>
        <w:t>Xpert</w:t>
      </w:r>
      <w:proofErr w:type="spellEnd"/>
      <w:r w:rsidRPr="00C53B9C">
        <w:rPr>
          <w:rFonts w:ascii="Arial" w:hAnsi="Arial"/>
          <w:b w:val="0"/>
        </w:rPr>
        <w:t xml:space="preserve"> instruments and cartridges and LPA tests will be done by the PR</w:t>
      </w:r>
      <w:proofErr w:type="gramEnd"/>
      <w:r w:rsidRPr="00C53B9C">
        <w:rPr>
          <w:rFonts w:ascii="Arial" w:hAnsi="Arial"/>
          <w:b w:val="0"/>
        </w:rPr>
        <w:t xml:space="preserve"> using the international concessionary prices mechanism, through the Stop TB Partnership’s Global Drug Facility (GDF). </w:t>
      </w:r>
      <w:r w:rsidR="00084E59" w:rsidRPr="00C53B9C">
        <w:rPr>
          <w:rFonts w:ascii="Arial" w:hAnsi="Arial"/>
          <w:b w:val="0"/>
        </w:rPr>
        <w:t xml:space="preserve">For procurement of MGIT </w:t>
      </w:r>
      <w:proofErr w:type="spellStart"/>
      <w:r w:rsidR="00084E59" w:rsidRPr="00C53B9C">
        <w:rPr>
          <w:rFonts w:ascii="Arial" w:hAnsi="Arial"/>
          <w:b w:val="0"/>
        </w:rPr>
        <w:t>Bactec</w:t>
      </w:r>
      <w:proofErr w:type="spellEnd"/>
      <w:r w:rsidR="00084E59" w:rsidRPr="00C53B9C">
        <w:rPr>
          <w:rFonts w:ascii="Arial" w:hAnsi="Arial"/>
          <w:b w:val="0"/>
        </w:rPr>
        <w:t xml:space="preserve"> laboratory supplies, the PR will continue the current procedure of local tenders.</w:t>
      </w:r>
      <w:r w:rsidRPr="00C53B9C">
        <w:rPr>
          <w:rFonts w:ascii="Arial" w:hAnsi="Arial"/>
          <w:b w:val="0"/>
        </w:rPr>
        <w:t xml:space="preserve">  </w:t>
      </w:r>
    </w:p>
    <w:p w14:paraId="2761A9C2" w14:textId="77777777" w:rsidR="0077022B" w:rsidRPr="00C53B9C" w:rsidRDefault="00084E59" w:rsidP="00423E3E">
      <w:pPr>
        <w:spacing w:after="120" w:line="240" w:lineRule="auto"/>
        <w:jc w:val="both"/>
        <w:rPr>
          <w:rFonts w:ascii="Arial" w:hAnsi="Arial"/>
          <w:b w:val="0"/>
        </w:rPr>
      </w:pPr>
      <w:proofErr w:type="gramStart"/>
      <w:r w:rsidRPr="00C53B9C">
        <w:rPr>
          <w:rFonts w:ascii="Arial" w:hAnsi="Arial"/>
          <w:b w:val="0"/>
        </w:rPr>
        <w:t>The participation of key populations and people affected by the diseases in the implementation of this funding request will be ensured through: CCM membership of relevant organizations and their participation</w:t>
      </w:r>
      <w:r w:rsidR="0077022B" w:rsidRPr="00C53B9C">
        <w:rPr>
          <w:rFonts w:ascii="Arial" w:hAnsi="Arial"/>
          <w:b w:val="0"/>
        </w:rPr>
        <w:t xml:space="preserve"> in the technical working groups and </w:t>
      </w:r>
      <w:r w:rsidRPr="00C53B9C">
        <w:rPr>
          <w:rFonts w:ascii="Arial" w:hAnsi="Arial"/>
          <w:b w:val="0"/>
        </w:rPr>
        <w:t>other CCM decision making</w:t>
      </w:r>
      <w:r w:rsidR="0077022B" w:rsidRPr="00C53B9C">
        <w:rPr>
          <w:rFonts w:ascii="Arial" w:hAnsi="Arial"/>
          <w:b w:val="0"/>
        </w:rPr>
        <w:t xml:space="preserve"> processes</w:t>
      </w:r>
      <w:r w:rsidRPr="00C53B9C">
        <w:rPr>
          <w:rFonts w:ascii="Arial" w:hAnsi="Arial"/>
          <w:b w:val="0"/>
        </w:rPr>
        <w:t>; National Stop TB Partnership (NSTP) platform for engagement and coordination of partners active in TB including NGOs and other relevant non-state actors; NGO projects and other community and civil society engagement activities under Intervention 2.3 (see Section 2.1 above).</w:t>
      </w:r>
      <w:proofErr w:type="gramEnd"/>
    </w:p>
    <w:p w14:paraId="645C1239" w14:textId="71F08564" w:rsidR="008D124F" w:rsidRPr="00C53B9C" w:rsidRDefault="00927B8A" w:rsidP="007D0F2F">
      <w:pPr>
        <w:spacing w:after="120" w:line="240" w:lineRule="auto"/>
        <w:jc w:val="both"/>
        <w:rPr>
          <w:rFonts w:ascii="Arial" w:hAnsi="Arial"/>
          <w:b w:val="0"/>
        </w:rPr>
      </w:pPr>
      <w:r w:rsidRPr="00C53B9C">
        <w:rPr>
          <w:rFonts w:ascii="Arial" w:hAnsi="Arial"/>
          <w:b w:val="0"/>
        </w:rPr>
        <w:t xml:space="preserve">The CCM Secretariat and the PR will communicate with the Global Fund on the grant progress. Progress Updates and Disbursement Requests </w:t>
      </w:r>
      <w:r w:rsidR="0077022B" w:rsidRPr="00C53B9C">
        <w:rPr>
          <w:rFonts w:ascii="Arial" w:hAnsi="Arial"/>
          <w:b w:val="0"/>
        </w:rPr>
        <w:t xml:space="preserve">(PUDRs) </w:t>
      </w:r>
      <w:proofErr w:type="gramStart"/>
      <w:r w:rsidRPr="00C53B9C">
        <w:rPr>
          <w:rFonts w:ascii="Arial" w:hAnsi="Arial"/>
          <w:b w:val="0"/>
        </w:rPr>
        <w:t>will be forwarded to TGF o</w:t>
      </w:r>
      <w:r w:rsidR="00FE6A4A">
        <w:rPr>
          <w:rFonts w:ascii="Arial" w:hAnsi="Arial"/>
          <w:b w:val="0"/>
        </w:rPr>
        <w:t xml:space="preserve">n </w:t>
      </w:r>
      <w:r w:rsidRPr="00C53B9C">
        <w:rPr>
          <w:rFonts w:ascii="Arial" w:hAnsi="Arial"/>
          <w:b w:val="0"/>
        </w:rPr>
        <w:t>annual basis or as otherwise agreed</w:t>
      </w:r>
      <w:r w:rsidR="0077022B" w:rsidRPr="00C53B9C">
        <w:rPr>
          <w:rFonts w:ascii="Arial" w:hAnsi="Arial"/>
          <w:b w:val="0"/>
        </w:rPr>
        <w:t xml:space="preserve"> with the Fund Portfolio Manager (FPM)</w:t>
      </w:r>
      <w:proofErr w:type="gramEnd"/>
      <w:r w:rsidR="0077022B" w:rsidRPr="00C53B9C">
        <w:rPr>
          <w:rFonts w:ascii="Arial" w:hAnsi="Arial"/>
          <w:b w:val="0"/>
        </w:rPr>
        <w:t xml:space="preserve">. </w:t>
      </w:r>
      <w:r w:rsidRPr="00C53B9C">
        <w:rPr>
          <w:rFonts w:ascii="Arial" w:hAnsi="Arial"/>
          <w:b w:val="0"/>
        </w:rPr>
        <w:t>The Local Fund Agent (currently Price Waterhouse Coopers, PWC) will act within the Terms of Reference agreed upon with the Global Fund, including on-site verifications (OSV)</w:t>
      </w:r>
      <w:r w:rsidR="0077022B" w:rsidRPr="00C53B9C">
        <w:rPr>
          <w:rFonts w:ascii="Arial" w:hAnsi="Arial"/>
          <w:b w:val="0"/>
        </w:rPr>
        <w:t>. Annual e</w:t>
      </w:r>
      <w:r w:rsidRPr="00C53B9C">
        <w:rPr>
          <w:rFonts w:ascii="Arial" w:hAnsi="Arial"/>
          <w:b w:val="0"/>
        </w:rPr>
        <w:t>xternal audits are an integral part of the proposed management arrangements.</w:t>
      </w:r>
      <w:r w:rsidR="0077022B" w:rsidRPr="00C53B9C">
        <w:rPr>
          <w:rFonts w:ascii="Arial" w:hAnsi="Arial"/>
          <w:b w:val="0"/>
        </w:rPr>
        <w:t xml:space="preserve"> The updated Implementation Arrangements Map </w:t>
      </w:r>
      <w:proofErr w:type="gramStart"/>
      <w:r w:rsidR="0077022B" w:rsidRPr="00C53B9C">
        <w:rPr>
          <w:rFonts w:ascii="Arial" w:hAnsi="Arial"/>
          <w:b w:val="0"/>
        </w:rPr>
        <w:t>will be developed</w:t>
      </w:r>
      <w:proofErr w:type="gramEnd"/>
      <w:r w:rsidR="0077022B" w:rsidRPr="00C53B9C">
        <w:rPr>
          <w:rFonts w:ascii="Arial" w:hAnsi="Arial"/>
          <w:b w:val="0"/>
        </w:rPr>
        <w:t xml:space="preserve"> at the grant-making stage.</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838"/>
        <w:gridCol w:w="1985"/>
        <w:gridCol w:w="3685"/>
        <w:gridCol w:w="1400"/>
        <w:gridCol w:w="18"/>
      </w:tblGrid>
      <w:tr w:rsidR="00C312DD" w:rsidRPr="00C53B9C" w14:paraId="41DCBE30" w14:textId="77777777" w:rsidTr="00F17FE6">
        <w:trPr>
          <w:trHeight w:val="395"/>
        </w:trPr>
        <w:tc>
          <w:tcPr>
            <w:tcW w:w="8926" w:type="dxa"/>
            <w:gridSpan w:val="5"/>
            <w:shd w:val="clear" w:color="auto" w:fill="C6D9F1"/>
            <w:vAlign w:val="center"/>
          </w:tcPr>
          <w:p w14:paraId="278203E9" w14:textId="15146A66" w:rsidR="00C312DD" w:rsidRPr="00C53B9C" w:rsidRDefault="00C312DD" w:rsidP="008B2D77">
            <w:pPr>
              <w:spacing w:before="120" w:after="120" w:line="240" w:lineRule="auto"/>
              <w:rPr>
                <w:rFonts w:ascii="Arial" w:hAnsi="Arial"/>
                <w:b w:val="0"/>
                <w:sz w:val="20"/>
                <w:szCs w:val="20"/>
              </w:rPr>
            </w:pPr>
            <w:r w:rsidRPr="00C53B9C">
              <w:rPr>
                <w:rFonts w:ascii="Arial" w:hAnsi="Arial"/>
                <w:bCs/>
                <w:sz w:val="20"/>
                <w:szCs w:val="20"/>
              </w:rPr>
              <w:t>3.</w:t>
            </w:r>
            <w:r w:rsidR="000A57BC" w:rsidRPr="00C53B9C">
              <w:rPr>
                <w:rFonts w:ascii="Arial" w:hAnsi="Arial"/>
                <w:bCs/>
                <w:sz w:val="20"/>
                <w:szCs w:val="20"/>
              </w:rPr>
              <w:t>2</w:t>
            </w:r>
            <w:r w:rsidRPr="00C53B9C">
              <w:rPr>
                <w:rFonts w:ascii="Arial" w:hAnsi="Arial"/>
                <w:bCs/>
                <w:sz w:val="20"/>
                <w:szCs w:val="20"/>
              </w:rPr>
              <w:t xml:space="preserve"> Key implementation risks</w:t>
            </w:r>
          </w:p>
        </w:tc>
      </w:tr>
      <w:tr w:rsidR="00C312DD" w:rsidRPr="00C53B9C" w14:paraId="589BE5BD" w14:textId="77777777" w:rsidTr="00F17FE6">
        <w:trPr>
          <w:trHeight w:val="1794"/>
        </w:trPr>
        <w:tc>
          <w:tcPr>
            <w:tcW w:w="8926" w:type="dxa"/>
            <w:gridSpan w:val="5"/>
            <w:shd w:val="clear" w:color="auto" w:fill="F2F2F2"/>
            <w:vAlign w:val="center"/>
          </w:tcPr>
          <w:p w14:paraId="29D886A4" w14:textId="77777777" w:rsidR="0048135A" w:rsidRPr="00C53B9C" w:rsidRDefault="00F56B80" w:rsidP="008B2D77">
            <w:pPr>
              <w:spacing w:before="120" w:after="120" w:line="240" w:lineRule="auto"/>
              <w:contextualSpacing/>
              <w:jc w:val="both"/>
              <w:rPr>
                <w:rFonts w:ascii="Arial" w:hAnsi="Arial"/>
                <w:b w:val="0"/>
                <w:sz w:val="20"/>
                <w:szCs w:val="20"/>
              </w:rPr>
            </w:pPr>
            <w:r w:rsidRPr="00C53B9C">
              <w:rPr>
                <w:rFonts w:ascii="Arial" w:hAnsi="Arial"/>
                <w:b w:val="0"/>
                <w:sz w:val="20"/>
                <w:szCs w:val="20"/>
              </w:rPr>
              <w:t>Using the table below, outline</w:t>
            </w:r>
            <w:r w:rsidR="00C17BC6" w:rsidRPr="00C53B9C">
              <w:rPr>
                <w:rFonts w:ascii="Arial" w:hAnsi="Arial"/>
                <w:b w:val="0"/>
                <w:sz w:val="20"/>
                <w:szCs w:val="20"/>
              </w:rPr>
              <w:t xml:space="preserve"> key risks foreseen, including those that </w:t>
            </w:r>
            <w:proofErr w:type="gramStart"/>
            <w:r w:rsidR="00C17BC6" w:rsidRPr="00C53B9C">
              <w:rPr>
                <w:rFonts w:ascii="Arial" w:hAnsi="Arial"/>
                <w:b w:val="0"/>
                <w:sz w:val="20"/>
                <w:szCs w:val="20"/>
              </w:rPr>
              <w:t>were provided</w:t>
            </w:r>
            <w:proofErr w:type="gramEnd"/>
            <w:r w:rsidR="00C17BC6" w:rsidRPr="00C53B9C">
              <w:rPr>
                <w:rFonts w:ascii="Arial" w:hAnsi="Arial"/>
                <w:b w:val="0"/>
                <w:sz w:val="20"/>
                <w:szCs w:val="20"/>
              </w:rPr>
              <w:t xml:space="preserve"> in the </w:t>
            </w:r>
            <w:r w:rsidR="00C17BC6" w:rsidRPr="00C53B9C">
              <w:rPr>
                <w:rFonts w:ascii="Arial" w:hAnsi="Arial"/>
                <w:b w:val="0"/>
                <w:i/>
                <w:sz w:val="20"/>
                <w:szCs w:val="20"/>
              </w:rPr>
              <w:t>Key Program Risks</w:t>
            </w:r>
            <w:r w:rsidR="00C17BC6" w:rsidRPr="00C53B9C">
              <w:rPr>
                <w:rFonts w:ascii="Arial" w:hAnsi="Arial"/>
                <w:b w:val="0"/>
                <w:sz w:val="20"/>
                <w:szCs w:val="20"/>
              </w:rPr>
              <w:t xml:space="preserve"> table shared by the Global Fund during the Country Dialogue process.</w:t>
            </w:r>
            <w:r w:rsidRPr="00C53B9C">
              <w:rPr>
                <w:rFonts w:ascii="Arial" w:hAnsi="Arial"/>
                <w:b w:val="0"/>
                <w:sz w:val="20"/>
                <w:szCs w:val="20"/>
              </w:rPr>
              <w:t xml:space="preserve"> </w:t>
            </w:r>
            <w:r w:rsidR="00C17BC6" w:rsidRPr="00C53B9C">
              <w:rPr>
                <w:rFonts w:ascii="Arial" w:hAnsi="Arial"/>
                <w:b w:val="0"/>
                <w:sz w:val="20"/>
                <w:szCs w:val="20"/>
              </w:rPr>
              <w:t>You can also add</w:t>
            </w:r>
            <w:r w:rsidRPr="00C53B9C">
              <w:rPr>
                <w:rFonts w:ascii="Arial" w:hAnsi="Arial"/>
                <w:b w:val="0"/>
                <w:sz w:val="20"/>
                <w:szCs w:val="20"/>
              </w:rPr>
              <w:t xml:space="preserve"> key operational and implementation risks, which you identified as outstanding from the previous implementation period, and the specific mitigation measures planned to address each of these challenges/risks to ensure effective program pe</w:t>
            </w:r>
            <w:r w:rsidR="00C17BC6" w:rsidRPr="00C53B9C">
              <w:rPr>
                <w:rFonts w:ascii="Arial" w:hAnsi="Arial"/>
                <w:b w:val="0"/>
                <w:sz w:val="20"/>
                <w:szCs w:val="20"/>
              </w:rPr>
              <w:t>rformance in the given context.</w:t>
            </w:r>
            <w:r w:rsidR="0048135A" w:rsidRPr="00C53B9C">
              <w:rPr>
                <w:rFonts w:ascii="Arial" w:hAnsi="Arial"/>
                <w:b w:val="0"/>
                <w:sz w:val="20"/>
                <w:szCs w:val="20"/>
              </w:rPr>
              <w:t xml:space="preserve"> </w:t>
            </w:r>
          </w:p>
          <w:p w14:paraId="35D2A98B" w14:textId="77777777" w:rsidR="0048135A" w:rsidRPr="00C53B9C" w:rsidRDefault="0048135A" w:rsidP="008B2D77">
            <w:pPr>
              <w:spacing w:before="120" w:after="120" w:line="240" w:lineRule="auto"/>
              <w:contextualSpacing/>
              <w:jc w:val="both"/>
              <w:rPr>
                <w:rFonts w:ascii="Arial" w:hAnsi="Arial"/>
                <w:b w:val="0"/>
                <w:sz w:val="20"/>
                <w:szCs w:val="20"/>
              </w:rPr>
            </w:pPr>
          </w:p>
          <w:p w14:paraId="5A3FB1FC" w14:textId="05E16591" w:rsidR="00C312DD" w:rsidRPr="00C53B9C" w:rsidRDefault="0048135A" w:rsidP="008B2D77">
            <w:pPr>
              <w:spacing w:before="120" w:after="120" w:line="240" w:lineRule="auto"/>
              <w:contextualSpacing/>
              <w:jc w:val="both"/>
              <w:rPr>
                <w:rFonts w:ascii="Arial" w:hAnsi="Arial"/>
                <w:b w:val="0"/>
                <w:sz w:val="20"/>
                <w:szCs w:val="20"/>
              </w:rPr>
            </w:pPr>
            <w:r w:rsidRPr="00C53B9C">
              <w:rPr>
                <w:rFonts w:ascii="Arial" w:hAnsi="Arial"/>
                <w:b w:val="0"/>
                <w:sz w:val="20"/>
                <w:szCs w:val="20"/>
              </w:rPr>
              <w:t>Applicant response in the table below</w:t>
            </w:r>
            <w:r w:rsidR="000D4A2D" w:rsidRPr="00C53B9C">
              <w:rPr>
                <w:rFonts w:ascii="Arial" w:hAnsi="Arial"/>
                <w:b w:val="0"/>
                <w:sz w:val="20"/>
                <w:szCs w:val="20"/>
              </w:rPr>
              <w:t>.</w:t>
            </w:r>
          </w:p>
        </w:tc>
      </w:tr>
      <w:tr w:rsidR="002A56D2" w:rsidRPr="00C53B9C" w14:paraId="3FCEECF9" w14:textId="77777777" w:rsidTr="00F17FE6">
        <w:tblPrEx>
          <w:jc w:val="center"/>
        </w:tblPrEx>
        <w:trPr>
          <w:gridAfter w:val="1"/>
          <w:wAfter w:w="18" w:type="dxa"/>
          <w:trHeight w:val="470"/>
          <w:jc w:val="center"/>
        </w:trPr>
        <w:tc>
          <w:tcPr>
            <w:tcW w:w="1838" w:type="dxa"/>
            <w:shd w:val="clear" w:color="auto" w:fill="C6D9F1" w:themeFill="text2" w:themeFillTint="33"/>
            <w:vAlign w:val="center"/>
          </w:tcPr>
          <w:p w14:paraId="243F121B" w14:textId="77777777" w:rsidR="0018563A" w:rsidRPr="00C53B9C" w:rsidRDefault="0018563A" w:rsidP="008B2D77">
            <w:pPr>
              <w:spacing w:before="120" w:after="120" w:line="240" w:lineRule="auto"/>
              <w:jc w:val="center"/>
              <w:rPr>
                <w:rFonts w:ascii="Arial" w:hAnsi="Arial"/>
                <w:iCs/>
                <w:sz w:val="20"/>
                <w:szCs w:val="20"/>
              </w:rPr>
            </w:pPr>
            <w:r w:rsidRPr="00C53B9C">
              <w:rPr>
                <w:rFonts w:ascii="Arial" w:hAnsi="Arial"/>
                <w:iCs/>
                <w:sz w:val="20"/>
                <w:szCs w:val="20"/>
              </w:rPr>
              <w:t>Risk Category</w:t>
            </w:r>
          </w:p>
          <w:p w14:paraId="22A65CEB" w14:textId="77777777" w:rsidR="0018563A" w:rsidRPr="00C53B9C" w:rsidRDefault="0018563A" w:rsidP="008B2D77">
            <w:pPr>
              <w:spacing w:before="120" w:after="120" w:line="240" w:lineRule="auto"/>
              <w:jc w:val="center"/>
              <w:rPr>
                <w:rFonts w:ascii="Arial" w:hAnsi="Arial"/>
                <w:iCs/>
                <w:sz w:val="20"/>
                <w:szCs w:val="20"/>
              </w:rPr>
            </w:pPr>
            <w:r w:rsidRPr="00C53B9C">
              <w:rPr>
                <w:rFonts w:ascii="Arial" w:hAnsi="Arial"/>
                <w:iCs/>
                <w:sz w:val="20"/>
                <w:szCs w:val="20"/>
              </w:rPr>
              <w:t>(Functional area)</w:t>
            </w:r>
          </w:p>
        </w:tc>
        <w:tc>
          <w:tcPr>
            <w:tcW w:w="1985" w:type="dxa"/>
            <w:shd w:val="clear" w:color="auto" w:fill="C6D9F1" w:themeFill="text2" w:themeFillTint="33"/>
            <w:vAlign w:val="center"/>
          </w:tcPr>
          <w:p w14:paraId="6347654E" w14:textId="77777777" w:rsidR="0018563A" w:rsidRPr="00C53B9C" w:rsidRDefault="0018563A" w:rsidP="008B2D77">
            <w:pPr>
              <w:spacing w:before="120" w:after="120" w:line="240" w:lineRule="auto"/>
              <w:jc w:val="center"/>
              <w:rPr>
                <w:rFonts w:ascii="Arial" w:hAnsi="Arial"/>
                <w:iCs/>
                <w:sz w:val="20"/>
                <w:szCs w:val="20"/>
              </w:rPr>
            </w:pPr>
            <w:r w:rsidRPr="00C53B9C">
              <w:rPr>
                <w:rFonts w:ascii="Arial" w:hAnsi="Arial"/>
                <w:sz w:val="20"/>
                <w:szCs w:val="20"/>
              </w:rPr>
              <w:t>Key Risk</w:t>
            </w:r>
          </w:p>
        </w:tc>
        <w:tc>
          <w:tcPr>
            <w:tcW w:w="3685" w:type="dxa"/>
            <w:shd w:val="clear" w:color="auto" w:fill="C6D9F1" w:themeFill="text2" w:themeFillTint="33"/>
            <w:vAlign w:val="center"/>
          </w:tcPr>
          <w:p w14:paraId="45065B8B" w14:textId="77777777" w:rsidR="0018563A" w:rsidRPr="00C53B9C" w:rsidRDefault="0018563A" w:rsidP="008B2D77">
            <w:pPr>
              <w:spacing w:before="120" w:after="120" w:line="240" w:lineRule="auto"/>
              <w:jc w:val="center"/>
              <w:rPr>
                <w:rFonts w:ascii="Arial" w:hAnsi="Arial"/>
                <w:sz w:val="20"/>
                <w:szCs w:val="20"/>
              </w:rPr>
            </w:pPr>
            <w:r w:rsidRPr="00C53B9C">
              <w:rPr>
                <w:rFonts w:ascii="Arial" w:hAnsi="Arial"/>
                <w:sz w:val="20"/>
                <w:szCs w:val="20"/>
              </w:rPr>
              <w:t>Mitigating actions</w:t>
            </w:r>
          </w:p>
        </w:tc>
        <w:tc>
          <w:tcPr>
            <w:tcW w:w="1400" w:type="dxa"/>
            <w:shd w:val="clear" w:color="auto" w:fill="C6D9F1" w:themeFill="text2" w:themeFillTint="33"/>
            <w:vAlign w:val="center"/>
          </w:tcPr>
          <w:p w14:paraId="1FF2C727" w14:textId="77777777" w:rsidR="0018563A" w:rsidRPr="00C53B9C" w:rsidRDefault="0018563A" w:rsidP="008B2D77">
            <w:pPr>
              <w:spacing w:before="120" w:after="120" w:line="240" w:lineRule="auto"/>
              <w:jc w:val="center"/>
              <w:rPr>
                <w:rFonts w:ascii="Arial" w:hAnsi="Arial"/>
                <w:sz w:val="20"/>
                <w:szCs w:val="20"/>
              </w:rPr>
            </w:pPr>
            <w:r w:rsidRPr="00C53B9C">
              <w:rPr>
                <w:rFonts w:ascii="Arial" w:hAnsi="Arial"/>
                <w:sz w:val="20"/>
                <w:szCs w:val="20"/>
              </w:rPr>
              <w:t>Timeline</w:t>
            </w:r>
          </w:p>
        </w:tc>
      </w:tr>
      <w:tr w:rsidR="00F17FE6" w:rsidRPr="00C53B9C" w14:paraId="67D1A10C" w14:textId="77777777" w:rsidTr="00423E3E">
        <w:tblPrEx>
          <w:jc w:val="center"/>
        </w:tblPrEx>
        <w:trPr>
          <w:gridAfter w:val="1"/>
          <w:wAfter w:w="18" w:type="dxa"/>
          <w:trHeight w:val="492"/>
          <w:jc w:val="center"/>
        </w:trPr>
        <w:tc>
          <w:tcPr>
            <w:tcW w:w="1838" w:type="dxa"/>
            <w:shd w:val="clear" w:color="auto" w:fill="auto"/>
            <w:vAlign w:val="center"/>
          </w:tcPr>
          <w:p w14:paraId="0065E314" w14:textId="0265FE2F" w:rsidR="008C68B3" w:rsidRPr="00C53B9C" w:rsidRDefault="006F11FD" w:rsidP="008B2D77">
            <w:pPr>
              <w:spacing w:before="120" w:after="120" w:line="240" w:lineRule="auto"/>
              <w:rPr>
                <w:rFonts w:ascii="Arial" w:hAnsi="Arial"/>
                <w:b w:val="0"/>
                <w:iCs/>
                <w:sz w:val="20"/>
                <w:szCs w:val="20"/>
              </w:rPr>
            </w:pPr>
            <w:r w:rsidRPr="00C53B9C">
              <w:rPr>
                <w:rFonts w:ascii="Arial" w:hAnsi="Arial"/>
                <w:b w:val="0"/>
                <w:iCs/>
                <w:sz w:val="20"/>
                <w:szCs w:val="20"/>
              </w:rPr>
              <w:t xml:space="preserve">External </w:t>
            </w:r>
            <w:r w:rsidR="008B2D77" w:rsidRPr="00C53B9C">
              <w:rPr>
                <w:rFonts w:ascii="Arial" w:hAnsi="Arial"/>
                <w:b w:val="0"/>
                <w:iCs/>
                <w:sz w:val="20"/>
                <w:szCs w:val="20"/>
              </w:rPr>
              <w:t>risks (m</w:t>
            </w:r>
            <w:r w:rsidR="008C68B3" w:rsidRPr="00C53B9C">
              <w:rPr>
                <w:rFonts w:ascii="Arial" w:hAnsi="Arial"/>
                <w:b w:val="0"/>
                <w:iCs/>
                <w:sz w:val="20"/>
                <w:szCs w:val="20"/>
              </w:rPr>
              <w:t xml:space="preserve">acroeconomic </w:t>
            </w:r>
            <w:r w:rsidR="008B2D77" w:rsidRPr="00C53B9C">
              <w:rPr>
                <w:rFonts w:ascii="Arial" w:hAnsi="Arial"/>
                <w:b w:val="0"/>
                <w:iCs/>
                <w:sz w:val="20"/>
                <w:szCs w:val="20"/>
              </w:rPr>
              <w:t>factors)</w:t>
            </w:r>
          </w:p>
        </w:tc>
        <w:tc>
          <w:tcPr>
            <w:tcW w:w="1985" w:type="dxa"/>
            <w:shd w:val="clear" w:color="auto" w:fill="auto"/>
            <w:vAlign w:val="center"/>
          </w:tcPr>
          <w:p w14:paraId="5FC528D7" w14:textId="618F2943" w:rsidR="008C68B3" w:rsidRPr="00C53B9C" w:rsidRDefault="008C68B3" w:rsidP="008B2D77">
            <w:pPr>
              <w:spacing w:before="120" w:after="120" w:line="240" w:lineRule="auto"/>
              <w:rPr>
                <w:rFonts w:ascii="Arial" w:hAnsi="Arial"/>
                <w:b w:val="0"/>
                <w:iCs/>
                <w:sz w:val="20"/>
                <w:szCs w:val="20"/>
              </w:rPr>
            </w:pPr>
            <w:r w:rsidRPr="00C53B9C">
              <w:rPr>
                <w:rFonts w:ascii="Arial" w:hAnsi="Arial"/>
                <w:b w:val="0"/>
                <w:iCs/>
                <w:sz w:val="20"/>
                <w:szCs w:val="20"/>
              </w:rPr>
              <w:t>C</w:t>
            </w:r>
            <w:r w:rsidR="006F11FD" w:rsidRPr="00C53B9C">
              <w:rPr>
                <w:rFonts w:ascii="Arial" w:hAnsi="Arial"/>
                <w:b w:val="0"/>
                <w:iCs/>
                <w:sz w:val="20"/>
                <w:szCs w:val="20"/>
              </w:rPr>
              <w:t xml:space="preserve">urrency exchange rate </w:t>
            </w:r>
            <w:r w:rsidRPr="00C53B9C">
              <w:rPr>
                <w:rFonts w:ascii="Arial" w:hAnsi="Arial"/>
                <w:b w:val="0"/>
                <w:iCs/>
                <w:sz w:val="20"/>
                <w:szCs w:val="20"/>
              </w:rPr>
              <w:t>fluctuation</w:t>
            </w:r>
          </w:p>
        </w:tc>
        <w:tc>
          <w:tcPr>
            <w:tcW w:w="3685" w:type="dxa"/>
            <w:shd w:val="clear" w:color="auto" w:fill="auto"/>
            <w:vAlign w:val="center"/>
          </w:tcPr>
          <w:p w14:paraId="29BCB140" w14:textId="528F5F0D" w:rsidR="008C68B3" w:rsidRPr="00C53B9C" w:rsidRDefault="006F11FD" w:rsidP="008B2D77">
            <w:pPr>
              <w:spacing w:before="120" w:after="120" w:line="240" w:lineRule="auto"/>
              <w:jc w:val="both"/>
              <w:rPr>
                <w:rFonts w:ascii="Arial" w:hAnsi="Arial"/>
                <w:b w:val="0"/>
                <w:iCs/>
                <w:sz w:val="20"/>
                <w:szCs w:val="20"/>
              </w:rPr>
            </w:pPr>
            <w:r w:rsidRPr="00C53B9C">
              <w:rPr>
                <w:rFonts w:ascii="Arial" w:hAnsi="Arial"/>
                <w:b w:val="0"/>
                <w:iCs/>
                <w:sz w:val="20"/>
                <w:szCs w:val="20"/>
              </w:rPr>
              <w:t xml:space="preserve">Adjustment of the </w:t>
            </w:r>
            <w:proofErr w:type="spellStart"/>
            <w:r w:rsidRPr="00C53B9C">
              <w:rPr>
                <w:rFonts w:ascii="Arial" w:hAnsi="Arial"/>
                <w:b w:val="0"/>
                <w:iCs/>
                <w:sz w:val="20"/>
                <w:szCs w:val="20"/>
              </w:rPr>
              <w:t>workplan</w:t>
            </w:r>
            <w:proofErr w:type="spellEnd"/>
            <w:r w:rsidRPr="00C53B9C">
              <w:rPr>
                <w:rFonts w:ascii="Arial" w:hAnsi="Arial"/>
                <w:b w:val="0"/>
                <w:iCs/>
                <w:sz w:val="20"/>
                <w:szCs w:val="20"/>
              </w:rPr>
              <w:t xml:space="preserve"> and budget; approval by the CCM; n</w:t>
            </w:r>
            <w:r w:rsidR="008C68B3" w:rsidRPr="00C53B9C">
              <w:rPr>
                <w:rFonts w:ascii="Arial" w:hAnsi="Arial"/>
                <w:b w:val="0"/>
                <w:iCs/>
                <w:sz w:val="20"/>
                <w:szCs w:val="20"/>
              </w:rPr>
              <w:t xml:space="preserve">egotiation of reprogramming </w:t>
            </w:r>
            <w:r w:rsidRPr="00C53B9C">
              <w:rPr>
                <w:rFonts w:ascii="Arial" w:hAnsi="Arial"/>
                <w:b w:val="0"/>
                <w:iCs/>
                <w:sz w:val="20"/>
                <w:szCs w:val="20"/>
              </w:rPr>
              <w:t xml:space="preserve">the </w:t>
            </w:r>
            <w:r w:rsidR="008C68B3" w:rsidRPr="00C53B9C">
              <w:rPr>
                <w:rFonts w:ascii="Arial" w:hAnsi="Arial"/>
                <w:b w:val="0"/>
                <w:iCs/>
                <w:sz w:val="20"/>
                <w:szCs w:val="20"/>
              </w:rPr>
              <w:t>activities with</w:t>
            </w:r>
            <w:r w:rsidRPr="00C53B9C">
              <w:rPr>
                <w:rFonts w:ascii="Arial" w:hAnsi="Arial"/>
                <w:b w:val="0"/>
                <w:iCs/>
                <w:sz w:val="20"/>
                <w:szCs w:val="20"/>
              </w:rPr>
              <w:t xml:space="preserve"> TGF Country Team</w:t>
            </w:r>
          </w:p>
        </w:tc>
        <w:tc>
          <w:tcPr>
            <w:tcW w:w="1400" w:type="dxa"/>
            <w:shd w:val="clear" w:color="auto" w:fill="auto"/>
            <w:vAlign w:val="center"/>
          </w:tcPr>
          <w:p w14:paraId="46E8B0C0" w14:textId="0697ECB7" w:rsidR="008C68B3" w:rsidRPr="00C53B9C" w:rsidRDefault="006F11FD" w:rsidP="008B2D77">
            <w:pPr>
              <w:spacing w:before="120" w:after="120" w:line="240" w:lineRule="auto"/>
              <w:rPr>
                <w:rFonts w:ascii="Arial" w:hAnsi="Arial"/>
                <w:b w:val="0"/>
                <w:iCs/>
                <w:sz w:val="20"/>
                <w:szCs w:val="20"/>
              </w:rPr>
            </w:pPr>
            <w:r w:rsidRPr="00C53B9C">
              <w:rPr>
                <w:rFonts w:ascii="Arial" w:eastAsia="SimSun" w:hAnsi="Arial"/>
                <w:b w:val="0"/>
                <w:sz w:val="20"/>
                <w:szCs w:val="20"/>
                <w:lang w:eastAsia="zh-CN"/>
              </w:rPr>
              <w:t>Periodically, as required</w:t>
            </w:r>
          </w:p>
        </w:tc>
      </w:tr>
      <w:tr w:rsidR="00F17FE6" w:rsidRPr="00C53B9C" w14:paraId="1BB0BE3E" w14:textId="77777777" w:rsidTr="00423E3E">
        <w:tblPrEx>
          <w:jc w:val="center"/>
        </w:tblPrEx>
        <w:trPr>
          <w:gridAfter w:val="1"/>
          <w:wAfter w:w="18" w:type="dxa"/>
          <w:trHeight w:val="492"/>
          <w:jc w:val="center"/>
        </w:trPr>
        <w:tc>
          <w:tcPr>
            <w:tcW w:w="1838" w:type="dxa"/>
            <w:shd w:val="clear" w:color="auto" w:fill="auto"/>
            <w:vAlign w:val="center"/>
          </w:tcPr>
          <w:p w14:paraId="600B9A8E" w14:textId="1268ADCF" w:rsidR="002A56D2" w:rsidRPr="00C53B9C" w:rsidRDefault="002A56D2" w:rsidP="002A56D2">
            <w:pPr>
              <w:spacing w:before="120" w:after="120" w:line="240" w:lineRule="auto"/>
              <w:rPr>
                <w:rFonts w:ascii="Arial" w:hAnsi="Arial"/>
                <w:b w:val="0"/>
                <w:iCs/>
                <w:sz w:val="20"/>
                <w:szCs w:val="20"/>
              </w:rPr>
            </w:pPr>
            <w:r w:rsidRPr="00C53B9C">
              <w:rPr>
                <w:rFonts w:ascii="Arial" w:hAnsi="Arial"/>
                <w:b w:val="0"/>
                <w:iCs/>
                <w:sz w:val="20"/>
                <w:szCs w:val="20"/>
              </w:rPr>
              <w:t>Programmatic / monitoring and evaluation risks</w:t>
            </w:r>
          </w:p>
        </w:tc>
        <w:tc>
          <w:tcPr>
            <w:tcW w:w="1985" w:type="dxa"/>
            <w:shd w:val="clear" w:color="auto" w:fill="auto"/>
            <w:vAlign w:val="center"/>
          </w:tcPr>
          <w:p w14:paraId="38351107" w14:textId="79502F19" w:rsidR="002A56D2" w:rsidRPr="00C53B9C" w:rsidRDefault="002A56D2" w:rsidP="002A56D2">
            <w:pPr>
              <w:spacing w:before="120" w:after="120" w:line="240" w:lineRule="auto"/>
              <w:rPr>
                <w:rFonts w:ascii="Arial" w:hAnsi="Arial"/>
                <w:b w:val="0"/>
                <w:iCs/>
                <w:sz w:val="20"/>
                <w:szCs w:val="20"/>
              </w:rPr>
            </w:pPr>
            <w:r w:rsidRPr="00C53B9C">
              <w:rPr>
                <w:rFonts w:ascii="Arial" w:hAnsi="Arial"/>
                <w:b w:val="0"/>
                <w:iCs/>
                <w:sz w:val="20"/>
                <w:szCs w:val="20"/>
              </w:rPr>
              <w:t>Material changes in international TB policies / guidelines</w:t>
            </w:r>
          </w:p>
        </w:tc>
        <w:tc>
          <w:tcPr>
            <w:tcW w:w="3685" w:type="dxa"/>
            <w:shd w:val="clear" w:color="auto" w:fill="auto"/>
            <w:vAlign w:val="center"/>
          </w:tcPr>
          <w:p w14:paraId="66DB1268" w14:textId="6A08A205" w:rsidR="002A56D2" w:rsidRPr="00C53B9C" w:rsidRDefault="002A56D2" w:rsidP="002A56D2">
            <w:pPr>
              <w:spacing w:before="120" w:after="120" w:line="240" w:lineRule="auto"/>
              <w:jc w:val="both"/>
              <w:rPr>
                <w:rFonts w:ascii="Arial" w:hAnsi="Arial"/>
                <w:b w:val="0"/>
                <w:iCs/>
                <w:sz w:val="20"/>
                <w:szCs w:val="20"/>
              </w:rPr>
            </w:pPr>
            <w:r w:rsidRPr="00C53B9C">
              <w:rPr>
                <w:rFonts w:ascii="Arial" w:hAnsi="Arial"/>
                <w:b w:val="0"/>
                <w:iCs/>
                <w:sz w:val="20"/>
                <w:szCs w:val="20"/>
              </w:rPr>
              <w:t xml:space="preserve">Consultations with WHO and other international partners; advocacy with MOH and the national TB program; negotiation with TGF Country Team and reprogramming of procurement and other activities, as needed </w:t>
            </w:r>
          </w:p>
        </w:tc>
        <w:tc>
          <w:tcPr>
            <w:tcW w:w="1400" w:type="dxa"/>
            <w:shd w:val="clear" w:color="auto" w:fill="auto"/>
            <w:vAlign w:val="center"/>
          </w:tcPr>
          <w:p w14:paraId="7D5E09F4" w14:textId="103D54A5" w:rsidR="002A56D2" w:rsidRPr="00C53B9C" w:rsidRDefault="002A56D2" w:rsidP="002A56D2">
            <w:pPr>
              <w:spacing w:before="120" w:after="120" w:line="240" w:lineRule="auto"/>
              <w:rPr>
                <w:rFonts w:ascii="Arial" w:hAnsi="Arial"/>
                <w:b w:val="0"/>
                <w:iCs/>
                <w:sz w:val="20"/>
                <w:szCs w:val="20"/>
              </w:rPr>
            </w:pPr>
            <w:r w:rsidRPr="00C53B9C">
              <w:rPr>
                <w:rFonts w:ascii="Arial" w:eastAsia="SimSun" w:hAnsi="Arial"/>
                <w:b w:val="0"/>
                <w:sz w:val="20"/>
                <w:szCs w:val="20"/>
                <w:lang w:eastAsia="zh-CN"/>
              </w:rPr>
              <w:t>Periodically, as required</w:t>
            </w:r>
          </w:p>
        </w:tc>
      </w:tr>
      <w:tr w:rsidR="00F97F0E" w:rsidRPr="00C53B9C" w14:paraId="18C1BAD6" w14:textId="77777777" w:rsidTr="007D0F2F">
        <w:tblPrEx>
          <w:jc w:val="center"/>
        </w:tblPrEx>
        <w:trPr>
          <w:gridAfter w:val="1"/>
          <w:wAfter w:w="18" w:type="dxa"/>
          <w:trHeight w:val="564"/>
          <w:jc w:val="center"/>
        </w:trPr>
        <w:tc>
          <w:tcPr>
            <w:tcW w:w="1838" w:type="dxa"/>
            <w:shd w:val="clear" w:color="auto" w:fill="auto"/>
            <w:vAlign w:val="center"/>
          </w:tcPr>
          <w:p w14:paraId="25777726" w14:textId="77777777" w:rsidR="00F97F0E" w:rsidRPr="00C53B9C" w:rsidRDefault="00F97F0E" w:rsidP="007D0F2F">
            <w:pPr>
              <w:spacing w:before="120" w:after="120" w:line="240" w:lineRule="auto"/>
              <w:rPr>
                <w:rFonts w:ascii="Arial" w:eastAsia="SimSun" w:hAnsi="Arial"/>
                <w:b w:val="0"/>
                <w:sz w:val="20"/>
                <w:szCs w:val="20"/>
                <w:lang w:eastAsia="zh-CN"/>
              </w:rPr>
            </w:pPr>
            <w:r w:rsidRPr="00C53B9C">
              <w:rPr>
                <w:rFonts w:ascii="Arial" w:hAnsi="Arial"/>
                <w:b w:val="0"/>
                <w:iCs/>
                <w:sz w:val="20"/>
                <w:szCs w:val="20"/>
              </w:rPr>
              <w:t>Programmatic / monitoring and evaluation risks</w:t>
            </w:r>
          </w:p>
        </w:tc>
        <w:tc>
          <w:tcPr>
            <w:tcW w:w="1985" w:type="dxa"/>
            <w:shd w:val="clear" w:color="auto" w:fill="auto"/>
            <w:vAlign w:val="center"/>
          </w:tcPr>
          <w:p w14:paraId="7322C30B" w14:textId="77777777" w:rsidR="00F97F0E" w:rsidRPr="00C53B9C" w:rsidRDefault="00F97F0E" w:rsidP="007D0F2F">
            <w:pPr>
              <w:spacing w:before="120" w:after="120" w:line="240" w:lineRule="auto"/>
              <w:rPr>
                <w:rFonts w:ascii="Arial" w:eastAsia="SimSun" w:hAnsi="Arial"/>
                <w:b w:val="0"/>
                <w:sz w:val="20"/>
                <w:szCs w:val="20"/>
                <w:lang w:eastAsia="zh-CN"/>
              </w:rPr>
            </w:pPr>
            <w:r w:rsidRPr="00C53B9C">
              <w:rPr>
                <w:rFonts w:ascii="Arial" w:hAnsi="Arial"/>
                <w:b w:val="0"/>
                <w:iCs/>
                <w:sz w:val="20"/>
                <w:szCs w:val="20"/>
              </w:rPr>
              <w:t>Data quality (NGOs, penitentiary system)</w:t>
            </w:r>
          </w:p>
        </w:tc>
        <w:tc>
          <w:tcPr>
            <w:tcW w:w="3685" w:type="dxa"/>
            <w:shd w:val="clear" w:color="auto" w:fill="auto"/>
            <w:vAlign w:val="center"/>
          </w:tcPr>
          <w:p w14:paraId="17A17FD3" w14:textId="77777777" w:rsidR="00F97F0E" w:rsidRPr="00C53B9C" w:rsidRDefault="00F97F0E" w:rsidP="007D0F2F">
            <w:pPr>
              <w:pStyle w:val="ListParagraph"/>
              <w:numPr>
                <w:ilvl w:val="0"/>
                <w:numId w:val="13"/>
              </w:numPr>
              <w:spacing w:before="120" w:after="120" w:line="240" w:lineRule="auto"/>
              <w:ind w:left="0"/>
              <w:jc w:val="both"/>
              <w:rPr>
                <w:rFonts w:ascii="Arial" w:hAnsi="Arial"/>
                <w:b w:val="0"/>
                <w:iCs/>
                <w:sz w:val="20"/>
                <w:szCs w:val="20"/>
              </w:rPr>
            </w:pPr>
            <w:r w:rsidRPr="00C53B9C">
              <w:rPr>
                <w:rFonts w:ascii="Arial" w:hAnsi="Arial"/>
                <w:b w:val="0"/>
                <w:iCs/>
                <w:sz w:val="20"/>
                <w:szCs w:val="20"/>
              </w:rPr>
              <w:t>Technical assistance, IT support and capacity building in upgrading the information system (National TB Register); supervision / monitoring visits to prisons and NGO project sites; onsite data verifications</w:t>
            </w:r>
          </w:p>
        </w:tc>
        <w:tc>
          <w:tcPr>
            <w:tcW w:w="1400" w:type="dxa"/>
            <w:shd w:val="clear" w:color="auto" w:fill="auto"/>
            <w:vAlign w:val="center"/>
          </w:tcPr>
          <w:p w14:paraId="29B17AD3" w14:textId="77777777" w:rsidR="00F97F0E" w:rsidRPr="00C53B9C" w:rsidRDefault="00F97F0E" w:rsidP="007D0F2F">
            <w:pPr>
              <w:spacing w:before="120" w:after="120" w:line="240" w:lineRule="auto"/>
              <w:rPr>
                <w:rFonts w:ascii="Arial" w:eastAsia="SimSun" w:hAnsi="Arial"/>
                <w:b w:val="0"/>
                <w:sz w:val="20"/>
                <w:szCs w:val="20"/>
                <w:lang w:eastAsia="zh-CN"/>
              </w:rPr>
            </w:pPr>
            <w:r w:rsidRPr="00C53B9C">
              <w:rPr>
                <w:rFonts w:ascii="Arial" w:hAnsi="Arial"/>
                <w:b w:val="0"/>
                <w:iCs/>
                <w:sz w:val="20"/>
                <w:szCs w:val="20"/>
              </w:rPr>
              <w:t xml:space="preserve">Ongoing, according to the project </w:t>
            </w:r>
            <w:proofErr w:type="spellStart"/>
            <w:r w:rsidRPr="00C53B9C">
              <w:rPr>
                <w:rFonts w:ascii="Arial" w:hAnsi="Arial"/>
                <w:b w:val="0"/>
                <w:iCs/>
                <w:sz w:val="20"/>
                <w:szCs w:val="20"/>
              </w:rPr>
              <w:t>workplan</w:t>
            </w:r>
            <w:proofErr w:type="spellEnd"/>
          </w:p>
        </w:tc>
      </w:tr>
      <w:tr w:rsidR="00F17FE6" w:rsidRPr="00C53B9C" w14:paraId="5DD06FE2" w14:textId="77777777" w:rsidTr="00423E3E">
        <w:tblPrEx>
          <w:jc w:val="center"/>
        </w:tblPrEx>
        <w:trPr>
          <w:gridAfter w:val="1"/>
          <w:wAfter w:w="18" w:type="dxa"/>
          <w:trHeight w:val="564"/>
          <w:jc w:val="center"/>
        </w:trPr>
        <w:tc>
          <w:tcPr>
            <w:tcW w:w="1838" w:type="dxa"/>
            <w:shd w:val="clear" w:color="auto" w:fill="auto"/>
            <w:vAlign w:val="center"/>
          </w:tcPr>
          <w:p w14:paraId="11555EB6" w14:textId="3278EB1E" w:rsidR="002A56D2" w:rsidRPr="00C53B9C" w:rsidRDefault="002A56D2" w:rsidP="002A56D2">
            <w:pPr>
              <w:spacing w:before="120" w:after="120" w:line="240" w:lineRule="auto"/>
              <w:rPr>
                <w:rFonts w:ascii="Arial" w:eastAsia="SimSun" w:hAnsi="Arial"/>
                <w:b w:val="0"/>
                <w:sz w:val="20"/>
                <w:szCs w:val="20"/>
                <w:lang w:eastAsia="zh-CN"/>
              </w:rPr>
            </w:pPr>
            <w:r w:rsidRPr="00C53B9C">
              <w:rPr>
                <w:rFonts w:ascii="Arial" w:hAnsi="Arial"/>
                <w:b w:val="0"/>
                <w:iCs/>
                <w:sz w:val="20"/>
                <w:szCs w:val="20"/>
              </w:rPr>
              <w:t>Programmatic / monitoring and evaluation risks</w:t>
            </w:r>
          </w:p>
        </w:tc>
        <w:tc>
          <w:tcPr>
            <w:tcW w:w="1985" w:type="dxa"/>
            <w:shd w:val="clear" w:color="auto" w:fill="auto"/>
            <w:vAlign w:val="center"/>
          </w:tcPr>
          <w:p w14:paraId="131F2ACC" w14:textId="18C58ECB" w:rsidR="002A56D2" w:rsidRPr="00C53B9C" w:rsidRDefault="002A56D2" w:rsidP="002A56D2">
            <w:pPr>
              <w:spacing w:before="120" w:after="120" w:line="240" w:lineRule="auto"/>
              <w:rPr>
                <w:rFonts w:ascii="Arial" w:eastAsia="SimSun" w:hAnsi="Arial"/>
                <w:b w:val="0"/>
                <w:sz w:val="20"/>
                <w:szCs w:val="20"/>
                <w:lang w:eastAsia="zh-CN"/>
              </w:rPr>
            </w:pPr>
            <w:r w:rsidRPr="00C53B9C">
              <w:rPr>
                <w:rFonts w:ascii="Arial" w:eastAsia="SimSun" w:hAnsi="Arial"/>
                <w:b w:val="0"/>
                <w:sz w:val="20"/>
                <w:szCs w:val="20"/>
                <w:lang w:eastAsia="zh-CN"/>
              </w:rPr>
              <w:t>Sustainability (e.g. social contracting)</w:t>
            </w:r>
          </w:p>
        </w:tc>
        <w:tc>
          <w:tcPr>
            <w:tcW w:w="3685" w:type="dxa"/>
            <w:shd w:val="clear" w:color="auto" w:fill="auto"/>
            <w:vAlign w:val="center"/>
          </w:tcPr>
          <w:p w14:paraId="2DB9988F" w14:textId="21BC6E56" w:rsidR="002A56D2" w:rsidRPr="00C53B9C" w:rsidRDefault="002A56D2" w:rsidP="002A56D2">
            <w:pPr>
              <w:spacing w:before="120" w:after="120" w:line="240" w:lineRule="auto"/>
              <w:rPr>
                <w:rFonts w:ascii="Arial" w:hAnsi="Arial"/>
                <w:b w:val="0"/>
                <w:iCs/>
                <w:sz w:val="20"/>
                <w:szCs w:val="20"/>
              </w:rPr>
            </w:pPr>
            <w:r w:rsidRPr="00C53B9C">
              <w:rPr>
                <w:rFonts w:ascii="Arial" w:hAnsi="Arial"/>
                <w:b w:val="0"/>
                <w:iCs/>
                <w:sz w:val="20"/>
                <w:szCs w:val="20"/>
              </w:rPr>
              <w:t xml:space="preserve">Advocacy with the Government at central and regional level through the National Stop TB Partnership and other platforms; technical support for </w:t>
            </w:r>
            <w:r w:rsidRPr="00C53B9C">
              <w:rPr>
                <w:rFonts w:ascii="Arial" w:hAnsi="Arial"/>
                <w:b w:val="0"/>
                <w:iCs/>
                <w:sz w:val="20"/>
                <w:szCs w:val="20"/>
              </w:rPr>
              <w:lastRenderedPageBreak/>
              <w:t>estimating costs of NGO services provision and budget planning; capacity building for NGOs; experience sharing activities and dissemination of best practices</w:t>
            </w:r>
          </w:p>
        </w:tc>
        <w:tc>
          <w:tcPr>
            <w:tcW w:w="1400" w:type="dxa"/>
            <w:shd w:val="clear" w:color="auto" w:fill="auto"/>
            <w:vAlign w:val="center"/>
          </w:tcPr>
          <w:p w14:paraId="441E69DF" w14:textId="5F9B2255" w:rsidR="002A56D2" w:rsidRPr="00C53B9C" w:rsidRDefault="00F17FE6" w:rsidP="002A56D2">
            <w:pPr>
              <w:spacing w:before="120" w:after="120" w:line="240" w:lineRule="auto"/>
              <w:rPr>
                <w:rFonts w:ascii="Arial" w:eastAsia="SimSun" w:hAnsi="Arial"/>
                <w:b w:val="0"/>
                <w:sz w:val="20"/>
                <w:szCs w:val="20"/>
                <w:lang w:eastAsia="zh-CN"/>
              </w:rPr>
            </w:pPr>
            <w:r w:rsidRPr="00C53B9C">
              <w:rPr>
                <w:rFonts w:ascii="Arial" w:hAnsi="Arial"/>
                <w:b w:val="0"/>
                <w:iCs/>
                <w:sz w:val="20"/>
                <w:szCs w:val="20"/>
              </w:rPr>
              <w:lastRenderedPageBreak/>
              <w:t xml:space="preserve">Ongoing, </w:t>
            </w:r>
            <w:r w:rsidR="002A56D2" w:rsidRPr="00C53B9C">
              <w:rPr>
                <w:rFonts w:ascii="Arial" w:hAnsi="Arial"/>
                <w:b w:val="0"/>
                <w:iCs/>
                <w:sz w:val="20"/>
                <w:szCs w:val="20"/>
              </w:rPr>
              <w:t>ac</w:t>
            </w:r>
            <w:r w:rsidRPr="00C53B9C">
              <w:rPr>
                <w:rFonts w:ascii="Arial" w:hAnsi="Arial"/>
                <w:b w:val="0"/>
                <w:iCs/>
                <w:sz w:val="20"/>
                <w:szCs w:val="20"/>
              </w:rPr>
              <w:t xml:space="preserve">cording to the project </w:t>
            </w:r>
            <w:proofErr w:type="spellStart"/>
            <w:r w:rsidRPr="00C53B9C">
              <w:rPr>
                <w:rFonts w:ascii="Arial" w:hAnsi="Arial"/>
                <w:b w:val="0"/>
                <w:iCs/>
                <w:sz w:val="20"/>
                <w:szCs w:val="20"/>
              </w:rPr>
              <w:t>workplan</w:t>
            </w:r>
            <w:proofErr w:type="spellEnd"/>
          </w:p>
        </w:tc>
      </w:tr>
      <w:tr w:rsidR="00F17FE6" w:rsidRPr="00C53B9C" w14:paraId="18748C81" w14:textId="77777777" w:rsidTr="00423E3E">
        <w:tblPrEx>
          <w:jc w:val="center"/>
        </w:tblPrEx>
        <w:trPr>
          <w:gridAfter w:val="1"/>
          <w:wAfter w:w="18" w:type="dxa"/>
          <w:trHeight w:val="556"/>
          <w:jc w:val="center"/>
        </w:trPr>
        <w:tc>
          <w:tcPr>
            <w:tcW w:w="1838" w:type="dxa"/>
            <w:shd w:val="clear" w:color="auto" w:fill="auto"/>
            <w:vAlign w:val="center"/>
          </w:tcPr>
          <w:p w14:paraId="16497D2B" w14:textId="77777777" w:rsidR="00F17FE6" w:rsidRPr="00C53B9C" w:rsidRDefault="00F17FE6" w:rsidP="007D0F2F">
            <w:pPr>
              <w:spacing w:before="120" w:after="120" w:line="240" w:lineRule="auto"/>
              <w:rPr>
                <w:rFonts w:ascii="Arial" w:hAnsi="Arial"/>
                <w:b w:val="0"/>
                <w:bCs/>
                <w:iCs/>
                <w:sz w:val="20"/>
                <w:szCs w:val="20"/>
              </w:rPr>
            </w:pPr>
            <w:r w:rsidRPr="00C53B9C">
              <w:rPr>
                <w:rFonts w:ascii="Arial" w:hAnsi="Arial"/>
                <w:b w:val="0"/>
                <w:iCs/>
                <w:sz w:val="20"/>
                <w:szCs w:val="20"/>
              </w:rPr>
              <w:lastRenderedPageBreak/>
              <w:t>Financial risks</w:t>
            </w:r>
          </w:p>
        </w:tc>
        <w:tc>
          <w:tcPr>
            <w:tcW w:w="1985" w:type="dxa"/>
            <w:shd w:val="clear" w:color="auto" w:fill="auto"/>
            <w:vAlign w:val="center"/>
          </w:tcPr>
          <w:p w14:paraId="1C538914" w14:textId="77777777" w:rsidR="00F17FE6" w:rsidRPr="00C53B9C" w:rsidRDefault="00F17FE6" w:rsidP="007D0F2F">
            <w:pPr>
              <w:spacing w:before="120" w:after="120" w:line="240" w:lineRule="auto"/>
              <w:rPr>
                <w:rFonts w:ascii="Arial" w:eastAsia="SimSun" w:hAnsi="Arial"/>
                <w:b w:val="0"/>
                <w:sz w:val="20"/>
                <w:szCs w:val="20"/>
                <w:lang w:eastAsia="zh-CN"/>
              </w:rPr>
            </w:pPr>
            <w:r w:rsidRPr="00C53B9C">
              <w:rPr>
                <w:rFonts w:ascii="Arial" w:hAnsi="Arial"/>
                <w:b w:val="0"/>
                <w:iCs/>
                <w:sz w:val="20"/>
                <w:szCs w:val="20"/>
              </w:rPr>
              <w:t>Low absorption of grant funds</w:t>
            </w:r>
          </w:p>
        </w:tc>
        <w:tc>
          <w:tcPr>
            <w:tcW w:w="3685" w:type="dxa"/>
            <w:shd w:val="clear" w:color="auto" w:fill="auto"/>
            <w:vAlign w:val="center"/>
          </w:tcPr>
          <w:p w14:paraId="4BBE8F6B" w14:textId="77777777" w:rsidR="00F17FE6" w:rsidRPr="00C53B9C" w:rsidRDefault="00F17FE6" w:rsidP="007D0F2F">
            <w:pPr>
              <w:spacing w:before="120" w:after="120" w:line="240" w:lineRule="auto"/>
              <w:jc w:val="both"/>
              <w:rPr>
                <w:rFonts w:ascii="Arial" w:hAnsi="Arial"/>
                <w:b w:val="0"/>
                <w:iCs/>
                <w:sz w:val="20"/>
                <w:szCs w:val="20"/>
              </w:rPr>
            </w:pPr>
            <w:r w:rsidRPr="00C53B9C">
              <w:rPr>
                <w:rFonts w:ascii="Arial" w:hAnsi="Arial"/>
                <w:b w:val="0"/>
                <w:iCs/>
                <w:sz w:val="20"/>
                <w:szCs w:val="20"/>
              </w:rPr>
              <w:t>Strict observation of TGF procurement and financial guidelines for PRs; regular systematic evaluation of grant funds’ utilization by the PR; estimation of savings and non-utilization and identification of potential reallocation options; negotiation of reprogramming the activities with TGF Country Team</w:t>
            </w:r>
          </w:p>
        </w:tc>
        <w:tc>
          <w:tcPr>
            <w:tcW w:w="1400" w:type="dxa"/>
            <w:shd w:val="clear" w:color="auto" w:fill="auto"/>
            <w:vAlign w:val="center"/>
          </w:tcPr>
          <w:p w14:paraId="6890DCD3" w14:textId="77777777" w:rsidR="00F17FE6" w:rsidRPr="00C53B9C" w:rsidRDefault="00F17FE6" w:rsidP="007D0F2F">
            <w:pPr>
              <w:spacing w:before="120" w:after="120" w:line="240" w:lineRule="auto"/>
              <w:rPr>
                <w:rFonts w:ascii="Arial" w:eastAsia="SimSun" w:hAnsi="Arial"/>
                <w:b w:val="0"/>
                <w:sz w:val="20"/>
                <w:szCs w:val="20"/>
                <w:lang w:eastAsia="zh-CN"/>
              </w:rPr>
            </w:pPr>
            <w:r w:rsidRPr="00C53B9C">
              <w:rPr>
                <w:rFonts w:ascii="Arial" w:hAnsi="Arial"/>
                <w:b w:val="0"/>
                <w:iCs/>
                <w:sz w:val="20"/>
                <w:szCs w:val="20"/>
              </w:rPr>
              <w:t>Ongoing</w:t>
            </w:r>
          </w:p>
        </w:tc>
      </w:tr>
    </w:tbl>
    <w:p w14:paraId="41AFE1A3" w14:textId="4C0A6BE5" w:rsidR="00585E4F" w:rsidRPr="00C53B9C" w:rsidRDefault="00585E4F">
      <w:pPr>
        <w:spacing w:after="0" w:line="240" w:lineRule="auto"/>
        <w:rPr>
          <w:rFonts w:ascii="Arial" w:hAnsi="Arial"/>
          <w:sz w:val="20"/>
          <w:szCs w:val="20"/>
        </w:rPr>
      </w:pPr>
    </w:p>
    <w:p w14:paraId="46DA15B8" w14:textId="77777777" w:rsidR="00D374B7" w:rsidRPr="00C53B9C" w:rsidRDefault="00D374B7">
      <w:pPr>
        <w:spacing w:after="0" w:line="240" w:lineRule="auto"/>
        <w:rPr>
          <w:rFonts w:ascii="Arial" w:hAnsi="Arial"/>
          <w:sz w:val="20"/>
          <w:szCs w:val="20"/>
        </w:rPr>
      </w:pPr>
    </w:p>
    <w:tbl>
      <w:tblPr>
        <w:tblW w:w="892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926"/>
      </w:tblGrid>
      <w:tr w:rsidR="00F87AEE" w:rsidRPr="00C53B9C" w14:paraId="4B48B077" w14:textId="77777777" w:rsidTr="00833796">
        <w:trPr>
          <w:trHeight w:val="409"/>
          <w:jc w:val="center"/>
        </w:trPr>
        <w:tc>
          <w:tcPr>
            <w:tcW w:w="8926" w:type="dxa"/>
            <w:shd w:val="clear" w:color="auto" w:fill="1F497D"/>
            <w:vAlign w:val="center"/>
          </w:tcPr>
          <w:p w14:paraId="3EEDFE7C" w14:textId="77777777" w:rsidR="00F87AEE" w:rsidRPr="00C53B9C" w:rsidRDefault="00F87AEE" w:rsidP="00F87AEE">
            <w:pPr>
              <w:spacing w:after="0" w:line="240" w:lineRule="auto"/>
              <w:rPr>
                <w:rFonts w:ascii="Arial" w:hAnsi="Arial"/>
                <w:bCs/>
                <w:color w:val="FFFFFF"/>
                <w:sz w:val="20"/>
                <w:szCs w:val="20"/>
              </w:rPr>
            </w:pPr>
            <w:r w:rsidRPr="00C53B9C">
              <w:rPr>
                <w:rFonts w:ascii="Arial" w:eastAsia="SimSun" w:hAnsi="Arial"/>
                <w:color w:val="FFFFFF"/>
                <w:sz w:val="20"/>
                <w:szCs w:val="20"/>
                <w:lang w:eastAsia="zh-CN"/>
              </w:rPr>
              <w:t>SECTION 4: FUNDING LANDSCAPE, CO-FINANCING AND SUSTAINABILITY</w:t>
            </w:r>
          </w:p>
        </w:tc>
      </w:tr>
      <w:tr w:rsidR="00F87AEE" w:rsidRPr="00C53B9C" w14:paraId="2645AE41" w14:textId="77777777" w:rsidTr="00C53B9C">
        <w:trPr>
          <w:trHeight w:val="1071"/>
          <w:jc w:val="center"/>
        </w:trPr>
        <w:tc>
          <w:tcPr>
            <w:tcW w:w="8926" w:type="dxa"/>
            <w:shd w:val="clear" w:color="auto" w:fill="F2F2F2" w:themeFill="background1" w:themeFillShade="F2"/>
            <w:vAlign w:val="center"/>
          </w:tcPr>
          <w:p w14:paraId="3EA6A1C4" w14:textId="6B6CDD17" w:rsidR="00F87AEE" w:rsidRPr="00C53B9C" w:rsidRDefault="00F87AEE" w:rsidP="00C53B9C">
            <w:pPr>
              <w:spacing w:before="120" w:after="120" w:line="240" w:lineRule="auto"/>
              <w:jc w:val="both"/>
              <w:rPr>
                <w:rFonts w:ascii="Arial" w:hAnsi="Arial"/>
                <w:b w:val="0"/>
                <w:bCs/>
                <w:iCs/>
                <w:sz w:val="20"/>
                <w:szCs w:val="20"/>
              </w:rPr>
            </w:pPr>
            <w:r w:rsidRPr="00C53B9C">
              <w:rPr>
                <w:rFonts w:ascii="Arial" w:hAnsi="Arial"/>
                <w:b w:val="0"/>
                <w:bCs/>
                <w:iCs/>
                <w:sz w:val="20"/>
                <w:szCs w:val="20"/>
              </w:rPr>
              <w:t xml:space="preserve">This section details trends in overall health financing, government commitments to co-financing, and key plans for sustainability. </w:t>
            </w:r>
          </w:p>
          <w:p w14:paraId="68219563" w14:textId="77777777" w:rsidR="009E3336" w:rsidRPr="00C53B9C" w:rsidRDefault="00F87AEE" w:rsidP="00C53B9C">
            <w:pPr>
              <w:spacing w:before="120" w:after="120" w:line="240" w:lineRule="auto"/>
              <w:rPr>
                <w:rFonts w:ascii="Arial" w:hAnsi="Arial"/>
                <w:b w:val="0"/>
                <w:bCs/>
                <w:iCs/>
                <w:sz w:val="20"/>
                <w:szCs w:val="20"/>
              </w:rPr>
            </w:pPr>
            <w:r w:rsidRPr="00C53B9C">
              <w:rPr>
                <w:rFonts w:ascii="Arial" w:hAnsi="Arial"/>
                <w:bCs/>
                <w:iCs/>
                <w:sz w:val="20"/>
                <w:szCs w:val="20"/>
              </w:rPr>
              <w:t xml:space="preserve">Refer the Funding Landscape Table(s) </w:t>
            </w:r>
            <w:r w:rsidRPr="00C53B9C">
              <w:rPr>
                <w:rFonts w:ascii="Arial" w:hAnsi="Arial"/>
                <w:b w:val="0"/>
                <w:bCs/>
                <w:iCs/>
                <w:sz w:val="20"/>
                <w:szCs w:val="20"/>
              </w:rPr>
              <w:t>and supporting documents as applicable.</w:t>
            </w:r>
            <w:r w:rsidR="009E3336" w:rsidRPr="00C53B9C">
              <w:rPr>
                <w:rFonts w:ascii="Arial" w:hAnsi="Arial"/>
                <w:b w:val="0"/>
                <w:bCs/>
                <w:iCs/>
                <w:sz w:val="20"/>
                <w:szCs w:val="20"/>
              </w:rPr>
              <w:t xml:space="preserve"> </w:t>
            </w:r>
          </w:p>
          <w:p w14:paraId="146CA013" w14:textId="1068CA0B" w:rsidR="00F87AEE" w:rsidRPr="00C53B9C" w:rsidRDefault="00F87AEE" w:rsidP="00C53B9C">
            <w:pPr>
              <w:spacing w:before="120" w:after="120" w:line="240" w:lineRule="auto"/>
              <w:rPr>
                <w:rFonts w:ascii="Arial" w:hAnsi="Arial"/>
                <w:b w:val="0"/>
                <w:bCs/>
                <w:iCs/>
                <w:sz w:val="20"/>
                <w:szCs w:val="20"/>
              </w:rPr>
            </w:pPr>
            <w:r w:rsidRPr="00C53B9C">
              <w:rPr>
                <w:rFonts w:ascii="Arial" w:hAnsi="Arial"/>
                <w:b w:val="0"/>
                <w:bCs/>
                <w:iCs/>
                <w:sz w:val="20"/>
                <w:szCs w:val="20"/>
              </w:rPr>
              <w:t xml:space="preserve">To respond, refer to </w:t>
            </w:r>
            <w:r w:rsidR="001A43EA" w:rsidRPr="00C53B9C">
              <w:rPr>
                <w:rFonts w:ascii="Arial" w:hAnsi="Arial"/>
                <w:b w:val="0"/>
                <w:bCs/>
                <w:iCs/>
                <w:sz w:val="20"/>
                <w:szCs w:val="20"/>
              </w:rPr>
              <w:t xml:space="preserve">additional </w:t>
            </w:r>
            <w:r w:rsidRPr="00C53B9C">
              <w:rPr>
                <w:rFonts w:ascii="Arial" w:hAnsi="Arial"/>
                <w:b w:val="0"/>
                <w:bCs/>
                <w:iCs/>
                <w:sz w:val="20"/>
                <w:szCs w:val="20"/>
              </w:rPr>
              <w:t xml:space="preserve">guidance provided in the </w:t>
            </w:r>
            <w:r w:rsidRPr="00C53B9C">
              <w:rPr>
                <w:rFonts w:ascii="Arial" w:hAnsi="Arial"/>
                <w:b w:val="0"/>
                <w:bCs/>
                <w:i/>
                <w:iCs/>
                <w:sz w:val="20"/>
                <w:szCs w:val="20"/>
              </w:rPr>
              <w:t>Instructions</w:t>
            </w:r>
            <w:r w:rsidR="000D4A2D" w:rsidRPr="00C53B9C">
              <w:rPr>
                <w:rFonts w:ascii="Arial" w:hAnsi="Arial"/>
                <w:b w:val="0"/>
                <w:bCs/>
                <w:i/>
                <w:iCs/>
                <w:sz w:val="20"/>
                <w:szCs w:val="20"/>
              </w:rPr>
              <w:t>.</w:t>
            </w:r>
          </w:p>
        </w:tc>
      </w:tr>
    </w:tbl>
    <w:p w14:paraId="5A3AB3AD" w14:textId="77777777" w:rsidR="00F87AEE" w:rsidRPr="00C53B9C" w:rsidRDefault="00F87AEE" w:rsidP="00F87AEE">
      <w:pPr>
        <w:spacing w:after="160" w:line="259" w:lineRule="auto"/>
        <w:rPr>
          <w:rFonts w:ascii="Arial" w:hAnsi="Arial"/>
          <w:b w:val="0"/>
          <w:sz w:val="8"/>
          <w:szCs w:val="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42" w:type="dxa"/>
          <w:right w:w="142" w:type="dxa"/>
        </w:tblCellMar>
        <w:tblLook w:val="01E0" w:firstRow="1" w:lastRow="1" w:firstColumn="1" w:lastColumn="1" w:noHBand="0" w:noVBand="0"/>
      </w:tblPr>
      <w:tblGrid>
        <w:gridCol w:w="6796"/>
        <w:gridCol w:w="2096"/>
      </w:tblGrid>
      <w:tr w:rsidR="00F87AEE" w:rsidRPr="00C53B9C" w14:paraId="769C3690" w14:textId="77777777" w:rsidTr="0048135A">
        <w:trPr>
          <w:trHeight w:val="256"/>
          <w:jc w:val="center"/>
        </w:trPr>
        <w:tc>
          <w:tcPr>
            <w:tcW w:w="8892" w:type="dxa"/>
            <w:gridSpan w:val="2"/>
            <w:shd w:val="clear" w:color="auto" w:fill="C6D9F1" w:themeFill="text2" w:themeFillTint="33"/>
            <w:vAlign w:val="center"/>
          </w:tcPr>
          <w:p w14:paraId="190BD94E" w14:textId="77777777" w:rsidR="00F87AEE" w:rsidRPr="00C53B9C" w:rsidRDefault="00F87AEE" w:rsidP="00F87AEE">
            <w:pPr>
              <w:spacing w:before="120" w:after="120" w:line="240" w:lineRule="auto"/>
              <w:jc w:val="both"/>
              <w:rPr>
                <w:rFonts w:ascii="Arial" w:eastAsia="SimSun" w:hAnsi="Arial"/>
                <w:sz w:val="20"/>
                <w:szCs w:val="20"/>
                <w:lang w:eastAsia="zh-CN"/>
              </w:rPr>
            </w:pPr>
            <w:r w:rsidRPr="00C53B9C">
              <w:rPr>
                <w:rFonts w:ascii="Arial" w:eastAsia="SimSun" w:hAnsi="Arial"/>
                <w:sz w:val="20"/>
                <w:szCs w:val="20"/>
                <w:lang w:eastAsia="zh-CN"/>
              </w:rPr>
              <w:t xml:space="preserve">4.1 Funding Landscape and Co-financing </w:t>
            </w:r>
          </w:p>
        </w:tc>
      </w:tr>
      <w:tr w:rsidR="00F87AEE" w:rsidRPr="00C53B9C" w14:paraId="641B7194" w14:textId="77777777" w:rsidTr="00C53B9C">
        <w:trPr>
          <w:trHeight w:val="874"/>
          <w:jc w:val="center"/>
        </w:trPr>
        <w:tc>
          <w:tcPr>
            <w:tcW w:w="6796" w:type="dxa"/>
            <w:shd w:val="clear" w:color="auto" w:fill="F2F2F2"/>
            <w:vAlign w:val="center"/>
          </w:tcPr>
          <w:p w14:paraId="61E6191D" w14:textId="77777777" w:rsidR="00F87AEE" w:rsidRPr="00C53B9C" w:rsidRDefault="00F87AEE" w:rsidP="0061696C">
            <w:pPr>
              <w:numPr>
                <w:ilvl w:val="0"/>
                <w:numId w:val="6"/>
              </w:numPr>
              <w:spacing w:before="120" w:after="120" w:line="240" w:lineRule="auto"/>
              <w:ind w:left="276" w:hanging="284"/>
              <w:contextualSpacing/>
              <w:jc w:val="both"/>
              <w:rPr>
                <w:rFonts w:ascii="Arial" w:eastAsia="SimSun" w:hAnsi="Arial"/>
                <w:b w:val="0"/>
                <w:sz w:val="20"/>
                <w:szCs w:val="20"/>
                <w:lang w:eastAsia="zh-CN"/>
              </w:rPr>
            </w:pPr>
            <w:r w:rsidRPr="00C53B9C">
              <w:rPr>
                <w:rFonts w:ascii="Arial" w:eastAsia="SimSun" w:hAnsi="Arial"/>
                <w:b w:val="0"/>
                <w:sz w:val="20"/>
                <w:szCs w:val="20"/>
                <w:lang w:eastAsia="zh-CN"/>
              </w:rPr>
              <w:t xml:space="preserve">Are there any </w:t>
            </w:r>
            <w:r w:rsidRPr="00C53B9C">
              <w:rPr>
                <w:rFonts w:ascii="Arial" w:hAnsi="Arial"/>
                <w:b w:val="0"/>
                <w:sz w:val="20"/>
                <w:szCs w:val="20"/>
              </w:rPr>
              <w:t xml:space="preserve">current and/or planned actions or reforms to increase domestic resources for health as well as to enable greater efficiency and effectiveness of health spending? </w:t>
            </w:r>
            <w:r w:rsidRPr="00C53B9C">
              <w:rPr>
                <w:rFonts w:ascii="Arial" w:hAnsi="Arial"/>
                <w:sz w:val="20"/>
                <w:szCs w:val="20"/>
              </w:rPr>
              <w:t xml:space="preserve">If yes, </w:t>
            </w:r>
            <w:r w:rsidRPr="00C53B9C">
              <w:rPr>
                <w:rFonts w:ascii="Arial" w:hAnsi="Arial"/>
                <w:b w:val="0"/>
                <w:sz w:val="20"/>
                <w:szCs w:val="20"/>
              </w:rPr>
              <w:t xml:space="preserve">provide details below. </w:t>
            </w:r>
          </w:p>
        </w:tc>
        <w:tc>
          <w:tcPr>
            <w:tcW w:w="2096" w:type="dxa"/>
            <w:shd w:val="clear" w:color="auto" w:fill="auto"/>
            <w:vAlign w:val="center"/>
          </w:tcPr>
          <w:p w14:paraId="535E4F77" w14:textId="10620F10" w:rsidR="00F87AEE" w:rsidRPr="00C53B9C" w:rsidRDefault="00D26022" w:rsidP="00F87AEE">
            <w:pPr>
              <w:spacing w:before="120" w:after="120" w:line="240" w:lineRule="auto"/>
              <w:jc w:val="both"/>
              <w:rPr>
                <w:rFonts w:ascii="Arial" w:eastAsia="SimSun" w:hAnsi="Arial"/>
                <w:sz w:val="20"/>
                <w:szCs w:val="20"/>
                <w:lang w:eastAsia="zh-CN"/>
              </w:rPr>
            </w:pPr>
            <w:sdt>
              <w:sdtPr>
                <w:rPr>
                  <w:rFonts w:ascii="Arial" w:hAnsi="Arial"/>
                  <w:bCs/>
                  <w:iCs/>
                  <w:sz w:val="20"/>
                  <w:szCs w:val="20"/>
                </w:rPr>
                <w:id w:val="-824042536"/>
                <w14:checkbox>
                  <w14:checked w14:val="1"/>
                  <w14:checkedState w14:val="2612" w14:font="MS Gothic"/>
                  <w14:uncheckedState w14:val="2610" w14:font="MS Gothic"/>
                </w14:checkbox>
              </w:sdtPr>
              <w:sdtEndPr/>
              <w:sdtContent>
                <w:r w:rsidR="00423E3E" w:rsidRPr="00C53B9C">
                  <w:rPr>
                    <w:rFonts w:ascii="MS Gothic" w:eastAsia="MS Gothic" w:hAnsi="MS Gothic"/>
                    <w:bCs/>
                    <w:iCs/>
                    <w:sz w:val="20"/>
                    <w:szCs w:val="20"/>
                  </w:rPr>
                  <w:t>☒</w:t>
                </w:r>
              </w:sdtContent>
            </w:sdt>
            <w:r w:rsidR="00F87AEE" w:rsidRPr="00C53B9C">
              <w:rPr>
                <w:rFonts w:ascii="Arial" w:hAnsi="Arial"/>
                <w:bCs/>
                <w:iCs/>
                <w:sz w:val="20"/>
                <w:szCs w:val="20"/>
              </w:rPr>
              <w:t xml:space="preserve"> Yes</w:t>
            </w:r>
            <w:r w:rsidR="00F87AEE" w:rsidRPr="00C53B9C">
              <w:rPr>
                <w:rFonts w:ascii="Arial" w:hAnsi="Arial"/>
                <w:b w:val="0"/>
                <w:bCs/>
                <w:iCs/>
                <w:sz w:val="20"/>
                <w:szCs w:val="20"/>
              </w:rPr>
              <w:t xml:space="preserve">         </w:t>
            </w:r>
            <w:sdt>
              <w:sdtPr>
                <w:rPr>
                  <w:rFonts w:ascii="Arial" w:hAnsi="Arial"/>
                  <w:b w:val="0"/>
                  <w:bCs/>
                  <w:iCs/>
                  <w:sz w:val="20"/>
                  <w:szCs w:val="20"/>
                </w:rPr>
                <w:id w:val="-2037491241"/>
                <w14:checkbox>
                  <w14:checked w14:val="0"/>
                  <w14:checkedState w14:val="2612" w14:font="MS Gothic"/>
                  <w14:uncheckedState w14:val="2610" w14:font="MS Gothic"/>
                </w14:checkbox>
              </w:sdtPr>
              <w:sdtEndPr/>
              <w:sdtContent>
                <w:r w:rsidR="00F87AEE" w:rsidRPr="00C53B9C">
                  <w:rPr>
                    <w:rFonts w:ascii="Segoe UI Symbol" w:hAnsi="Segoe UI Symbol" w:cs="Segoe UI Symbol"/>
                    <w:b w:val="0"/>
                    <w:bCs/>
                    <w:iCs/>
                    <w:sz w:val="20"/>
                    <w:szCs w:val="20"/>
                  </w:rPr>
                  <w:t>☐</w:t>
                </w:r>
              </w:sdtContent>
            </w:sdt>
            <w:r w:rsidR="00F87AEE" w:rsidRPr="00C53B9C">
              <w:rPr>
                <w:rFonts w:ascii="Arial" w:hAnsi="Arial"/>
                <w:b w:val="0"/>
                <w:bCs/>
                <w:iCs/>
                <w:sz w:val="20"/>
                <w:szCs w:val="20"/>
              </w:rPr>
              <w:t xml:space="preserve"> No</w:t>
            </w:r>
          </w:p>
        </w:tc>
      </w:tr>
      <w:tr w:rsidR="00F87AEE" w:rsidRPr="00C53B9C" w14:paraId="06DF0FEE" w14:textId="77777777" w:rsidTr="00C53B9C">
        <w:trPr>
          <w:trHeight w:val="844"/>
          <w:jc w:val="center"/>
        </w:trPr>
        <w:tc>
          <w:tcPr>
            <w:tcW w:w="6796" w:type="dxa"/>
            <w:shd w:val="clear" w:color="auto" w:fill="F2F2F2"/>
            <w:vAlign w:val="center"/>
          </w:tcPr>
          <w:p w14:paraId="0BE12372" w14:textId="5B48E044" w:rsidR="00F87AEE" w:rsidRPr="00C53B9C" w:rsidRDefault="00F87AEE" w:rsidP="0061696C">
            <w:pPr>
              <w:numPr>
                <w:ilvl w:val="0"/>
                <w:numId w:val="6"/>
              </w:numPr>
              <w:spacing w:before="120" w:after="120" w:line="240" w:lineRule="auto"/>
              <w:ind w:left="276" w:hanging="284"/>
              <w:contextualSpacing/>
              <w:jc w:val="both"/>
              <w:rPr>
                <w:rFonts w:ascii="Arial" w:eastAsia="SimSun" w:hAnsi="Arial"/>
                <w:b w:val="0"/>
                <w:sz w:val="20"/>
                <w:szCs w:val="20"/>
                <w:lang w:eastAsia="zh-CN"/>
              </w:rPr>
            </w:pPr>
            <w:r w:rsidRPr="00C53B9C">
              <w:rPr>
                <w:rFonts w:ascii="Arial" w:eastAsia="SimSun" w:hAnsi="Arial"/>
                <w:b w:val="0"/>
                <w:sz w:val="20"/>
                <w:szCs w:val="20"/>
                <w:lang w:eastAsia="zh-CN"/>
              </w:rPr>
              <w:t>Is t</w:t>
            </w:r>
            <w:r w:rsidRPr="00C53B9C">
              <w:rPr>
                <w:rFonts w:ascii="Arial" w:hAnsi="Arial"/>
                <w:b w:val="0"/>
                <w:bCs/>
                <w:sz w:val="20"/>
                <w:szCs w:val="20"/>
              </w:rPr>
              <w:t xml:space="preserve">his current application requesting Global Fund support for developing a health financing strategy and/or implementing health-financing reforms? </w:t>
            </w:r>
            <w:r w:rsidRPr="00C53B9C">
              <w:rPr>
                <w:rFonts w:ascii="Arial" w:hAnsi="Arial"/>
                <w:bCs/>
                <w:sz w:val="20"/>
                <w:szCs w:val="20"/>
              </w:rPr>
              <w:t xml:space="preserve">If yes, </w:t>
            </w:r>
            <w:r w:rsidRPr="00C53B9C">
              <w:rPr>
                <w:rFonts w:ascii="Arial" w:hAnsi="Arial"/>
                <w:b w:val="0"/>
                <w:bCs/>
                <w:sz w:val="20"/>
                <w:szCs w:val="20"/>
              </w:rPr>
              <w:t xml:space="preserve">provide a brief </w:t>
            </w:r>
            <w:r w:rsidR="000E3C0C" w:rsidRPr="00C53B9C">
              <w:rPr>
                <w:rFonts w:ascii="Arial" w:hAnsi="Arial"/>
                <w:b w:val="0"/>
                <w:bCs/>
                <w:sz w:val="20"/>
                <w:szCs w:val="20"/>
              </w:rPr>
              <w:t>description</w:t>
            </w:r>
            <w:r w:rsidRPr="00C53B9C">
              <w:rPr>
                <w:rFonts w:ascii="Arial" w:hAnsi="Arial"/>
                <w:b w:val="0"/>
                <w:bCs/>
                <w:sz w:val="20"/>
                <w:szCs w:val="20"/>
              </w:rPr>
              <w:t xml:space="preserve"> below. </w:t>
            </w:r>
          </w:p>
        </w:tc>
        <w:tc>
          <w:tcPr>
            <w:tcW w:w="2096" w:type="dxa"/>
            <w:shd w:val="clear" w:color="auto" w:fill="auto"/>
            <w:vAlign w:val="center"/>
          </w:tcPr>
          <w:p w14:paraId="5719765F" w14:textId="0F1415CC" w:rsidR="00F87AEE" w:rsidRPr="00C53B9C" w:rsidRDefault="00D26022" w:rsidP="00F87AEE">
            <w:pPr>
              <w:spacing w:before="120" w:after="120" w:line="240" w:lineRule="auto"/>
              <w:jc w:val="both"/>
              <w:rPr>
                <w:rFonts w:ascii="Arial" w:hAnsi="Arial"/>
                <w:b w:val="0"/>
                <w:bCs/>
                <w:iCs/>
                <w:sz w:val="20"/>
                <w:szCs w:val="20"/>
              </w:rPr>
            </w:pPr>
            <w:sdt>
              <w:sdtPr>
                <w:rPr>
                  <w:rFonts w:ascii="Arial" w:hAnsi="Arial"/>
                  <w:b w:val="0"/>
                  <w:bCs/>
                  <w:iCs/>
                  <w:sz w:val="20"/>
                  <w:szCs w:val="20"/>
                </w:rPr>
                <w:id w:val="791858774"/>
                <w14:checkbox>
                  <w14:checked w14:val="0"/>
                  <w14:checkedState w14:val="2612" w14:font="MS Gothic"/>
                  <w14:uncheckedState w14:val="2610" w14:font="MS Gothic"/>
                </w14:checkbox>
              </w:sdtPr>
              <w:sdtEndPr/>
              <w:sdtContent>
                <w:r w:rsidR="00AC3CEE" w:rsidRPr="00C53B9C">
                  <w:rPr>
                    <w:rFonts w:ascii="MS Gothic" w:eastAsia="MS Gothic" w:hAnsi="MS Gothic"/>
                    <w:b w:val="0"/>
                    <w:bCs/>
                    <w:iCs/>
                    <w:sz w:val="20"/>
                    <w:szCs w:val="20"/>
                  </w:rPr>
                  <w:t>☐</w:t>
                </w:r>
              </w:sdtContent>
            </w:sdt>
            <w:r w:rsidR="00F87AEE" w:rsidRPr="00C53B9C">
              <w:rPr>
                <w:rFonts w:ascii="Arial" w:hAnsi="Arial"/>
                <w:b w:val="0"/>
                <w:bCs/>
                <w:iCs/>
                <w:sz w:val="20"/>
                <w:szCs w:val="20"/>
              </w:rPr>
              <w:t xml:space="preserve"> Yes         </w:t>
            </w:r>
            <w:sdt>
              <w:sdtPr>
                <w:rPr>
                  <w:rFonts w:ascii="Arial" w:hAnsi="Arial"/>
                  <w:bCs/>
                  <w:iCs/>
                  <w:sz w:val="20"/>
                  <w:szCs w:val="20"/>
                </w:rPr>
                <w:id w:val="509962073"/>
                <w14:checkbox>
                  <w14:checked w14:val="1"/>
                  <w14:checkedState w14:val="2612" w14:font="MS Gothic"/>
                  <w14:uncheckedState w14:val="2610" w14:font="MS Gothic"/>
                </w14:checkbox>
              </w:sdtPr>
              <w:sdtEndPr/>
              <w:sdtContent>
                <w:r w:rsidR="00423E3E" w:rsidRPr="00C53B9C">
                  <w:rPr>
                    <w:rFonts w:ascii="MS Gothic" w:eastAsia="MS Gothic" w:hAnsi="MS Gothic"/>
                    <w:bCs/>
                    <w:iCs/>
                    <w:sz w:val="20"/>
                    <w:szCs w:val="20"/>
                  </w:rPr>
                  <w:t>☒</w:t>
                </w:r>
              </w:sdtContent>
            </w:sdt>
            <w:r w:rsidR="00F87AEE" w:rsidRPr="00C53B9C">
              <w:rPr>
                <w:rFonts w:ascii="Arial" w:hAnsi="Arial"/>
                <w:bCs/>
                <w:iCs/>
                <w:sz w:val="20"/>
                <w:szCs w:val="20"/>
              </w:rPr>
              <w:t xml:space="preserve"> No</w:t>
            </w:r>
          </w:p>
        </w:tc>
      </w:tr>
      <w:tr w:rsidR="00F87AEE" w:rsidRPr="00C53B9C" w14:paraId="034F9BFB" w14:textId="77777777" w:rsidTr="00C53B9C">
        <w:trPr>
          <w:trHeight w:val="559"/>
          <w:jc w:val="center"/>
        </w:trPr>
        <w:tc>
          <w:tcPr>
            <w:tcW w:w="6796" w:type="dxa"/>
            <w:shd w:val="clear" w:color="auto" w:fill="F2F2F2"/>
            <w:vAlign w:val="center"/>
          </w:tcPr>
          <w:p w14:paraId="3672C2C7" w14:textId="77777777" w:rsidR="00F87AEE" w:rsidRPr="00C53B9C" w:rsidRDefault="00F87AEE" w:rsidP="0061696C">
            <w:pPr>
              <w:numPr>
                <w:ilvl w:val="0"/>
                <w:numId w:val="6"/>
              </w:numPr>
              <w:spacing w:before="120" w:after="120" w:line="240" w:lineRule="auto"/>
              <w:ind w:left="276" w:hanging="284"/>
              <w:contextualSpacing/>
              <w:jc w:val="both"/>
              <w:rPr>
                <w:rFonts w:ascii="Arial" w:eastAsia="SimSun" w:hAnsi="Arial"/>
                <w:b w:val="0"/>
                <w:sz w:val="20"/>
                <w:szCs w:val="20"/>
                <w:lang w:eastAsia="zh-CN"/>
              </w:rPr>
            </w:pPr>
            <w:proofErr w:type="gramStart"/>
            <w:r w:rsidRPr="00C53B9C">
              <w:rPr>
                <w:rFonts w:ascii="Arial" w:eastAsia="SimSun" w:hAnsi="Arial"/>
                <w:b w:val="0"/>
                <w:sz w:val="20"/>
                <w:szCs w:val="20"/>
                <w:lang w:eastAsia="zh-CN"/>
              </w:rPr>
              <w:t>Have previous government commitments for the 2014-16 allocation been realized</w:t>
            </w:r>
            <w:proofErr w:type="gramEnd"/>
            <w:r w:rsidRPr="00C53B9C">
              <w:rPr>
                <w:rFonts w:ascii="Arial" w:eastAsia="SimSun" w:hAnsi="Arial"/>
                <w:b w:val="0"/>
                <w:sz w:val="20"/>
                <w:szCs w:val="20"/>
                <w:lang w:eastAsia="zh-CN"/>
              </w:rPr>
              <w:t xml:space="preserve">? </w:t>
            </w:r>
            <w:r w:rsidRPr="00C53B9C">
              <w:rPr>
                <w:rFonts w:ascii="Arial" w:eastAsia="SimSun" w:hAnsi="Arial"/>
                <w:sz w:val="20"/>
                <w:szCs w:val="20"/>
                <w:lang w:eastAsia="zh-CN"/>
              </w:rPr>
              <w:t>If not</w:t>
            </w:r>
            <w:r w:rsidRPr="00C53B9C">
              <w:rPr>
                <w:rFonts w:ascii="Arial" w:eastAsia="SimSun" w:hAnsi="Arial"/>
                <w:b w:val="0"/>
                <w:sz w:val="20"/>
                <w:szCs w:val="20"/>
                <w:lang w:eastAsia="zh-CN"/>
              </w:rPr>
              <w:t>, provide reasons below.</w:t>
            </w:r>
          </w:p>
        </w:tc>
        <w:tc>
          <w:tcPr>
            <w:tcW w:w="2096" w:type="dxa"/>
            <w:shd w:val="clear" w:color="auto" w:fill="auto"/>
            <w:vAlign w:val="center"/>
          </w:tcPr>
          <w:p w14:paraId="6BA7114D" w14:textId="1FE2F4AE" w:rsidR="00F87AEE" w:rsidRPr="00C53B9C" w:rsidRDefault="00D26022" w:rsidP="00F87AEE">
            <w:pPr>
              <w:spacing w:before="120" w:after="120" w:line="240" w:lineRule="auto"/>
              <w:jc w:val="both"/>
              <w:rPr>
                <w:rFonts w:ascii="Arial" w:hAnsi="Arial"/>
                <w:b w:val="0"/>
                <w:bCs/>
                <w:iCs/>
                <w:sz w:val="20"/>
                <w:szCs w:val="20"/>
              </w:rPr>
            </w:pPr>
            <w:sdt>
              <w:sdtPr>
                <w:rPr>
                  <w:rFonts w:ascii="Arial" w:hAnsi="Arial"/>
                  <w:bCs/>
                  <w:iCs/>
                  <w:sz w:val="20"/>
                  <w:szCs w:val="20"/>
                </w:rPr>
                <w:id w:val="-888803521"/>
                <w14:checkbox>
                  <w14:checked w14:val="1"/>
                  <w14:checkedState w14:val="2612" w14:font="MS Gothic"/>
                  <w14:uncheckedState w14:val="2610" w14:font="MS Gothic"/>
                </w14:checkbox>
              </w:sdtPr>
              <w:sdtEndPr/>
              <w:sdtContent>
                <w:r w:rsidR="00423E3E" w:rsidRPr="00C53B9C">
                  <w:rPr>
                    <w:rFonts w:ascii="MS Gothic" w:eastAsia="MS Gothic" w:hAnsi="MS Gothic"/>
                    <w:bCs/>
                    <w:iCs/>
                    <w:sz w:val="20"/>
                    <w:szCs w:val="20"/>
                  </w:rPr>
                  <w:t>☒</w:t>
                </w:r>
              </w:sdtContent>
            </w:sdt>
            <w:r w:rsidR="00F87AEE" w:rsidRPr="00C53B9C">
              <w:rPr>
                <w:rFonts w:ascii="Arial" w:hAnsi="Arial"/>
                <w:bCs/>
                <w:iCs/>
                <w:sz w:val="20"/>
                <w:szCs w:val="20"/>
              </w:rPr>
              <w:t xml:space="preserve"> Yes</w:t>
            </w:r>
            <w:r w:rsidR="00F87AEE" w:rsidRPr="00C53B9C">
              <w:rPr>
                <w:rFonts w:ascii="Arial" w:hAnsi="Arial"/>
                <w:b w:val="0"/>
                <w:bCs/>
                <w:iCs/>
                <w:sz w:val="20"/>
                <w:szCs w:val="20"/>
              </w:rPr>
              <w:t xml:space="preserve">         </w:t>
            </w:r>
            <w:sdt>
              <w:sdtPr>
                <w:rPr>
                  <w:rFonts w:ascii="Arial" w:hAnsi="Arial"/>
                  <w:b w:val="0"/>
                  <w:bCs/>
                  <w:iCs/>
                  <w:sz w:val="20"/>
                  <w:szCs w:val="20"/>
                </w:rPr>
                <w:id w:val="-1580206460"/>
                <w14:checkbox>
                  <w14:checked w14:val="0"/>
                  <w14:checkedState w14:val="2612" w14:font="MS Gothic"/>
                  <w14:uncheckedState w14:val="2610" w14:font="MS Gothic"/>
                </w14:checkbox>
              </w:sdtPr>
              <w:sdtEndPr/>
              <w:sdtContent>
                <w:r w:rsidR="00F87AEE" w:rsidRPr="00C53B9C">
                  <w:rPr>
                    <w:rFonts w:ascii="Segoe UI Symbol" w:hAnsi="Segoe UI Symbol" w:cs="Segoe UI Symbol"/>
                    <w:b w:val="0"/>
                    <w:bCs/>
                    <w:iCs/>
                    <w:sz w:val="20"/>
                    <w:szCs w:val="20"/>
                  </w:rPr>
                  <w:t>☐</w:t>
                </w:r>
              </w:sdtContent>
            </w:sdt>
            <w:r w:rsidR="00F87AEE" w:rsidRPr="00C53B9C">
              <w:rPr>
                <w:rFonts w:ascii="Arial" w:hAnsi="Arial"/>
                <w:b w:val="0"/>
                <w:bCs/>
                <w:iCs/>
                <w:sz w:val="20"/>
                <w:szCs w:val="20"/>
              </w:rPr>
              <w:t xml:space="preserve"> No</w:t>
            </w:r>
          </w:p>
        </w:tc>
      </w:tr>
      <w:tr w:rsidR="00F87AEE" w:rsidRPr="00C53B9C" w14:paraId="16B854E1" w14:textId="77777777" w:rsidTr="00C53B9C">
        <w:trPr>
          <w:trHeight w:val="978"/>
          <w:jc w:val="center"/>
        </w:trPr>
        <w:tc>
          <w:tcPr>
            <w:tcW w:w="6796" w:type="dxa"/>
            <w:shd w:val="clear" w:color="auto" w:fill="F2F2F2"/>
            <w:vAlign w:val="center"/>
          </w:tcPr>
          <w:p w14:paraId="201F99F8" w14:textId="77777777" w:rsidR="00F87AEE" w:rsidRPr="00C53B9C" w:rsidRDefault="00F87AEE" w:rsidP="0061696C">
            <w:pPr>
              <w:numPr>
                <w:ilvl w:val="0"/>
                <w:numId w:val="6"/>
              </w:numPr>
              <w:spacing w:before="120" w:after="120" w:line="240" w:lineRule="auto"/>
              <w:ind w:left="276" w:hanging="284"/>
              <w:contextualSpacing/>
              <w:jc w:val="both"/>
              <w:rPr>
                <w:rFonts w:ascii="Arial" w:eastAsia="SimSun" w:hAnsi="Arial"/>
                <w:sz w:val="20"/>
                <w:szCs w:val="20"/>
                <w:lang w:eastAsia="zh-CN"/>
              </w:rPr>
            </w:pPr>
            <w:r w:rsidRPr="00C53B9C">
              <w:rPr>
                <w:rFonts w:ascii="Arial" w:eastAsia="SimSun" w:hAnsi="Arial"/>
                <w:b w:val="0"/>
                <w:sz w:val="20"/>
                <w:szCs w:val="20"/>
                <w:lang w:eastAsia="zh-CN"/>
              </w:rPr>
              <w:t xml:space="preserve">Do current </w:t>
            </w:r>
            <w:r w:rsidRPr="00C53B9C">
              <w:rPr>
                <w:rFonts w:ascii="Arial" w:hAnsi="Arial"/>
                <w:b w:val="0"/>
                <w:sz w:val="20"/>
                <w:szCs w:val="20"/>
              </w:rPr>
              <w:t xml:space="preserve">co-financing commitments for the 2017-19 allocation meet minimum requirements </w:t>
            </w:r>
            <w:proofErr w:type="gramStart"/>
            <w:r w:rsidRPr="00C53B9C">
              <w:rPr>
                <w:rFonts w:ascii="Arial" w:hAnsi="Arial"/>
                <w:b w:val="0"/>
                <w:sz w:val="20"/>
                <w:szCs w:val="20"/>
              </w:rPr>
              <w:t>to fully access</w:t>
            </w:r>
            <w:proofErr w:type="gramEnd"/>
            <w:r w:rsidRPr="00C53B9C">
              <w:rPr>
                <w:rFonts w:ascii="Arial" w:hAnsi="Arial"/>
                <w:b w:val="0"/>
                <w:sz w:val="20"/>
                <w:szCs w:val="20"/>
              </w:rPr>
              <w:t xml:space="preserve"> the co-financing incentive, as set forth in the Sustainability, Transition and Co-financing Policy?</w:t>
            </w:r>
            <w:r w:rsidRPr="00C53B9C">
              <w:rPr>
                <w:rFonts w:ascii="Arial" w:hAnsi="Arial"/>
                <w:b w:val="0"/>
                <w:sz w:val="20"/>
                <w:szCs w:val="20"/>
                <w:vertAlign w:val="superscript"/>
              </w:rPr>
              <w:footnoteReference w:id="11"/>
            </w:r>
            <w:r w:rsidRPr="00C53B9C">
              <w:rPr>
                <w:rFonts w:ascii="Arial" w:hAnsi="Arial"/>
                <w:b w:val="0"/>
                <w:sz w:val="20"/>
                <w:szCs w:val="20"/>
              </w:rPr>
              <w:t xml:space="preserve"> </w:t>
            </w:r>
            <w:r w:rsidRPr="00C53B9C">
              <w:rPr>
                <w:rFonts w:ascii="Arial" w:hAnsi="Arial"/>
                <w:sz w:val="20"/>
                <w:szCs w:val="20"/>
              </w:rPr>
              <w:t>If not</w:t>
            </w:r>
            <w:r w:rsidRPr="00C53B9C">
              <w:rPr>
                <w:rFonts w:ascii="Arial" w:hAnsi="Arial"/>
                <w:b w:val="0"/>
                <w:sz w:val="20"/>
                <w:szCs w:val="20"/>
              </w:rPr>
              <w:t>, provide reasons below.</w:t>
            </w:r>
          </w:p>
        </w:tc>
        <w:tc>
          <w:tcPr>
            <w:tcW w:w="2096" w:type="dxa"/>
            <w:shd w:val="clear" w:color="auto" w:fill="auto"/>
            <w:vAlign w:val="center"/>
          </w:tcPr>
          <w:p w14:paraId="776271E5" w14:textId="086F207D" w:rsidR="00F87AEE" w:rsidRPr="00C53B9C" w:rsidRDefault="00D26022" w:rsidP="00F87AEE">
            <w:pPr>
              <w:spacing w:before="120" w:after="120" w:line="240" w:lineRule="auto"/>
              <w:jc w:val="both"/>
              <w:rPr>
                <w:rFonts w:ascii="Arial" w:hAnsi="Arial"/>
                <w:b w:val="0"/>
                <w:bCs/>
                <w:iCs/>
                <w:sz w:val="20"/>
                <w:szCs w:val="20"/>
              </w:rPr>
            </w:pPr>
            <w:sdt>
              <w:sdtPr>
                <w:rPr>
                  <w:rFonts w:ascii="Arial" w:hAnsi="Arial"/>
                  <w:bCs/>
                  <w:iCs/>
                  <w:sz w:val="20"/>
                  <w:szCs w:val="20"/>
                </w:rPr>
                <w:id w:val="-471215684"/>
                <w14:checkbox>
                  <w14:checked w14:val="1"/>
                  <w14:checkedState w14:val="2612" w14:font="MS Gothic"/>
                  <w14:uncheckedState w14:val="2610" w14:font="MS Gothic"/>
                </w14:checkbox>
              </w:sdtPr>
              <w:sdtEndPr/>
              <w:sdtContent>
                <w:r w:rsidR="00423E3E" w:rsidRPr="00C53B9C">
                  <w:rPr>
                    <w:rFonts w:ascii="MS Gothic" w:eastAsia="MS Gothic" w:hAnsi="MS Gothic"/>
                    <w:bCs/>
                    <w:iCs/>
                    <w:sz w:val="20"/>
                    <w:szCs w:val="20"/>
                  </w:rPr>
                  <w:t>☒</w:t>
                </w:r>
              </w:sdtContent>
            </w:sdt>
            <w:r w:rsidR="00F87AEE" w:rsidRPr="00C53B9C">
              <w:rPr>
                <w:rFonts w:ascii="Arial" w:hAnsi="Arial"/>
                <w:bCs/>
                <w:iCs/>
                <w:sz w:val="20"/>
                <w:szCs w:val="20"/>
              </w:rPr>
              <w:t xml:space="preserve"> Yes</w:t>
            </w:r>
            <w:r w:rsidR="00F87AEE" w:rsidRPr="00C53B9C">
              <w:rPr>
                <w:rFonts w:ascii="Arial" w:hAnsi="Arial"/>
                <w:b w:val="0"/>
                <w:bCs/>
                <w:iCs/>
                <w:sz w:val="20"/>
                <w:szCs w:val="20"/>
              </w:rPr>
              <w:t xml:space="preserve">         </w:t>
            </w:r>
            <w:sdt>
              <w:sdtPr>
                <w:rPr>
                  <w:rFonts w:ascii="Arial" w:hAnsi="Arial"/>
                  <w:b w:val="0"/>
                  <w:bCs/>
                  <w:iCs/>
                  <w:sz w:val="20"/>
                  <w:szCs w:val="20"/>
                </w:rPr>
                <w:id w:val="2063142126"/>
                <w14:checkbox>
                  <w14:checked w14:val="0"/>
                  <w14:checkedState w14:val="2612" w14:font="MS Gothic"/>
                  <w14:uncheckedState w14:val="2610" w14:font="MS Gothic"/>
                </w14:checkbox>
              </w:sdtPr>
              <w:sdtEndPr/>
              <w:sdtContent>
                <w:r w:rsidR="00F87AEE" w:rsidRPr="00C53B9C">
                  <w:rPr>
                    <w:rFonts w:ascii="Segoe UI Symbol" w:hAnsi="Segoe UI Symbol" w:cs="Segoe UI Symbol"/>
                    <w:b w:val="0"/>
                    <w:bCs/>
                    <w:iCs/>
                    <w:sz w:val="20"/>
                    <w:szCs w:val="20"/>
                  </w:rPr>
                  <w:t>☐</w:t>
                </w:r>
              </w:sdtContent>
            </w:sdt>
            <w:r w:rsidR="00F87AEE" w:rsidRPr="00C53B9C">
              <w:rPr>
                <w:rFonts w:ascii="Arial" w:hAnsi="Arial"/>
                <w:b w:val="0"/>
                <w:bCs/>
                <w:iCs/>
                <w:sz w:val="20"/>
                <w:szCs w:val="20"/>
              </w:rPr>
              <w:t xml:space="preserve"> No</w:t>
            </w:r>
          </w:p>
        </w:tc>
      </w:tr>
      <w:tr w:rsidR="00F87AEE" w:rsidRPr="00C53B9C" w14:paraId="37E931D3" w14:textId="77777777" w:rsidTr="00C53B9C">
        <w:trPr>
          <w:trHeight w:val="978"/>
          <w:jc w:val="center"/>
        </w:trPr>
        <w:tc>
          <w:tcPr>
            <w:tcW w:w="6796" w:type="dxa"/>
            <w:shd w:val="clear" w:color="auto" w:fill="F2F2F2"/>
            <w:vAlign w:val="center"/>
          </w:tcPr>
          <w:p w14:paraId="389D0ACA" w14:textId="4AE4A2EB" w:rsidR="00F87AEE" w:rsidRPr="00C53B9C" w:rsidRDefault="00F87AEE" w:rsidP="0061696C">
            <w:pPr>
              <w:numPr>
                <w:ilvl w:val="0"/>
                <w:numId w:val="6"/>
              </w:numPr>
              <w:spacing w:before="120" w:after="120" w:line="240" w:lineRule="auto"/>
              <w:ind w:left="276" w:hanging="284"/>
              <w:contextualSpacing/>
              <w:jc w:val="both"/>
              <w:rPr>
                <w:rFonts w:ascii="Arial" w:eastAsia="SimSun" w:hAnsi="Arial"/>
                <w:b w:val="0"/>
                <w:sz w:val="20"/>
                <w:szCs w:val="20"/>
                <w:lang w:eastAsia="zh-CN"/>
              </w:rPr>
            </w:pPr>
            <w:r w:rsidRPr="00C53B9C">
              <w:rPr>
                <w:rFonts w:ascii="Arial" w:eastAsia="SimSun" w:hAnsi="Arial"/>
                <w:b w:val="0"/>
                <w:sz w:val="20"/>
                <w:szCs w:val="20"/>
                <w:lang w:eastAsia="zh-CN"/>
              </w:rPr>
              <w:t xml:space="preserve">Does this application request Global Fund support for the institutionalization of expenditure tracking mechanisms such as National Health Accounts? </w:t>
            </w:r>
            <w:r w:rsidR="003B658E" w:rsidRPr="00C53B9C">
              <w:rPr>
                <w:rFonts w:ascii="Arial" w:eastAsia="SimSun" w:hAnsi="Arial"/>
                <w:b w:val="0"/>
                <w:sz w:val="20"/>
                <w:szCs w:val="20"/>
                <w:lang w:eastAsia="zh-CN"/>
              </w:rPr>
              <w:t xml:space="preserve">If yes or no, </w:t>
            </w:r>
            <w:r w:rsidR="003B658E" w:rsidRPr="00C53B9C">
              <w:rPr>
                <w:rFonts w:ascii="Arial" w:hAnsi="Arial"/>
                <w:sz w:val="20"/>
                <w:szCs w:val="20"/>
              </w:rPr>
              <w:t>s</w:t>
            </w:r>
            <w:r w:rsidRPr="00C53B9C">
              <w:rPr>
                <w:rFonts w:ascii="Arial" w:hAnsi="Arial"/>
                <w:sz w:val="20"/>
                <w:szCs w:val="20"/>
              </w:rPr>
              <w:t>pecify</w:t>
            </w:r>
            <w:r w:rsidRPr="00C53B9C">
              <w:rPr>
                <w:rFonts w:ascii="Arial" w:hAnsi="Arial"/>
                <w:b w:val="0"/>
                <w:sz w:val="20"/>
                <w:szCs w:val="20"/>
              </w:rPr>
              <w:t xml:space="preserve"> below how realization of co-financing commitments </w:t>
            </w:r>
            <w:proofErr w:type="gramStart"/>
            <w:r w:rsidRPr="00C53B9C">
              <w:rPr>
                <w:rFonts w:ascii="Arial" w:hAnsi="Arial"/>
                <w:b w:val="0"/>
                <w:sz w:val="20"/>
                <w:szCs w:val="20"/>
              </w:rPr>
              <w:t>will be tracked and reported</w:t>
            </w:r>
            <w:proofErr w:type="gramEnd"/>
            <w:r w:rsidRPr="00C53B9C">
              <w:rPr>
                <w:rFonts w:ascii="Arial" w:hAnsi="Arial"/>
                <w:b w:val="0"/>
                <w:sz w:val="20"/>
                <w:szCs w:val="20"/>
              </w:rPr>
              <w:t>.</w:t>
            </w:r>
          </w:p>
        </w:tc>
        <w:tc>
          <w:tcPr>
            <w:tcW w:w="2096" w:type="dxa"/>
            <w:shd w:val="clear" w:color="auto" w:fill="auto"/>
            <w:vAlign w:val="center"/>
          </w:tcPr>
          <w:p w14:paraId="7BB3B30F" w14:textId="0F5E4DDA" w:rsidR="00F87AEE" w:rsidRPr="00C53B9C" w:rsidRDefault="00D26022" w:rsidP="00F87AEE">
            <w:pPr>
              <w:spacing w:before="120" w:after="120" w:line="240" w:lineRule="auto"/>
              <w:jc w:val="both"/>
              <w:rPr>
                <w:rFonts w:ascii="Arial" w:hAnsi="Arial"/>
                <w:b w:val="0"/>
                <w:bCs/>
                <w:iCs/>
                <w:sz w:val="20"/>
                <w:szCs w:val="20"/>
              </w:rPr>
            </w:pPr>
            <w:sdt>
              <w:sdtPr>
                <w:rPr>
                  <w:rFonts w:ascii="Arial" w:hAnsi="Arial"/>
                  <w:b w:val="0"/>
                  <w:bCs/>
                  <w:iCs/>
                  <w:sz w:val="20"/>
                  <w:szCs w:val="20"/>
                </w:rPr>
                <w:id w:val="1547263907"/>
                <w14:checkbox>
                  <w14:checked w14:val="0"/>
                  <w14:checkedState w14:val="2612" w14:font="MS Gothic"/>
                  <w14:uncheckedState w14:val="2610" w14:font="MS Gothic"/>
                </w14:checkbox>
              </w:sdtPr>
              <w:sdtEndPr/>
              <w:sdtContent>
                <w:r w:rsidR="00F87AEE" w:rsidRPr="00C53B9C">
                  <w:rPr>
                    <w:rFonts w:ascii="Segoe UI Symbol" w:hAnsi="Segoe UI Symbol" w:cs="Segoe UI Symbol"/>
                    <w:b w:val="0"/>
                    <w:bCs/>
                    <w:iCs/>
                    <w:sz w:val="20"/>
                    <w:szCs w:val="20"/>
                  </w:rPr>
                  <w:t>☐</w:t>
                </w:r>
              </w:sdtContent>
            </w:sdt>
            <w:r w:rsidR="00F87AEE" w:rsidRPr="00C53B9C">
              <w:rPr>
                <w:rFonts w:ascii="Arial" w:hAnsi="Arial"/>
                <w:b w:val="0"/>
                <w:bCs/>
                <w:iCs/>
                <w:sz w:val="20"/>
                <w:szCs w:val="20"/>
              </w:rPr>
              <w:t xml:space="preserve"> Yes         </w:t>
            </w:r>
            <w:sdt>
              <w:sdtPr>
                <w:rPr>
                  <w:rFonts w:ascii="Arial" w:hAnsi="Arial"/>
                  <w:bCs/>
                  <w:iCs/>
                  <w:sz w:val="20"/>
                  <w:szCs w:val="20"/>
                </w:rPr>
                <w:id w:val="1301727380"/>
                <w14:checkbox>
                  <w14:checked w14:val="1"/>
                  <w14:checkedState w14:val="2612" w14:font="MS Gothic"/>
                  <w14:uncheckedState w14:val="2610" w14:font="MS Gothic"/>
                </w14:checkbox>
              </w:sdtPr>
              <w:sdtEndPr/>
              <w:sdtContent>
                <w:r w:rsidR="00423E3E" w:rsidRPr="00C53B9C">
                  <w:rPr>
                    <w:rFonts w:ascii="MS Gothic" w:eastAsia="MS Gothic" w:hAnsi="MS Gothic"/>
                    <w:bCs/>
                    <w:iCs/>
                    <w:sz w:val="20"/>
                    <w:szCs w:val="20"/>
                  </w:rPr>
                  <w:t>☒</w:t>
                </w:r>
              </w:sdtContent>
            </w:sdt>
            <w:r w:rsidR="00F87AEE" w:rsidRPr="00C53B9C">
              <w:rPr>
                <w:rFonts w:ascii="Arial" w:hAnsi="Arial"/>
                <w:bCs/>
                <w:iCs/>
                <w:sz w:val="20"/>
                <w:szCs w:val="20"/>
              </w:rPr>
              <w:t xml:space="preserve"> No</w:t>
            </w:r>
          </w:p>
        </w:tc>
      </w:tr>
    </w:tbl>
    <w:p w14:paraId="061DBDFA" w14:textId="79723E5C" w:rsidR="00B34DA4" w:rsidRPr="00FA1F7A" w:rsidRDefault="00B34DA4" w:rsidP="002214FC">
      <w:pPr>
        <w:spacing w:before="120" w:after="120" w:line="240" w:lineRule="auto"/>
        <w:jc w:val="both"/>
        <w:rPr>
          <w:rFonts w:ascii="Arial" w:eastAsia="SimSun" w:hAnsi="Arial"/>
          <w:b w:val="0"/>
          <w:lang w:eastAsia="zh-CN"/>
        </w:rPr>
      </w:pPr>
      <w:r w:rsidRPr="00FA1F7A">
        <w:rPr>
          <w:rFonts w:ascii="Arial" w:eastAsia="SimSun" w:hAnsi="Arial"/>
          <w:b w:val="0"/>
          <w:lang w:eastAsia="zh-CN"/>
        </w:rPr>
        <w:t xml:space="preserve">The public expenditure for health has been stable and was 2.2% of the GDP along with significant level of private spending up to 46.7% of total health expenditure </w:t>
      </w:r>
      <w:r w:rsidRPr="001E79FC">
        <w:rPr>
          <w:rFonts w:ascii="Arial" w:eastAsia="SimSun" w:hAnsi="Arial"/>
          <w:b w:val="0"/>
          <w:lang w:eastAsia="zh-CN"/>
        </w:rPr>
        <w:t>in 2014</w:t>
      </w:r>
      <w:r w:rsidRPr="001E79FC">
        <w:rPr>
          <w:rStyle w:val="FootnoteReference"/>
          <w:rFonts w:ascii="Arial" w:eastAsia="SimSun" w:hAnsi="Arial"/>
          <w:b w:val="0"/>
          <w:lang w:eastAsia="zh-CN"/>
        </w:rPr>
        <w:footnoteReference w:id="12"/>
      </w:r>
      <w:r w:rsidRPr="001E79FC">
        <w:rPr>
          <w:rFonts w:ascii="Arial" w:eastAsia="SimSun" w:hAnsi="Arial"/>
          <w:b w:val="0"/>
          <w:lang w:eastAsia="zh-CN"/>
        </w:rPr>
        <w:t>.</w:t>
      </w:r>
      <w:r w:rsidRPr="00FA1F7A">
        <w:rPr>
          <w:rFonts w:ascii="Arial" w:eastAsia="SimSun" w:hAnsi="Arial"/>
          <w:b w:val="0"/>
          <w:lang w:eastAsia="zh-CN"/>
        </w:rPr>
        <w:t xml:space="preserve"> The spending for health in the general government budget was 10.9% in </w:t>
      </w:r>
      <w:r w:rsidRPr="001E79FC">
        <w:rPr>
          <w:rFonts w:ascii="Arial" w:eastAsia="SimSun" w:hAnsi="Arial"/>
          <w:b w:val="0"/>
          <w:lang w:eastAsia="zh-CN"/>
        </w:rPr>
        <w:t>2014</w:t>
      </w:r>
      <w:r w:rsidRPr="001E79FC">
        <w:rPr>
          <w:rStyle w:val="FootnoteReference"/>
          <w:rFonts w:ascii="Arial" w:eastAsia="SimSun" w:hAnsi="Arial"/>
          <w:b w:val="0"/>
          <w:lang w:eastAsia="zh-CN"/>
        </w:rPr>
        <w:footnoteReference w:id="13"/>
      </w:r>
      <w:r w:rsidRPr="001E79FC">
        <w:rPr>
          <w:rFonts w:ascii="Arial" w:eastAsia="SimSun" w:hAnsi="Arial"/>
          <w:b w:val="0"/>
          <w:lang w:eastAsia="zh-CN"/>
        </w:rPr>
        <w:t xml:space="preserve"> and</w:t>
      </w:r>
      <w:r w:rsidRPr="00FA1F7A">
        <w:rPr>
          <w:rFonts w:ascii="Arial" w:eastAsia="SimSun" w:hAnsi="Arial"/>
          <w:b w:val="0"/>
          <w:lang w:eastAsia="zh-CN"/>
        </w:rPr>
        <w:t xml:space="preserve"> kept unchanged in 2015-2016 (source: </w:t>
      </w:r>
      <w:proofErr w:type="spellStart"/>
      <w:r w:rsidRPr="00FA1F7A">
        <w:rPr>
          <w:rFonts w:ascii="Arial" w:eastAsia="SimSun" w:hAnsi="Arial"/>
          <w:b w:val="0"/>
          <w:lang w:eastAsia="zh-CN"/>
        </w:rPr>
        <w:t>M</w:t>
      </w:r>
      <w:r w:rsidR="00074FAE" w:rsidRPr="00FA1F7A">
        <w:rPr>
          <w:rFonts w:ascii="Arial" w:eastAsia="SimSun" w:hAnsi="Arial"/>
          <w:b w:val="0"/>
          <w:lang w:eastAsia="zh-CN"/>
        </w:rPr>
        <w:t>o</w:t>
      </w:r>
      <w:r w:rsidRPr="00FA1F7A">
        <w:rPr>
          <w:rFonts w:ascii="Arial" w:eastAsia="SimSun" w:hAnsi="Arial"/>
          <w:b w:val="0"/>
          <w:lang w:eastAsia="zh-CN"/>
        </w:rPr>
        <w:t>F</w:t>
      </w:r>
      <w:proofErr w:type="spellEnd"/>
      <w:r w:rsidRPr="00FA1F7A">
        <w:rPr>
          <w:rFonts w:ascii="Arial" w:eastAsia="SimSun" w:hAnsi="Arial"/>
          <w:b w:val="0"/>
          <w:lang w:eastAsia="zh-CN"/>
        </w:rPr>
        <w:t>). These indicators show that in comparison with other countries of the Eastern Europe and Central Asia there is satisfactory government commitment to distribute fair share of the government budget to the health system.</w:t>
      </w:r>
    </w:p>
    <w:p w14:paraId="3E0DD372" w14:textId="38A8A9E6" w:rsidR="00B34DA4" w:rsidRPr="007645C2" w:rsidRDefault="00B34DA4" w:rsidP="002214FC">
      <w:pPr>
        <w:spacing w:before="120" w:after="120" w:line="240" w:lineRule="auto"/>
        <w:jc w:val="both"/>
        <w:rPr>
          <w:rFonts w:ascii="Arial" w:eastAsia="SimSun" w:hAnsi="Arial"/>
          <w:b w:val="0"/>
          <w:lang w:eastAsia="zh-CN"/>
        </w:rPr>
      </w:pPr>
      <w:proofErr w:type="gramStart"/>
      <w:r w:rsidRPr="00FA1F7A">
        <w:rPr>
          <w:rFonts w:ascii="Arial" w:eastAsia="SimSun" w:hAnsi="Arial"/>
          <w:b w:val="0"/>
          <w:lang w:eastAsia="zh-CN"/>
        </w:rPr>
        <w:t xml:space="preserve">The total estimated costs of the National TB Response, based on the current level of spending and taking into account the need to expand essential services to KAP, coverage with new and </w:t>
      </w:r>
      <w:r w:rsidRPr="00FA1F7A">
        <w:rPr>
          <w:rFonts w:ascii="Arial" w:eastAsia="SimSun" w:hAnsi="Arial"/>
          <w:b w:val="0"/>
          <w:lang w:eastAsia="zh-CN"/>
        </w:rPr>
        <w:lastRenderedPageBreak/>
        <w:t xml:space="preserve">repurposed drugs of the MDR-TB and FQ-resistant and XDR-TB cases, roll-out of the new diagnostic </w:t>
      </w:r>
      <w:r w:rsidRPr="007645C2">
        <w:rPr>
          <w:rFonts w:ascii="Arial" w:eastAsia="SimSun" w:hAnsi="Arial"/>
          <w:b w:val="0"/>
          <w:lang w:eastAsia="zh-CN"/>
        </w:rPr>
        <w:t>technologies, and realization of the people centered model of care is estimated to     KZT 151,6 B for 2020-2022, compared to KZT 149,2 B for 2017-2019</w:t>
      </w:r>
      <w:r w:rsidR="005670EA" w:rsidRPr="007645C2">
        <w:rPr>
          <w:rFonts w:ascii="Arial" w:eastAsia="SimSun" w:hAnsi="Arial"/>
          <w:b w:val="0"/>
          <w:lang w:eastAsia="zh-CN"/>
        </w:rPr>
        <w:t xml:space="preserve"> (</w:t>
      </w:r>
      <w:r w:rsidR="001E79FC" w:rsidRPr="007645C2">
        <w:rPr>
          <w:rFonts w:ascii="Arial" w:eastAsia="SimSun" w:hAnsi="Arial"/>
          <w:b w:val="0"/>
          <w:lang w:eastAsia="zh-CN"/>
        </w:rPr>
        <w:t>T</w:t>
      </w:r>
      <w:r w:rsidR="005670EA" w:rsidRPr="007645C2">
        <w:rPr>
          <w:rFonts w:ascii="Arial" w:eastAsia="SimSun" w:hAnsi="Arial"/>
          <w:b w:val="0"/>
          <w:lang w:eastAsia="zh-CN"/>
        </w:rPr>
        <w:t>able 4).</w:t>
      </w:r>
      <w:proofErr w:type="gramEnd"/>
      <w:r w:rsidRPr="007645C2">
        <w:rPr>
          <w:rFonts w:ascii="Arial" w:eastAsia="SimSun" w:hAnsi="Arial"/>
          <w:b w:val="0"/>
          <w:lang w:eastAsia="zh-CN"/>
        </w:rPr>
        <w:t xml:space="preserve"> The costs of the program are expected to increase with KZT 2</w:t>
      </w:r>
      <w:proofErr w:type="gramStart"/>
      <w:r w:rsidRPr="007645C2">
        <w:rPr>
          <w:rFonts w:ascii="Arial" w:eastAsia="SimSun" w:hAnsi="Arial"/>
          <w:b w:val="0"/>
          <w:lang w:eastAsia="zh-CN"/>
        </w:rPr>
        <w:t>,4</w:t>
      </w:r>
      <w:proofErr w:type="gramEnd"/>
      <w:r w:rsidRPr="007645C2">
        <w:rPr>
          <w:rFonts w:ascii="Arial" w:eastAsia="SimSun" w:hAnsi="Arial"/>
          <w:b w:val="0"/>
          <w:lang w:eastAsia="zh-CN"/>
        </w:rPr>
        <w:t xml:space="preserve"> B or USD 6,9 M, using average exchange for year 2018 of KZT 342.08 per 1 USD.</w:t>
      </w:r>
    </w:p>
    <w:p w14:paraId="0FBA6109" w14:textId="5CE29E39" w:rsidR="005670EA" w:rsidRPr="007645C2" w:rsidRDefault="005670EA" w:rsidP="00472913">
      <w:pPr>
        <w:spacing w:before="120" w:after="120" w:line="240" w:lineRule="auto"/>
        <w:jc w:val="center"/>
        <w:rPr>
          <w:rFonts w:ascii="Arial" w:eastAsia="SimSun" w:hAnsi="Arial"/>
          <w:sz w:val="20"/>
          <w:szCs w:val="20"/>
          <w:lang w:eastAsia="zh-CN"/>
        </w:rPr>
      </w:pPr>
      <w:r w:rsidRPr="007645C2">
        <w:rPr>
          <w:rFonts w:ascii="Arial" w:eastAsia="SimSun" w:hAnsi="Arial"/>
          <w:sz w:val="20"/>
          <w:szCs w:val="20"/>
          <w:lang w:eastAsia="zh-CN"/>
        </w:rPr>
        <w:t xml:space="preserve">Table 4. Anticipated domestic funding 2020-2022, </w:t>
      </w:r>
      <w:r w:rsidRPr="007645C2">
        <w:rPr>
          <w:rFonts w:ascii="Arial" w:eastAsia="Times New Roman" w:hAnsi="Arial"/>
          <w:sz w:val="20"/>
          <w:szCs w:val="20"/>
        </w:rPr>
        <w:t>thousands KZT</w:t>
      </w:r>
    </w:p>
    <w:tbl>
      <w:tblPr>
        <w:tblW w:w="9349" w:type="dxa"/>
        <w:tblInd w:w="-140" w:type="dxa"/>
        <w:tblLayout w:type="fixed"/>
        <w:tblLook w:val="04A0" w:firstRow="1" w:lastRow="0" w:firstColumn="1" w:lastColumn="0" w:noHBand="0" w:noVBand="1"/>
      </w:tblPr>
      <w:tblGrid>
        <w:gridCol w:w="1411"/>
        <w:gridCol w:w="1323"/>
        <w:gridCol w:w="1323"/>
        <w:gridCol w:w="1323"/>
        <w:gridCol w:w="1323"/>
        <w:gridCol w:w="1323"/>
        <w:gridCol w:w="1323"/>
      </w:tblGrid>
      <w:tr w:rsidR="00472913" w:rsidRPr="007645C2" w14:paraId="6C6A3FD0" w14:textId="77777777" w:rsidTr="00472913">
        <w:trPr>
          <w:trHeight w:val="288"/>
        </w:trPr>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0EFDE6B5" w14:textId="77777777" w:rsidR="005670EA" w:rsidRPr="007645C2" w:rsidRDefault="005670EA" w:rsidP="0013678A">
            <w:pPr>
              <w:spacing w:after="0" w:line="240" w:lineRule="auto"/>
              <w:jc w:val="center"/>
              <w:rPr>
                <w:rFonts w:ascii="Arial" w:eastAsia="Times New Roman" w:hAnsi="Arial"/>
                <w:b w:val="0"/>
                <w:sz w:val="20"/>
                <w:szCs w:val="20"/>
              </w:rPr>
            </w:pPr>
            <w:r w:rsidRPr="007645C2">
              <w:rPr>
                <w:rFonts w:ascii="Arial" w:eastAsia="Times New Roman" w:hAnsi="Arial"/>
                <w:b w:val="0"/>
                <w:sz w:val="20"/>
                <w:szCs w:val="20"/>
              </w:rPr>
              <w:t> </w:t>
            </w:r>
          </w:p>
        </w:tc>
        <w:tc>
          <w:tcPr>
            <w:tcW w:w="1323" w:type="dxa"/>
            <w:tcBorders>
              <w:top w:val="single" w:sz="4" w:space="0" w:color="auto"/>
              <w:left w:val="nil"/>
              <w:bottom w:val="single" w:sz="4" w:space="0" w:color="auto"/>
              <w:right w:val="single" w:sz="4" w:space="0" w:color="auto"/>
            </w:tcBorders>
            <w:shd w:val="clear" w:color="auto" w:fill="auto"/>
            <w:hideMark/>
          </w:tcPr>
          <w:p w14:paraId="3D886580" w14:textId="77777777" w:rsidR="005670EA" w:rsidRPr="007645C2" w:rsidRDefault="005670EA" w:rsidP="0013678A">
            <w:pPr>
              <w:spacing w:after="0" w:line="240" w:lineRule="auto"/>
              <w:jc w:val="center"/>
              <w:rPr>
                <w:rFonts w:ascii="Arial" w:eastAsia="Times New Roman" w:hAnsi="Arial"/>
                <w:bCs/>
                <w:sz w:val="20"/>
                <w:szCs w:val="20"/>
              </w:rPr>
            </w:pPr>
            <w:r w:rsidRPr="007645C2">
              <w:rPr>
                <w:rFonts w:ascii="Arial" w:eastAsia="Times New Roman" w:hAnsi="Arial"/>
                <w:bCs/>
                <w:sz w:val="20"/>
                <w:szCs w:val="20"/>
              </w:rPr>
              <w:t>2017</w:t>
            </w:r>
          </w:p>
        </w:tc>
        <w:tc>
          <w:tcPr>
            <w:tcW w:w="1323" w:type="dxa"/>
            <w:tcBorders>
              <w:top w:val="single" w:sz="4" w:space="0" w:color="auto"/>
              <w:left w:val="nil"/>
              <w:bottom w:val="single" w:sz="4" w:space="0" w:color="auto"/>
              <w:right w:val="single" w:sz="4" w:space="0" w:color="auto"/>
            </w:tcBorders>
            <w:shd w:val="clear" w:color="auto" w:fill="auto"/>
            <w:hideMark/>
          </w:tcPr>
          <w:p w14:paraId="34AABEBC" w14:textId="77777777" w:rsidR="005670EA" w:rsidRPr="007645C2" w:rsidRDefault="005670EA" w:rsidP="0013678A">
            <w:pPr>
              <w:spacing w:after="0" w:line="240" w:lineRule="auto"/>
              <w:jc w:val="center"/>
              <w:rPr>
                <w:rFonts w:ascii="Arial" w:eastAsia="Times New Roman" w:hAnsi="Arial"/>
                <w:bCs/>
                <w:sz w:val="20"/>
                <w:szCs w:val="20"/>
              </w:rPr>
            </w:pPr>
            <w:r w:rsidRPr="007645C2">
              <w:rPr>
                <w:rFonts w:ascii="Arial" w:eastAsia="Times New Roman" w:hAnsi="Arial"/>
                <w:bCs/>
                <w:sz w:val="20"/>
                <w:szCs w:val="20"/>
              </w:rPr>
              <w:t>2018</w:t>
            </w:r>
          </w:p>
        </w:tc>
        <w:tc>
          <w:tcPr>
            <w:tcW w:w="1323" w:type="dxa"/>
            <w:tcBorders>
              <w:top w:val="single" w:sz="4" w:space="0" w:color="auto"/>
              <w:left w:val="nil"/>
              <w:bottom w:val="single" w:sz="4" w:space="0" w:color="auto"/>
              <w:right w:val="single" w:sz="4" w:space="0" w:color="auto"/>
            </w:tcBorders>
            <w:shd w:val="clear" w:color="auto" w:fill="auto"/>
            <w:hideMark/>
          </w:tcPr>
          <w:p w14:paraId="156406F8" w14:textId="77777777" w:rsidR="005670EA" w:rsidRPr="007645C2" w:rsidRDefault="005670EA" w:rsidP="0013678A">
            <w:pPr>
              <w:spacing w:after="0" w:line="240" w:lineRule="auto"/>
              <w:jc w:val="center"/>
              <w:rPr>
                <w:rFonts w:ascii="Arial" w:eastAsia="Times New Roman" w:hAnsi="Arial"/>
                <w:bCs/>
                <w:sz w:val="20"/>
                <w:szCs w:val="20"/>
              </w:rPr>
            </w:pPr>
            <w:r w:rsidRPr="007645C2">
              <w:rPr>
                <w:rFonts w:ascii="Arial" w:eastAsia="Times New Roman" w:hAnsi="Arial"/>
                <w:bCs/>
                <w:sz w:val="20"/>
                <w:szCs w:val="20"/>
              </w:rPr>
              <w:t>2019</w:t>
            </w:r>
          </w:p>
        </w:tc>
        <w:tc>
          <w:tcPr>
            <w:tcW w:w="1323" w:type="dxa"/>
            <w:tcBorders>
              <w:top w:val="single" w:sz="4" w:space="0" w:color="auto"/>
              <w:left w:val="nil"/>
              <w:bottom w:val="single" w:sz="4" w:space="0" w:color="auto"/>
              <w:right w:val="single" w:sz="4" w:space="0" w:color="auto"/>
            </w:tcBorders>
            <w:shd w:val="clear" w:color="auto" w:fill="auto"/>
            <w:hideMark/>
          </w:tcPr>
          <w:p w14:paraId="396C1550" w14:textId="77777777" w:rsidR="005670EA" w:rsidRPr="007645C2" w:rsidRDefault="005670EA" w:rsidP="0013678A">
            <w:pPr>
              <w:spacing w:after="0" w:line="240" w:lineRule="auto"/>
              <w:jc w:val="center"/>
              <w:rPr>
                <w:rFonts w:ascii="Arial" w:eastAsia="Times New Roman" w:hAnsi="Arial"/>
                <w:bCs/>
                <w:sz w:val="20"/>
                <w:szCs w:val="20"/>
              </w:rPr>
            </w:pPr>
            <w:r w:rsidRPr="007645C2">
              <w:rPr>
                <w:rFonts w:ascii="Arial" w:eastAsia="Times New Roman" w:hAnsi="Arial"/>
                <w:bCs/>
                <w:sz w:val="20"/>
                <w:szCs w:val="20"/>
              </w:rPr>
              <w:t>2020</w:t>
            </w:r>
          </w:p>
        </w:tc>
        <w:tc>
          <w:tcPr>
            <w:tcW w:w="1323" w:type="dxa"/>
            <w:tcBorders>
              <w:top w:val="single" w:sz="4" w:space="0" w:color="auto"/>
              <w:left w:val="nil"/>
              <w:bottom w:val="single" w:sz="4" w:space="0" w:color="auto"/>
              <w:right w:val="single" w:sz="4" w:space="0" w:color="auto"/>
            </w:tcBorders>
            <w:shd w:val="clear" w:color="auto" w:fill="auto"/>
            <w:hideMark/>
          </w:tcPr>
          <w:p w14:paraId="027A60E7" w14:textId="77777777" w:rsidR="005670EA" w:rsidRPr="007645C2" w:rsidRDefault="005670EA" w:rsidP="0013678A">
            <w:pPr>
              <w:spacing w:after="0" w:line="240" w:lineRule="auto"/>
              <w:jc w:val="center"/>
              <w:rPr>
                <w:rFonts w:ascii="Arial" w:eastAsia="Times New Roman" w:hAnsi="Arial"/>
                <w:bCs/>
                <w:sz w:val="20"/>
                <w:szCs w:val="20"/>
              </w:rPr>
            </w:pPr>
            <w:r w:rsidRPr="007645C2">
              <w:rPr>
                <w:rFonts w:ascii="Arial" w:eastAsia="Times New Roman" w:hAnsi="Arial"/>
                <w:bCs/>
                <w:sz w:val="20"/>
                <w:szCs w:val="20"/>
              </w:rPr>
              <w:t>2021</w:t>
            </w:r>
          </w:p>
        </w:tc>
        <w:tc>
          <w:tcPr>
            <w:tcW w:w="1323" w:type="dxa"/>
            <w:tcBorders>
              <w:top w:val="single" w:sz="4" w:space="0" w:color="auto"/>
              <w:left w:val="nil"/>
              <w:bottom w:val="single" w:sz="4" w:space="0" w:color="auto"/>
              <w:right w:val="single" w:sz="4" w:space="0" w:color="auto"/>
            </w:tcBorders>
            <w:shd w:val="clear" w:color="auto" w:fill="auto"/>
            <w:hideMark/>
          </w:tcPr>
          <w:p w14:paraId="2BE4324B" w14:textId="77777777" w:rsidR="005670EA" w:rsidRPr="007645C2" w:rsidRDefault="005670EA" w:rsidP="0013678A">
            <w:pPr>
              <w:spacing w:after="0" w:line="240" w:lineRule="auto"/>
              <w:jc w:val="center"/>
              <w:rPr>
                <w:rFonts w:ascii="Arial" w:eastAsia="Times New Roman" w:hAnsi="Arial"/>
                <w:bCs/>
                <w:sz w:val="20"/>
                <w:szCs w:val="20"/>
              </w:rPr>
            </w:pPr>
            <w:r w:rsidRPr="007645C2">
              <w:rPr>
                <w:rFonts w:ascii="Arial" w:eastAsia="Times New Roman" w:hAnsi="Arial"/>
                <w:bCs/>
                <w:sz w:val="20"/>
                <w:szCs w:val="20"/>
              </w:rPr>
              <w:t>2022</w:t>
            </w:r>
          </w:p>
        </w:tc>
      </w:tr>
      <w:tr w:rsidR="00472913" w:rsidRPr="007645C2" w14:paraId="740F6016" w14:textId="77777777" w:rsidTr="00472913">
        <w:trPr>
          <w:trHeight w:val="576"/>
        </w:trPr>
        <w:tc>
          <w:tcPr>
            <w:tcW w:w="1411" w:type="dxa"/>
            <w:tcBorders>
              <w:top w:val="nil"/>
              <w:left w:val="single" w:sz="4" w:space="0" w:color="auto"/>
              <w:bottom w:val="single" w:sz="4" w:space="0" w:color="auto"/>
              <w:right w:val="single" w:sz="4" w:space="0" w:color="auto"/>
            </w:tcBorders>
            <w:shd w:val="clear" w:color="auto" w:fill="auto"/>
            <w:hideMark/>
          </w:tcPr>
          <w:p w14:paraId="431EF3DE" w14:textId="6663CFC9" w:rsidR="005670EA" w:rsidRPr="007645C2" w:rsidRDefault="005670EA" w:rsidP="0013678A">
            <w:pPr>
              <w:spacing w:after="0" w:line="240" w:lineRule="auto"/>
              <w:rPr>
                <w:rFonts w:ascii="Arial" w:eastAsia="Times New Roman" w:hAnsi="Arial"/>
                <w:b w:val="0"/>
                <w:sz w:val="17"/>
                <w:szCs w:val="17"/>
              </w:rPr>
            </w:pPr>
            <w:r w:rsidRPr="007645C2">
              <w:rPr>
                <w:rFonts w:ascii="Arial" w:eastAsia="Times New Roman" w:hAnsi="Arial"/>
                <w:b w:val="0"/>
                <w:sz w:val="17"/>
                <w:szCs w:val="17"/>
              </w:rPr>
              <w:t xml:space="preserve">Procurement of anti-TB drugs </w:t>
            </w:r>
          </w:p>
        </w:tc>
        <w:tc>
          <w:tcPr>
            <w:tcW w:w="1323" w:type="dxa"/>
            <w:tcBorders>
              <w:top w:val="nil"/>
              <w:left w:val="nil"/>
              <w:bottom w:val="single" w:sz="4" w:space="0" w:color="auto"/>
              <w:right w:val="single" w:sz="4" w:space="0" w:color="auto"/>
            </w:tcBorders>
            <w:shd w:val="clear" w:color="auto" w:fill="auto"/>
            <w:hideMark/>
          </w:tcPr>
          <w:p w14:paraId="157E554E"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7,394,710.10</w:t>
            </w:r>
          </w:p>
        </w:tc>
        <w:tc>
          <w:tcPr>
            <w:tcW w:w="1323" w:type="dxa"/>
            <w:tcBorders>
              <w:top w:val="nil"/>
              <w:left w:val="nil"/>
              <w:bottom w:val="single" w:sz="4" w:space="0" w:color="auto"/>
              <w:right w:val="single" w:sz="4" w:space="0" w:color="auto"/>
            </w:tcBorders>
            <w:shd w:val="clear" w:color="auto" w:fill="auto"/>
            <w:hideMark/>
          </w:tcPr>
          <w:p w14:paraId="2A9B5A05"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7,652,132.00</w:t>
            </w:r>
          </w:p>
        </w:tc>
        <w:tc>
          <w:tcPr>
            <w:tcW w:w="1323" w:type="dxa"/>
            <w:tcBorders>
              <w:top w:val="nil"/>
              <w:left w:val="nil"/>
              <w:bottom w:val="single" w:sz="4" w:space="0" w:color="auto"/>
              <w:right w:val="single" w:sz="4" w:space="0" w:color="auto"/>
            </w:tcBorders>
            <w:shd w:val="clear" w:color="auto" w:fill="auto"/>
            <w:hideMark/>
          </w:tcPr>
          <w:p w14:paraId="24D92CA3"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6,634,394.00</w:t>
            </w:r>
          </w:p>
        </w:tc>
        <w:tc>
          <w:tcPr>
            <w:tcW w:w="1323" w:type="dxa"/>
            <w:tcBorders>
              <w:top w:val="nil"/>
              <w:left w:val="nil"/>
              <w:bottom w:val="single" w:sz="4" w:space="0" w:color="auto"/>
              <w:right w:val="single" w:sz="4" w:space="0" w:color="auto"/>
            </w:tcBorders>
            <w:shd w:val="clear" w:color="auto" w:fill="auto"/>
            <w:hideMark/>
          </w:tcPr>
          <w:p w14:paraId="3A92333F"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6,634,394.00</w:t>
            </w:r>
          </w:p>
        </w:tc>
        <w:tc>
          <w:tcPr>
            <w:tcW w:w="1323" w:type="dxa"/>
            <w:tcBorders>
              <w:top w:val="nil"/>
              <w:left w:val="nil"/>
              <w:bottom w:val="single" w:sz="4" w:space="0" w:color="auto"/>
              <w:right w:val="single" w:sz="4" w:space="0" w:color="auto"/>
            </w:tcBorders>
            <w:shd w:val="clear" w:color="auto" w:fill="auto"/>
            <w:hideMark/>
          </w:tcPr>
          <w:p w14:paraId="15C4BD0C"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6,634,394.00</w:t>
            </w:r>
          </w:p>
        </w:tc>
        <w:tc>
          <w:tcPr>
            <w:tcW w:w="1323" w:type="dxa"/>
            <w:tcBorders>
              <w:top w:val="nil"/>
              <w:left w:val="nil"/>
              <w:bottom w:val="single" w:sz="4" w:space="0" w:color="auto"/>
              <w:right w:val="single" w:sz="4" w:space="0" w:color="auto"/>
            </w:tcBorders>
            <w:shd w:val="clear" w:color="auto" w:fill="auto"/>
            <w:hideMark/>
          </w:tcPr>
          <w:p w14:paraId="379541F0"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6,634,394.00</w:t>
            </w:r>
          </w:p>
        </w:tc>
      </w:tr>
      <w:tr w:rsidR="00472913" w:rsidRPr="007645C2" w14:paraId="63C6972B" w14:textId="77777777" w:rsidTr="00472913">
        <w:trPr>
          <w:trHeight w:val="288"/>
        </w:trPr>
        <w:tc>
          <w:tcPr>
            <w:tcW w:w="1411" w:type="dxa"/>
            <w:tcBorders>
              <w:top w:val="nil"/>
              <w:left w:val="single" w:sz="4" w:space="0" w:color="auto"/>
              <w:bottom w:val="single" w:sz="4" w:space="0" w:color="auto"/>
              <w:right w:val="single" w:sz="4" w:space="0" w:color="auto"/>
            </w:tcBorders>
            <w:shd w:val="clear" w:color="auto" w:fill="auto"/>
            <w:hideMark/>
          </w:tcPr>
          <w:p w14:paraId="0CE62C46" w14:textId="4F3EF8A6" w:rsidR="005670EA" w:rsidRPr="007645C2" w:rsidRDefault="00390EDE" w:rsidP="0013678A">
            <w:pPr>
              <w:spacing w:after="0" w:line="240" w:lineRule="auto"/>
              <w:rPr>
                <w:rFonts w:ascii="Arial" w:eastAsia="Times New Roman" w:hAnsi="Arial"/>
                <w:b w:val="0"/>
                <w:sz w:val="17"/>
                <w:szCs w:val="17"/>
              </w:rPr>
            </w:pPr>
            <w:r w:rsidRPr="007645C2">
              <w:rPr>
                <w:rFonts w:ascii="Arial" w:eastAsia="Times New Roman" w:hAnsi="Arial"/>
                <w:b w:val="0"/>
                <w:sz w:val="17"/>
                <w:szCs w:val="17"/>
              </w:rPr>
              <w:t>S</w:t>
            </w:r>
            <w:r w:rsidR="005670EA" w:rsidRPr="007645C2">
              <w:rPr>
                <w:rFonts w:ascii="Arial" w:eastAsia="Times New Roman" w:hAnsi="Arial"/>
                <w:b w:val="0"/>
                <w:sz w:val="17"/>
                <w:szCs w:val="17"/>
              </w:rPr>
              <w:t xml:space="preserve">ervice delivery for TB patients </w:t>
            </w:r>
          </w:p>
        </w:tc>
        <w:tc>
          <w:tcPr>
            <w:tcW w:w="1323" w:type="dxa"/>
            <w:tcBorders>
              <w:top w:val="nil"/>
              <w:left w:val="nil"/>
              <w:bottom w:val="single" w:sz="4" w:space="0" w:color="auto"/>
              <w:right w:val="single" w:sz="4" w:space="0" w:color="auto"/>
            </w:tcBorders>
            <w:shd w:val="clear" w:color="auto" w:fill="auto"/>
            <w:hideMark/>
          </w:tcPr>
          <w:p w14:paraId="753D2BB4"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39,963,196.70</w:t>
            </w:r>
          </w:p>
        </w:tc>
        <w:tc>
          <w:tcPr>
            <w:tcW w:w="1323" w:type="dxa"/>
            <w:tcBorders>
              <w:top w:val="nil"/>
              <w:left w:val="nil"/>
              <w:bottom w:val="single" w:sz="4" w:space="0" w:color="auto"/>
              <w:right w:val="single" w:sz="4" w:space="0" w:color="auto"/>
            </w:tcBorders>
            <w:shd w:val="clear" w:color="auto" w:fill="auto"/>
            <w:hideMark/>
          </w:tcPr>
          <w:p w14:paraId="46C29406"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41,308,709.00</w:t>
            </w:r>
          </w:p>
        </w:tc>
        <w:tc>
          <w:tcPr>
            <w:tcW w:w="1323" w:type="dxa"/>
            <w:tcBorders>
              <w:top w:val="nil"/>
              <w:left w:val="nil"/>
              <w:bottom w:val="single" w:sz="4" w:space="0" w:color="auto"/>
              <w:right w:val="single" w:sz="4" w:space="0" w:color="auto"/>
            </w:tcBorders>
            <w:shd w:val="clear" w:color="auto" w:fill="auto"/>
            <w:hideMark/>
          </w:tcPr>
          <w:p w14:paraId="31B578EE"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42,322,839.00</w:t>
            </w:r>
          </w:p>
        </w:tc>
        <w:tc>
          <w:tcPr>
            <w:tcW w:w="1323" w:type="dxa"/>
            <w:tcBorders>
              <w:top w:val="nil"/>
              <w:left w:val="nil"/>
              <w:bottom w:val="single" w:sz="4" w:space="0" w:color="auto"/>
              <w:right w:val="single" w:sz="4" w:space="0" w:color="auto"/>
            </w:tcBorders>
            <w:shd w:val="clear" w:color="auto" w:fill="auto"/>
            <w:hideMark/>
          </w:tcPr>
          <w:p w14:paraId="19ED18A2"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42,368,997.00</w:t>
            </w:r>
          </w:p>
        </w:tc>
        <w:tc>
          <w:tcPr>
            <w:tcW w:w="1323" w:type="dxa"/>
            <w:tcBorders>
              <w:top w:val="nil"/>
              <w:left w:val="nil"/>
              <w:bottom w:val="single" w:sz="4" w:space="0" w:color="auto"/>
              <w:right w:val="single" w:sz="4" w:space="0" w:color="auto"/>
            </w:tcBorders>
            <w:shd w:val="clear" w:color="auto" w:fill="auto"/>
            <w:hideMark/>
          </w:tcPr>
          <w:p w14:paraId="37D6ADFB"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42,368,997.00</w:t>
            </w:r>
          </w:p>
        </w:tc>
        <w:tc>
          <w:tcPr>
            <w:tcW w:w="1323" w:type="dxa"/>
            <w:tcBorders>
              <w:top w:val="nil"/>
              <w:left w:val="nil"/>
              <w:bottom w:val="single" w:sz="4" w:space="0" w:color="auto"/>
              <w:right w:val="single" w:sz="4" w:space="0" w:color="auto"/>
            </w:tcBorders>
            <w:shd w:val="clear" w:color="auto" w:fill="auto"/>
            <w:hideMark/>
          </w:tcPr>
          <w:p w14:paraId="41DD59B0"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42,368,997.00</w:t>
            </w:r>
          </w:p>
        </w:tc>
      </w:tr>
      <w:tr w:rsidR="00472913" w:rsidRPr="007645C2" w14:paraId="2A14E1D2" w14:textId="77777777" w:rsidTr="00472913">
        <w:trPr>
          <w:trHeight w:val="288"/>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01CEA918" w14:textId="77777777" w:rsidR="005670EA" w:rsidRPr="007645C2" w:rsidRDefault="005670EA" w:rsidP="0013678A">
            <w:pPr>
              <w:spacing w:after="0" w:line="240" w:lineRule="auto"/>
              <w:rPr>
                <w:rFonts w:ascii="Arial" w:eastAsia="Times New Roman" w:hAnsi="Arial"/>
                <w:b w:val="0"/>
                <w:sz w:val="17"/>
                <w:szCs w:val="17"/>
              </w:rPr>
            </w:pPr>
            <w:r w:rsidRPr="007645C2">
              <w:rPr>
                <w:rFonts w:ascii="Arial" w:eastAsia="Times New Roman" w:hAnsi="Arial"/>
                <w:b w:val="0"/>
                <w:sz w:val="17"/>
                <w:szCs w:val="17"/>
              </w:rPr>
              <w:t xml:space="preserve">Social support for TB patients </w:t>
            </w:r>
          </w:p>
        </w:tc>
        <w:tc>
          <w:tcPr>
            <w:tcW w:w="1323" w:type="dxa"/>
            <w:tcBorders>
              <w:top w:val="nil"/>
              <w:left w:val="nil"/>
              <w:bottom w:val="single" w:sz="4" w:space="0" w:color="auto"/>
              <w:right w:val="single" w:sz="4" w:space="0" w:color="auto"/>
            </w:tcBorders>
            <w:shd w:val="clear" w:color="auto" w:fill="auto"/>
            <w:hideMark/>
          </w:tcPr>
          <w:p w14:paraId="7039B025"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1,190,613.70</w:t>
            </w:r>
          </w:p>
        </w:tc>
        <w:tc>
          <w:tcPr>
            <w:tcW w:w="1323" w:type="dxa"/>
            <w:tcBorders>
              <w:top w:val="nil"/>
              <w:left w:val="nil"/>
              <w:bottom w:val="single" w:sz="4" w:space="0" w:color="auto"/>
              <w:right w:val="single" w:sz="4" w:space="0" w:color="auto"/>
            </w:tcBorders>
            <w:shd w:val="clear" w:color="auto" w:fill="auto"/>
            <w:hideMark/>
          </w:tcPr>
          <w:p w14:paraId="70275EA5"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1,340,644.00</w:t>
            </w:r>
          </w:p>
        </w:tc>
        <w:tc>
          <w:tcPr>
            <w:tcW w:w="1323" w:type="dxa"/>
            <w:tcBorders>
              <w:top w:val="nil"/>
              <w:left w:val="nil"/>
              <w:bottom w:val="single" w:sz="4" w:space="0" w:color="auto"/>
              <w:right w:val="single" w:sz="4" w:space="0" w:color="auto"/>
            </w:tcBorders>
            <w:shd w:val="clear" w:color="auto" w:fill="auto"/>
            <w:hideMark/>
          </w:tcPr>
          <w:p w14:paraId="3166E3BE"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1,400,000.00</w:t>
            </w:r>
          </w:p>
        </w:tc>
        <w:tc>
          <w:tcPr>
            <w:tcW w:w="1323" w:type="dxa"/>
            <w:tcBorders>
              <w:top w:val="nil"/>
              <w:left w:val="nil"/>
              <w:bottom w:val="single" w:sz="4" w:space="0" w:color="auto"/>
              <w:right w:val="single" w:sz="4" w:space="0" w:color="auto"/>
            </w:tcBorders>
            <w:shd w:val="clear" w:color="auto" w:fill="auto"/>
            <w:hideMark/>
          </w:tcPr>
          <w:p w14:paraId="533BB6FB"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1,450,000.00</w:t>
            </w:r>
          </w:p>
        </w:tc>
        <w:tc>
          <w:tcPr>
            <w:tcW w:w="1323" w:type="dxa"/>
            <w:tcBorders>
              <w:top w:val="nil"/>
              <w:left w:val="nil"/>
              <w:bottom w:val="single" w:sz="4" w:space="0" w:color="auto"/>
              <w:right w:val="single" w:sz="4" w:space="0" w:color="auto"/>
            </w:tcBorders>
            <w:shd w:val="clear" w:color="auto" w:fill="auto"/>
            <w:hideMark/>
          </w:tcPr>
          <w:p w14:paraId="34E7958C"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1,450,000.00</w:t>
            </w:r>
          </w:p>
        </w:tc>
        <w:tc>
          <w:tcPr>
            <w:tcW w:w="1323" w:type="dxa"/>
            <w:tcBorders>
              <w:top w:val="nil"/>
              <w:left w:val="nil"/>
              <w:bottom w:val="single" w:sz="4" w:space="0" w:color="auto"/>
              <w:right w:val="single" w:sz="4" w:space="0" w:color="auto"/>
            </w:tcBorders>
            <w:shd w:val="clear" w:color="auto" w:fill="auto"/>
            <w:hideMark/>
          </w:tcPr>
          <w:p w14:paraId="3360F7F3"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1,450,000.00</w:t>
            </w:r>
          </w:p>
        </w:tc>
      </w:tr>
      <w:tr w:rsidR="00472913" w:rsidRPr="007645C2" w14:paraId="4AD81127" w14:textId="77777777" w:rsidTr="00472913">
        <w:trPr>
          <w:trHeight w:val="288"/>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7E280622" w14:textId="77777777" w:rsidR="005670EA" w:rsidRPr="007645C2" w:rsidRDefault="005670EA" w:rsidP="0013678A">
            <w:pPr>
              <w:spacing w:after="0" w:line="240" w:lineRule="auto"/>
              <w:rPr>
                <w:rFonts w:ascii="Arial" w:eastAsia="Times New Roman" w:hAnsi="Arial"/>
                <w:b w:val="0"/>
                <w:sz w:val="17"/>
                <w:szCs w:val="17"/>
              </w:rPr>
            </w:pPr>
            <w:r w:rsidRPr="007645C2">
              <w:rPr>
                <w:rFonts w:ascii="Arial" w:eastAsia="Times New Roman" w:hAnsi="Arial"/>
                <w:b w:val="0"/>
                <w:sz w:val="17"/>
                <w:szCs w:val="17"/>
              </w:rPr>
              <w:t xml:space="preserve">NGO grants </w:t>
            </w:r>
          </w:p>
        </w:tc>
        <w:tc>
          <w:tcPr>
            <w:tcW w:w="1323" w:type="dxa"/>
            <w:tcBorders>
              <w:top w:val="nil"/>
              <w:left w:val="nil"/>
              <w:bottom w:val="single" w:sz="4" w:space="0" w:color="auto"/>
              <w:right w:val="single" w:sz="4" w:space="0" w:color="auto"/>
            </w:tcBorders>
            <w:shd w:val="clear" w:color="auto" w:fill="auto"/>
            <w:hideMark/>
          </w:tcPr>
          <w:p w14:paraId="6080462D" w14:textId="6B32ED27" w:rsidR="005670EA" w:rsidRPr="007645C2" w:rsidRDefault="005670EA" w:rsidP="00472913">
            <w:pPr>
              <w:spacing w:after="0" w:line="240" w:lineRule="auto"/>
              <w:jc w:val="center"/>
              <w:rPr>
                <w:rFonts w:ascii="Arial" w:eastAsia="Times New Roman" w:hAnsi="Arial"/>
                <w:b w:val="0"/>
                <w:sz w:val="16"/>
                <w:szCs w:val="16"/>
              </w:rPr>
            </w:pPr>
          </w:p>
        </w:tc>
        <w:tc>
          <w:tcPr>
            <w:tcW w:w="1323" w:type="dxa"/>
            <w:tcBorders>
              <w:top w:val="nil"/>
              <w:left w:val="nil"/>
              <w:bottom w:val="single" w:sz="4" w:space="0" w:color="auto"/>
              <w:right w:val="single" w:sz="4" w:space="0" w:color="auto"/>
            </w:tcBorders>
            <w:shd w:val="clear" w:color="auto" w:fill="auto"/>
            <w:hideMark/>
          </w:tcPr>
          <w:p w14:paraId="3411280E" w14:textId="1BC0E2E9" w:rsidR="005670EA" w:rsidRPr="007645C2" w:rsidRDefault="005670EA" w:rsidP="00472913">
            <w:pPr>
              <w:spacing w:after="0" w:line="240" w:lineRule="auto"/>
              <w:jc w:val="center"/>
              <w:rPr>
                <w:rFonts w:ascii="Arial" w:eastAsia="Times New Roman" w:hAnsi="Arial"/>
                <w:b w:val="0"/>
                <w:sz w:val="16"/>
                <w:szCs w:val="16"/>
              </w:rPr>
            </w:pPr>
          </w:p>
        </w:tc>
        <w:tc>
          <w:tcPr>
            <w:tcW w:w="1323" w:type="dxa"/>
            <w:tcBorders>
              <w:top w:val="nil"/>
              <w:left w:val="nil"/>
              <w:bottom w:val="single" w:sz="4" w:space="0" w:color="auto"/>
              <w:right w:val="single" w:sz="4" w:space="0" w:color="auto"/>
            </w:tcBorders>
            <w:shd w:val="clear" w:color="auto" w:fill="auto"/>
            <w:hideMark/>
          </w:tcPr>
          <w:p w14:paraId="113A76A8" w14:textId="51CDD44B" w:rsidR="005670EA" w:rsidRPr="007645C2" w:rsidRDefault="005670EA" w:rsidP="00472913">
            <w:pPr>
              <w:spacing w:after="0" w:line="240" w:lineRule="auto"/>
              <w:jc w:val="center"/>
              <w:rPr>
                <w:rFonts w:ascii="Arial" w:eastAsia="Times New Roman" w:hAnsi="Arial"/>
                <w:b w:val="0"/>
                <w:sz w:val="16"/>
                <w:szCs w:val="16"/>
              </w:rPr>
            </w:pPr>
          </w:p>
        </w:tc>
        <w:tc>
          <w:tcPr>
            <w:tcW w:w="1323" w:type="dxa"/>
            <w:tcBorders>
              <w:top w:val="nil"/>
              <w:left w:val="nil"/>
              <w:bottom w:val="single" w:sz="4" w:space="0" w:color="auto"/>
              <w:right w:val="single" w:sz="4" w:space="0" w:color="auto"/>
            </w:tcBorders>
            <w:shd w:val="clear" w:color="auto" w:fill="auto"/>
            <w:hideMark/>
          </w:tcPr>
          <w:p w14:paraId="0AE6CF25" w14:textId="60561E4E" w:rsidR="005670EA" w:rsidRPr="007645C2" w:rsidRDefault="005670EA" w:rsidP="00472913">
            <w:pPr>
              <w:spacing w:after="0" w:line="240" w:lineRule="auto"/>
              <w:jc w:val="center"/>
              <w:rPr>
                <w:rFonts w:ascii="Arial" w:eastAsia="Times New Roman" w:hAnsi="Arial"/>
                <w:b w:val="0"/>
                <w:sz w:val="16"/>
                <w:szCs w:val="16"/>
              </w:rPr>
            </w:pPr>
          </w:p>
        </w:tc>
        <w:tc>
          <w:tcPr>
            <w:tcW w:w="1323" w:type="dxa"/>
            <w:tcBorders>
              <w:top w:val="nil"/>
              <w:left w:val="nil"/>
              <w:bottom w:val="single" w:sz="4" w:space="0" w:color="auto"/>
              <w:right w:val="single" w:sz="4" w:space="0" w:color="auto"/>
            </w:tcBorders>
            <w:shd w:val="clear" w:color="auto" w:fill="auto"/>
            <w:hideMark/>
          </w:tcPr>
          <w:p w14:paraId="53A57630"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75,000.00</w:t>
            </w:r>
          </w:p>
        </w:tc>
        <w:tc>
          <w:tcPr>
            <w:tcW w:w="1323" w:type="dxa"/>
            <w:tcBorders>
              <w:top w:val="nil"/>
              <w:left w:val="nil"/>
              <w:bottom w:val="single" w:sz="4" w:space="0" w:color="auto"/>
              <w:right w:val="single" w:sz="4" w:space="0" w:color="auto"/>
            </w:tcBorders>
            <w:shd w:val="clear" w:color="auto" w:fill="auto"/>
            <w:hideMark/>
          </w:tcPr>
          <w:p w14:paraId="0DB3EEAD" w14:textId="77777777" w:rsidR="005670EA" w:rsidRPr="007645C2" w:rsidRDefault="005670EA" w:rsidP="00472913">
            <w:pPr>
              <w:spacing w:after="0" w:line="240" w:lineRule="auto"/>
              <w:jc w:val="center"/>
              <w:rPr>
                <w:rFonts w:ascii="Arial" w:eastAsia="Times New Roman" w:hAnsi="Arial"/>
                <w:b w:val="0"/>
                <w:sz w:val="16"/>
                <w:szCs w:val="16"/>
              </w:rPr>
            </w:pPr>
            <w:r w:rsidRPr="007645C2">
              <w:rPr>
                <w:rFonts w:ascii="Arial" w:eastAsia="Times New Roman" w:hAnsi="Arial"/>
                <w:b w:val="0"/>
                <w:sz w:val="16"/>
                <w:szCs w:val="16"/>
              </w:rPr>
              <w:t>150,000.00</w:t>
            </w:r>
          </w:p>
        </w:tc>
      </w:tr>
      <w:tr w:rsidR="00472913" w:rsidRPr="007645C2" w14:paraId="1197E694" w14:textId="77777777" w:rsidTr="00472913">
        <w:trPr>
          <w:trHeight w:val="350"/>
        </w:trPr>
        <w:tc>
          <w:tcPr>
            <w:tcW w:w="1411" w:type="dxa"/>
            <w:vMerge w:val="restart"/>
            <w:tcBorders>
              <w:top w:val="nil"/>
              <w:left w:val="single" w:sz="4" w:space="0" w:color="auto"/>
              <w:right w:val="single" w:sz="4" w:space="0" w:color="auto"/>
            </w:tcBorders>
            <w:shd w:val="clear" w:color="auto" w:fill="auto"/>
            <w:noWrap/>
            <w:vAlign w:val="center"/>
            <w:hideMark/>
          </w:tcPr>
          <w:p w14:paraId="5E16E8BF" w14:textId="77777777" w:rsidR="005670EA" w:rsidRPr="007645C2" w:rsidRDefault="005670EA" w:rsidP="00472913">
            <w:pPr>
              <w:spacing w:after="0" w:line="240" w:lineRule="auto"/>
              <w:jc w:val="center"/>
              <w:rPr>
                <w:rFonts w:ascii="Arial" w:eastAsia="Times New Roman" w:hAnsi="Arial"/>
                <w:bCs/>
                <w:sz w:val="17"/>
                <w:szCs w:val="17"/>
              </w:rPr>
            </w:pPr>
            <w:r w:rsidRPr="007645C2">
              <w:rPr>
                <w:rFonts w:ascii="Arial" w:eastAsia="Times New Roman" w:hAnsi="Arial"/>
                <w:bCs/>
                <w:sz w:val="17"/>
                <w:szCs w:val="17"/>
              </w:rPr>
              <w:t>Total</w:t>
            </w:r>
          </w:p>
        </w:tc>
        <w:tc>
          <w:tcPr>
            <w:tcW w:w="1323" w:type="dxa"/>
            <w:tcBorders>
              <w:top w:val="nil"/>
              <w:left w:val="nil"/>
              <w:bottom w:val="single" w:sz="4" w:space="0" w:color="auto"/>
              <w:right w:val="single" w:sz="4" w:space="0" w:color="auto"/>
            </w:tcBorders>
            <w:shd w:val="clear" w:color="auto" w:fill="auto"/>
            <w:hideMark/>
          </w:tcPr>
          <w:p w14:paraId="2FEBD096" w14:textId="77777777" w:rsidR="005670EA" w:rsidRPr="007645C2" w:rsidRDefault="005670EA" w:rsidP="00472913">
            <w:pPr>
              <w:spacing w:after="0" w:line="240" w:lineRule="auto"/>
              <w:jc w:val="center"/>
              <w:rPr>
                <w:rFonts w:ascii="Arial" w:eastAsia="Times New Roman" w:hAnsi="Arial"/>
                <w:bCs/>
                <w:sz w:val="16"/>
                <w:szCs w:val="16"/>
              </w:rPr>
            </w:pPr>
            <w:r w:rsidRPr="007645C2">
              <w:rPr>
                <w:rFonts w:ascii="Arial" w:eastAsia="Times New Roman" w:hAnsi="Arial"/>
                <w:bCs/>
                <w:sz w:val="16"/>
                <w:szCs w:val="16"/>
              </w:rPr>
              <w:t>48,548,520.50</w:t>
            </w:r>
          </w:p>
        </w:tc>
        <w:tc>
          <w:tcPr>
            <w:tcW w:w="1323" w:type="dxa"/>
            <w:tcBorders>
              <w:top w:val="nil"/>
              <w:left w:val="nil"/>
              <w:bottom w:val="single" w:sz="4" w:space="0" w:color="auto"/>
              <w:right w:val="single" w:sz="4" w:space="0" w:color="auto"/>
            </w:tcBorders>
            <w:shd w:val="clear" w:color="auto" w:fill="auto"/>
            <w:hideMark/>
          </w:tcPr>
          <w:p w14:paraId="04ADE53C" w14:textId="77777777" w:rsidR="005670EA" w:rsidRPr="007645C2" w:rsidRDefault="005670EA" w:rsidP="00472913">
            <w:pPr>
              <w:spacing w:after="0" w:line="240" w:lineRule="auto"/>
              <w:jc w:val="center"/>
              <w:rPr>
                <w:rFonts w:ascii="Arial" w:eastAsia="Times New Roman" w:hAnsi="Arial"/>
                <w:bCs/>
                <w:sz w:val="16"/>
                <w:szCs w:val="16"/>
              </w:rPr>
            </w:pPr>
            <w:r w:rsidRPr="007645C2">
              <w:rPr>
                <w:rFonts w:ascii="Arial" w:eastAsia="Times New Roman" w:hAnsi="Arial"/>
                <w:bCs/>
                <w:sz w:val="16"/>
                <w:szCs w:val="16"/>
              </w:rPr>
              <w:t>50,301,485.00</w:t>
            </w:r>
          </w:p>
        </w:tc>
        <w:tc>
          <w:tcPr>
            <w:tcW w:w="1323" w:type="dxa"/>
            <w:tcBorders>
              <w:top w:val="nil"/>
              <w:left w:val="nil"/>
              <w:bottom w:val="single" w:sz="4" w:space="0" w:color="auto"/>
              <w:right w:val="single" w:sz="4" w:space="0" w:color="auto"/>
            </w:tcBorders>
            <w:shd w:val="clear" w:color="auto" w:fill="auto"/>
            <w:hideMark/>
          </w:tcPr>
          <w:p w14:paraId="1E3FE100" w14:textId="77777777" w:rsidR="005670EA" w:rsidRPr="007645C2" w:rsidRDefault="005670EA" w:rsidP="00472913">
            <w:pPr>
              <w:spacing w:after="0" w:line="240" w:lineRule="auto"/>
              <w:jc w:val="center"/>
              <w:rPr>
                <w:rFonts w:ascii="Arial" w:eastAsia="Times New Roman" w:hAnsi="Arial"/>
                <w:bCs/>
                <w:sz w:val="16"/>
                <w:szCs w:val="16"/>
              </w:rPr>
            </w:pPr>
            <w:r w:rsidRPr="007645C2">
              <w:rPr>
                <w:rFonts w:ascii="Arial" w:eastAsia="Times New Roman" w:hAnsi="Arial"/>
                <w:bCs/>
                <w:sz w:val="16"/>
                <w:szCs w:val="16"/>
              </w:rPr>
              <w:t>50,357,233.00</w:t>
            </w:r>
          </w:p>
        </w:tc>
        <w:tc>
          <w:tcPr>
            <w:tcW w:w="1323" w:type="dxa"/>
            <w:tcBorders>
              <w:top w:val="nil"/>
              <w:left w:val="nil"/>
              <w:bottom w:val="single" w:sz="4" w:space="0" w:color="auto"/>
              <w:right w:val="single" w:sz="4" w:space="0" w:color="auto"/>
            </w:tcBorders>
            <w:shd w:val="clear" w:color="auto" w:fill="auto"/>
            <w:hideMark/>
          </w:tcPr>
          <w:p w14:paraId="13A78B4E" w14:textId="77777777" w:rsidR="005670EA" w:rsidRPr="007645C2" w:rsidRDefault="005670EA" w:rsidP="00472913">
            <w:pPr>
              <w:spacing w:after="0" w:line="240" w:lineRule="auto"/>
              <w:jc w:val="center"/>
              <w:rPr>
                <w:rFonts w:ascii="Arial" w:eastAsia="Times New Roman" w:hAnsi="Arial"/>
                <w:bCs/>
                <w:sz w:val="16"/>
                <w:szCs w:val="16"/>
              </w:rPr>
            </w:pPr>
            <w:r w:rsidRPr="007645C2">
              <w:rPr>
                <w:rFonts w:ascii="Arial" w:eastAsia="Times New Roman" w:hAnsi="Arial"/>
                <w:bCs/>
                <w:sz w:val="16"/>
                <w:szCs w:val="16"/>
              </w:rPr>
              <w:t>50,453,391.00</w:t>
            </w:r>
          </w:p>
        </w:tc>
        <w:tc>
          <w:tcPr>
            <w:tcW w:w="1323" w:type="dxa"/>
            <w:tcBorders>
              <w:top w:val="nil"/>
              <w:left w:val="nil"/>
              <w:bottom w:val="single" w:sz="4" w:space="0" w:color="auto"/>
              <w:right w:val="single" w:sz="4" w:space="0" w:color="auto"/>
            </w:tcBorders>
            <w:shd w:val="clear" w:color="auto" w:fill="auto"/>
            <w:hideMark/>
          </w:tcPr>
          <w:p w14:paraId="1D97DBB2" w14:textId="77777777" w:rsidR="005670EA" w:rsidRPr="007645C2" w:rsidRDefault="005670EA" w:rsidP="00472913">
            <w:pPr>
              <w:spacing w:after="0" w:line="240" w:lineRule="auto"/>
              <w:jc w:val="center"/>
              <w:rPr>
                <w:rFonts w:ascii="Arial" w:eastAsia="Times New Roman" w:hAnsi="Arial"/>
                <w:bCs/>
                <w:sz w:val="16"/>
                <w:szCs w:val="16"/>
              </w:rPr>
            </w:pPr>
            <w:r w:rsidRPr="007645C2">
              <w:rPr>
                <w:rFonts w:ascii="Arial" w:eastAsia="Times New Roman" w:hAnsi="Arial"/>
                <w:bCs/>
                <w:sz w:val="16"/>
                <w:szCs w:val="16"/>
              </w:rPr>
              <w:t>50,528,391.00</w:t>
            </w:r>
          </w:p>
        </w:tc>
        <w:tc>
          <w:tcPr>
            <w:tcW w:w="1323" w:type="dxa"/>
            <w:tcBorders>
              <w:top w:val="nil"/>
              <w:left w:val="nil"/>
              <w:bottom w:val="single" w:sz="4" w:space="0" w:color="auto"/>
              <w:right w:val="single" w:sz="4" w:space="0" w:color="auto"/>
            </w:tcBorders>
            <w:shd w:val="clear" w:color="auto" w:fill="auto"/>
            <w:hideMark/>
          </w:tcPr>
          <w:p w14:paraId="65D40385" w14:textId="77777777" w:rsidR="005670EA" w:rsidRPr="007645C2" w:rsidRDefault="005670EA" w:rsidP="00472913">
            <w:pPr>
              <w:spacing w:after="0" w:line="240" w:lineRule="auto"/>
              <w:jc w:val="center"/>
              <w:rPr>
                <w:rFonts w:ascii="Arial" w:eastAsia="Times New Roman" w:hAnsi="Arial"/>
                <w:bCs/>
                <w:sz w:val="16"/>
                <w:szCs w:val="16"/>
              </w:rPr>
            </w:pPr>
            <w:r w:rsidRPr="007645C2">
              <w:rPr>
                <w:rFonts w:ascii="Arial" w:eastAsia="Times New Roman" w:hAnsi="Arial"/>
                <w:bCs/>
                <w:sz w:val="16"/>
                <w:szCs w:val="16"/>
              </w:rPr>
              <w:t>50,603,391.00</w:t>
            </w:r>
          </w:p>
        </w:tc>
      </w:tr>
      <w:tr w:rsidR="00472913" w:rsidRPr="007645C2" w14:paraId="614DDFE2" w14:textId="77777777" w:rsidTr="00472913">
        <w:trPr>
          <w:trHeight w:val="288"/>
        </w:trPr>
        <w:tc>
          <w:tcPr>
            <w:tcW w:w="1411" w:type="dxa"/>
            <w:vMerge/>
            <w:tcBorders>
              <w:left w:val="single" w:sz="4" w:space="0" w:color="auto"/>
              <w:bottom w:val="single" w:sz="4" w:space="0" w:color="auto"/>
              <w:right w:val="single" w:sz="4" w:space="0" w:color="auto"/>
            </w:tcBorders>
            <w:shd w:val="clear" w:color="auto" w:fill="auto"/>
            <w:noWrap/>
            <w:vAlign w:val="bottom"/>
            <w:hideMark/>
          </w:tcPr>
          <w:p w14:paraId="0B756667" w14:textId="77777777" w:rsidR="005670EA" w:rsidRPr="007645C2" w:rsidRDefault="005670EA" w:rsidP="0013678A">
            <w:pPr>
              <w:spacing w:after="0" w:line="240" w:lineRule="auto"/>
              <w:jc w:val="right"/>
              <w:rPr>
                <w:rFonts w:ascii="Arial" w:eastAsia="Times New Roman" w:hAnsi="Arial"/>
                <w:b w:val="0"/>
                <w:bCs/>
                <w:sz w:val="20"/>
                <w:szCs w:val="20"/>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3E75" w14:textId="77777777" w:rsidR="005670EA" w:rsidRPr="007645C2" w:rsidRDefault="005670EA" w:rsidP="0013678A">
            <w:pPr>
              <w:spacing w:after="0" w:line="240" w:lineRule="auto"/>
              <w:jc w:val="center"/>
              <w:rPr>
                <w:rFonts w:ascii="Arial" w:eastAsia="Times New Roman" w:hAnsi="Arial"/>
                <w:bCs/>
                <w:sz w:val="18"/>
                <w:szCs w:val="18"/>
              </w:rPr>
            </w:pPr>
            <w:r w:rsidRPr="007645C2">
              <w:rPr>
                <w:rFonts w:ascii="Arial" w:eastAsia="Times New Roman" w:hAnsi="Arial"/>
                <w:bCs/>
                <w:sz w:val="18"/>
                <w:szCs w:val="18"/>
              </w:rPr>
              <w:t>149,207,238.50</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6DB74" w14:textId="77777777" w:rsidR="005670EA" w:rsidRPr="007645C2" w:rsidRDefault="005670EA" w:rsidP="0013678A">
            <w:pPr>
              <w:spacing w:after="0" w:line="240" w:lineRule="auto"/>
              <w:jc w:val="center"/>
              <w:rPr>
                <w:rFonts w:ascii="Arial" w:eastAsia="Times New Roman" w:hAnsi="Arial"/>
                <w:bCs/>
                <w:sz w:val="18"/>
                <w:szCs w:val="18"/>
              </w:rPr>
            </w:pPr>
            <w:r w:rsidRPr="007645C2">
              <w:rPr>
                <w:rFonts w:ascii="Arial" w:eastAsia="Times New Roman" w:hAnsi="Arial"/>
                <w:bCs/>
                <w:sz w:val="18"/>
                <w:szCs w:val="18"/>
              </w:rPr>
              <w:t>151,585,173.00</w:t>
            </w:r>
          </w:p>
        </w:tc>
      </w:tr>
    </w:tbl>
    <w:p w14:paraId="498B9E63" w14:textId="2DC151AE" w:rsidR="005670EA" w:rsidRPr="007645C2" w:rsidRDefault="00352BC2" w:rsidP="002214FC">
      <w:pPr>
        <w:spacing w:before="120" w:after="120" w:line="240" w:lineRule="auto"/>
        <w:jc w:val="both"/>
        <w:rPr>
          <w:rFonts w:ascii="Arial" w:eastAsia="SimSun" w:hAnsi="Arial"/>
          <w:b w:val="0"/>
          <w:lang w:eastAsia="zh-CN"/>
        </w:rPr>
      </w:pPr>
      <w:r w:rsidRPr="007645C2">
        <w:rPr>
          <w:rFonts w:ascii="Arial" w:eastAsia="SimSun" w:hAnsi="Arial"/>
          <w:b w:val="0"/>
          <w:lang w:eastAsia="zh-CN"/>
        </w:rPr>
        <w:t>The decreas</w:t>
      </w:r>
      <w:r w:rsidR="00472913" w:rsidRPr="007645C2">
        <w:rPr>
          <w:rFonts w:ascii="Arial" w:eastAsia="SimSun" w:hAnsi="Arial"/>
          <w:b w:val="0"/>
          <w:lang w:eastAsia="zh-CN"/>
        </w:rPr>
        <w:t xml:space="preserve">e in funding </w:t>
      </w:r>
      <w:r w:rsidRPr="007645C2">
        <w:rPr>
          <w:rFonts w:ascii="Arial" w:eastAsia="SimSun" w:hAnsi="Arial"/>
          <w:b w:val="0"/>
          <w:lang w:eastAsia="zh-CN"/>
        </w:rPr>
        <w:t>for procurement of anti</w:t>
      </w:r>
      <w:r w:rsidR="00472913" w:rsidRPr="007645C2">
        <w:rPr>
          <w:rFonts w:ascii="Arial" w:eastAsia="SimSun" w:hAnsi="Arial"/>
          <w:b w:val="0"/>
          <w:lang w:eastAsia="zh-CN"/>
        </w:rPr>
        <w:t xml:space="preserve">-TB </w:t>
      </w:r>
      <w:r w:rsidRPr="007645C2">
        <w:rPr>
          <w:rFonts w:ascii="Arial" w:eastAsia="SimSun" w:hAnsi="Arial"/>
          <w:b w:val="0"/>
          <w:lang w:eastAsia="zh-CN"/>
        </w:rPr>
        <w:t xml:space="preserve">drugs </w:t>
      </w:r>
      <w:proofErr w:type="gramStart"/>
      <w:r w:rsidRPr="007645C2">
        <w:rPr>
          <w:rFonts w:ascii="Arial" w:eastAsia="SimSun" w:hAnsi="Arial"/>
          <w:b w:val="0"/>
          <w:lang w:eastAsia="zh-CN"/>
        </w:rPr>
        <w:t>is explained</w:t>
      </w:r>
      <w:proofErr w:type="gramEnd"/>
      <w:r w:rsidRPr="007645C2">
        <w:rPr>
          <w:rFonts w:ascii="Arial" w:eastAsia="SimSun" w:hAnsi="Arial"/>
          <w:b w:val="0"/>
          <w:lang w:eastAsia="zh-CN"/>
        </w:rPr>
        <w:t xml:space="preserve"> by</w:t>
      </w:r>
      <w:r w:rsidR="00C87E4B" w:rsidRPr="007645C2">
        <w:rPr>
          <w:rFonts w:ascii="Arial" w:eastAsia="SimSun" w:hAnsi="Arial"/>
          <w:b w:val="0"/>
          <w:lang w:eastAsia="zh-CN"/>
        </w:rPr>
        <w:t xml:space="preserve"> the </w:t>
      </w:r>
      <w:r w:rsidR="00472913" w:rsidRPr="007645C2">
        <w:rPr>
          <w:rFonts w:ascii="Arial" w:eastAsia="SimSun" w:hAnsi="Arial"/>
          <w:b w:val="0"/>
          <w:lang w:eastAsia="zh-CN"/>
        </w:rPr>
        <w:t xml:space="preserve">decreasing </w:t>
      </w:r>
      <w:r w:rsidR="003E19E9" w:rsidRPr="007645C2">
        <w:rPr>
          <w:rFonts w:ascii="Arial" w:eastAsia="SimSun" w:hAnsi="Arial"/>
          <w:b w:val="0"/>
          <w:lang w:eastAsia="zh-CN"/>
        </w:rPr>
        <w:t xml:space="preserve">in </w:t>
      </w:r>
      <w:r w:rsidR="00472913" w:rsidRPr="007645C2">
        <w:rPr>
          <w:rFonts w:ascii="Arial" w:eastAsia="SimSun" w:hAnsi="Arial"/>
          <w:b w:val="0"/>
          <w:lang w:eastAsia="zh-CN"/>
        </w:rPr>
        <w:t xml:space="preserve">total </w:t>
      </w:r>
      <w:r w:rsidR="00C87E4B" w:rsidRPr="007645C2">
        <w:rPr>
          <w:rFonts w:ascii="Arial" w:eastAsia="SimSun" w:hAnsi="Arial"/>
          <w:b w:val="0"/>
          <w:lang w:eastAsia="zh-CN"/>
        </w:rPr>
        <w:t>number of expected patients, and lower drug costs due to procurement</w:t>
      </w:r>
      <w:r w:rsidR="00472913" w:rsidRPr="007645C2">
        <w:rPr>
          <w:rFonts w:ascii="Arial" w:eastAsia="SimSun" w:hAnsi="Arial"/>
          <w:b w:val="0"/>
          <w:lang w:eastAsia="zh-CN"/>
        </w:rPr>
        <w:t xml:space="preserve"> of</w:t>
      </w:r>
      <w:r w:rsidR="00C87E4B" w:rsidRPr="007645C2">
        <w:rPr>
          <w:rFonts w:ascii="Arial" w:eastAsia="SimSun" w:hAnsi="Arial"/>
          <w:b w:val="0"/>
          <w:lang w:eastAsia="zh-CN"/>
        </w:rPr>
        <w:t xml:space="preserve"> </w:t>
      </w:r>
      <w:r w:rsidR="00472913" w:rsidRPr="007645C2">
        <w:rPr>
          <w:rFonts w:ascii="Arial" w:eastAsia="SimSun" w:hAnsi="Arial"/>
          <w:b w:val="0"/>
          <w:lang w:eastAsia="zh-CN"/>
        </w:rPr>
        <w:t xml:space="preserve">new and repurposed drugs </w:t>
      </w:r>
      <w:r w:rsidR="00C87E4B" w:rsidRPr="007645C2">
        <w:rPr>
          <w:rFonts w:ascii="Arial" w:eastAsia="SimSun" w:hAnsi="Arial"/>
          <w:b w:val="0"/>
          <w:lang w:eastAsia="zh-CN"/>
        </w:rPr>
        <w:t>through GDF under the national budget sources.</w:t>
      </w:r>
      <w:r w:rsidRPr="007645C2">
        <w:rPr>
          <w:rFonts w:ascii="Arial" w:eastAsia="SimSun" w:hAnsi="Arial"/>
          <w:b w:val="0"/>
          <w:lang w:eastAsia="zh-CN"/>
        </w:rPr>
        <w:t xml:space="preserve"> </w:t>
      </w:r>
    </w:p>
    <w:p w14:paraId="01C1F5F3" w14:textId="77777777" w:rsidR="0013678A" w:rsidRPr="007645C2" w:rsidRDefault="00B34DA4" w:rsidP="002214FC">
      <w:pPr>
        <w:spacing w:before="120" w:after="120" w:line="240" w:lineRule="auto"/>
        <w:jc w:val="both"/>
        <w:rPr>
          <w:rFonts w:ascii="Arial" w:eastAsia="SimSun" w:hAnsi="Arial"/>
          <w:b w:val="0"/>
          <w:lang w:eastAsia="zh-CN"/>
        </w:rPr>
      </w:pPr>
      <w:r w:rsidRPr="007645C2">
        <w:rPr>
          <w:rFonts w:ascii="Arial" w:eastAsia="SimSun" w:hAnsi="Arial"/>
          <w:b w:val="0"/>
          <w:lang w:eastAsia="zh-CN"/>
        </w:rPr>
        <w:t xml:space="preserve">The donor landscape for TB in Kazakhstan is limited and includes, along with TGF, USAID, UN Agencies with technical support and few other international organizations with insignificant contribution. </w:t>
      </w:r>
    </w:p>
    <w:p w14:paraId="24DE3F43" w14:textId="1090503F" w:rsidR="0013678A" w:rsidRPr="007645C2" w:rsidRDefault="0013678A" w:rsidP="002214FC">
      <w:pPr>
        <w:spacing w:before="120" w:after="120" w:line="240" w:lineRule="auto"/>
        <w:jc w:val="both"/>
        <w:rPr>
          <w:rFonts w:ascii="Arial" w:eastAsia="SimSun" w:hAnsi="Arial"/>
          <w:b w:val="0"/>
          <w:lang w:eastAsia="zh-CN"/>
        </w:rPr>
      </w:pPr>
      <w:r w:rsidRPr="007645C2">
        <w:rPr>
          <w:rFonts w:ascii="Arial" w:eastAsia="SimSun" w:hAnsi="Arial"/>
          <w:b w:val="0"/>
          <w:lang w:eastAsia="zh-CN"/>
        </w:rPr>
        <w:t xml:space="preserve">During </w:t>
      </w:r>
      <w:r w:rsidR="00472913" w:rsidRPr="007645C2">
        <w:rPr>
          <w:rFonts w:ascii="Arial" w:eastAsia="SimSun" w:hAnsi="Arial"/>
          <w:b w:val="0"/>
          <w:lang w:eastAsia="zh-CN"/>
        </w:rPr>
        <w:t xml:space="preserve">recent </w:t>
      </w:r>
      <w:r w:rsidRPr="007645C2">
        <w:rPr>
          <w:rFonts w:ascii="Arial" w:eastAsia="SimSun" w:hAnsi="Arial"/>
          <w:b w:val="0"/>
          <w:lang w:eastAsia="zh-CN"/>
        </w:rPr>
        <w:t xml:space="preserve">years, </w:t>
      </w:r>
      <w:r w:rsidR="00472913" w:rsidRPr="007645C2">
        <w:rPr>
          <w:rFonts w:ascii="Arial" w:eastAsia="SimSun" w:hAnsi="Arial"/>
          <w:b w:val="0"/>
          <w:lang w:eastAsia="zh-CN"/>
        </w:rPr>
        <w:t xml:space="preserve">external </w:t>
      </w:r>
      <w:r w:rsidRPr="007645C2">
        <w:rPr>
          <w:rFonts w:ascii="Arial" w:eastAsia="SimSun" w:hAnsi="Arial"/>
          <w:b w:val="0"/>
          <w:lang w:eastAsia="zh-CN"/>
        </w:rPr>
        <w:t xml:space="preserve">support </w:t>
      </w:r>
      <w:r w:rsidR="00472913" w:rsidRPr="007645C2">
        <w:rPr>
          <w:rFonts w:ascii="Arial" w:eastAsia="SimSun" w:hAnsi="Arial"/>
          <w:b w:val="0"/>
          <w:lang w:eastAsia="zh-CN"/>
        </w:rPr>
        <w:t xml:space="preserve">in the field of TB in Kazakhstan </w:t>
      </w:r>
      <w:proofErr w:type="gramStart"/>
      <w:r w:rsidRPr="007645C2">
        <w:rPr>
          <w:rFonts w:ascii="Arial" w:eastAsia="SimSun" w:hAnsi="Arial"/>
          <w:b w:val="0"/>
          <w:lang w:eastAsia="zh-CN"/>
        </w:rPr>
        <w:t>has been provided</w:t>
      </w:r>
      <w:proofErr w:type="gramEnd"/>
      <w:r w:rsidRPr="007645C2">
        <w:rPr>
          <w:rFonts w:ascii="Arial" w:eastAsia="SimSun" w:hAnsi="Arial"/>
          <w:b w:val="0"/>
          <w:lang w:eastAsia="zh-CN"/>
        </w:rPr>
        <w:t xml:space="preserve"> by</w:t>
      </w:r>
      <w:r w:rsidR="00472913" w:rsidRPr="007645C2">
        <w:rPr>
          <w:rFonts w:ascii="Arial" w:eastAsia="SimSun" w:hAnsi="Arial"/>
          <w:b w:val="0"/>
          <w:lang w:eastAsia="zh-CN"/>
        </w:rPr>
        <w:t xml:space="preserve"> the following partner</w:t>
      </w:r>
      <w:r w:rsidRPr="007645C2">
        <w:rPr>
          <w:rFonts w:ascii="Arial" w:eastAsia="SimSun" w:hAnsi="Arial"/>
          <w:b w:val="0"/>
          <w:lang w:eastAsia="zh-CN"/>
        </w:rPr>
        <w:t xml:space="preserve"> organizations:</w:t>
      </w:r>
    </w:p>
    <w:p w14:paraId="447A82B7" w14:textId="1FCFED94" w:rsidR="00CB6B21" w:rsidRPr="007645C2" w:rsidRDefault="0013678A" w:rsidP="00CB6B21">
      <w:pPr>
        <w:pStyle w:val="ListParagraph"/>
        <w:numPr>
          <w:ilvl w:val="0"/>
          <w:numId w:val="27"/>
        </w:numPr>
        <w:spacing w:before="120" w:after="120" w:line="240" w:lineRule="auto"/>
        <w:jc w:val="both"/>
        <w:rPr>
          <w:rFonts w:ascii="Arial" w:eastAsia="SimSun" w:hAnsi="Arial"/>
          <w:b w:val="0"/>
          <w:lang w:eastAsia="zh-CN"/>
        </w:rPr>
      </w:pPr>
      <w:r w:rsidRPr="007645C2">
        <w:rPr>
          <w:rFonts w:ascii="Arial" w:eastAsia="SimSun" w:hAnsi="Arial"/>
          <w:i/>
          <w:lang w:eastAsia="zh-CN"/>
        </w:rPr>
        <w:t>Partners in Health (PIH)</w:t>
      </w:r>
      <w:r w:rsidR="00CB6B21" w:rsidRPr="007645C2">
        <w:rPr>
          <w:rFonts w:ascii="Arial" w:eastAsia="SimSun" w:hAnsi="Arial"/>
          <w:i/>
          <w:lang w:eastAsia="zh-CN"/>
        </w:rPr>
        <w:t xml:space="preserve">. </w:t>
      </w:r>
      <w:r w:rsidR="00CB6B21" w:rsidRPr="007645C2">
        <w:rPr>
          <w:rFonts w:ascii="Arial" w:eastAsia="SimSun" w:hAnsi="Arial"/>
          <w:b w:val="0"/>
          <w:lang w:eastAsia="zh-CN"/>
        </w:rPr>
        <w:t>St</w:t>
      </w:r>
      <w:r w:rsidRPr="007645C2">
        <w:rPr>
          <w:rFonts w:ascii="Arial" w:eastAsia="SimSun" w:hAnsi="Arial"/>
          <w:b w:val="0"/>
          <w:lang w:eastAsia="zh-CN"/>
        </w:rPr>
        <w:t>arting 2015</w:t>
      </w:r>
      <w:r w:rsidR="00472913" w:rsidRPr="007645C2">
        <w:rPr>
          <w:rFonts w:ascii="Arial" w:eastAsia="SimSun" w:hAnsi="Arial"/>
          <w:b w:val="0"/>
          <w:lang w:eastAsia="zh-CN"/>
        </w:rPr>
        <w:t>,</w:t>
      </w:r>
      <w:r w:rsidRPr="007645C2">
        <w:rPr>
          <w:rFonts w:ascii="Arial" w:eastAsia="SimSun" w:hAnsi="Arial"/>
          <w:b w:val="0"/>
          <w:lang w:eastAsia="zh-CN"/>
        </w:rPr>
        <w:t xml:space="preserve"> PIH is implementing the </w:t>
      </w:r>
      <w:proofErr w:type="spellStart"/>
      <w:r w:rsidRPr="007645C2">
        <w:rPr>
          <w:rFonts w:ascii="Arial" w:eastAsia="SimSun" w:hAnsi="Arial"/>
          <w:b w:val="0"/>
          <w:i/>
          <w:lang w:eastAsia="zh-CN"/>
        </w:rPr>
        <w:t>endTB</w:t>
      </w:r>
      <w:proofErr w:type="spellEnd"/>
      <w:r w:rsidRPr="007645C2">
        <w:rPr>
          <w:rFonts w:ascii="Arial" w:eastAsia="SimSun" w:hAnsi="Arial"/>
          <w:b w:val="0"/>
          <w:lang w:eastAsia="zh-CN"/>
        </w:rPr>
        <w:t xml:space="preserve"> Project in Kazakhstan focused on expanding access to new TB </w:t>
      </w:r>
      <w:r w:rsidR="00472913" w:rsidRPr="007645C2">
        <w:rPr>
          <w:rFonts w:ascii="Arial" w:eastAsia="SimSun" w:hAnsi="Arial"/>
          <w:b w:val="0"/>
          <w:lang w:eastAsia="zh-CN"/>
        </w:rPr>
        <w:t xml:space="preserve">drugs </w:t>
      </w:r>
      <w:r w:rsidRPr="007645C2">
        <w:rPr>
          <w:rFonts w:ascii="Arial" w:eastAsia="SimSun" w:hAnsi="Arial"/>
          <w:b w:val="0"/>
          <w:lang w:eastAsia="zh-CN"/>
        </w:rPr>
        <w:t xml:space="preserve">– </w:t>
      </w:r>
      <w:proofErr w:type="spellStart"/>
      <w:r w:rsidRPr="007645C2">
        <w:rPr>
          <w:rFonts w:ascii="Arial" w:eastAsia="SimSun" w:hAnsi="Arial"/>
          <w:b w:val="0"/>
          <w:lang w:eastAsia="zh-CN"/>
        </w:rPr>
        <w:t>Bedaquiline</w:t>
      </w:r>
      <w:proofErr w:type="spellEnd"/>
      <w:r w:rsidRPr="007645C2">
        <w:rPr>
          <w:rFonts w:ascii="Arial" w:eastAsia="SimSun" w:hAnsi="Arial"/>
          <w:b w:val="0"/>
          <w:lang w:eastAsia="zh-CN"/>
        </w:rPr>
        <w:t xml:space="preserve"> and </w:t>
      </w:r>
      <w:proofErr w:type="spellStart"/>
      <w:r w:rsidRPr="007645C2">
        <w:rPr>
          <w:rFonts w:ascii="Arial" w:eastAsia="SimSun" w:hAnsi="Arial"/>
          <w:b w:val="0"/>
          <w:lang w:eastAsia="zh-CN"/>
        </w:rPr>
        <w:t>Delamanid</w:t>
      </w:r>
      <w:proofErr w:type="spellEnd"/>
      <w:r w:rsidRPr="007645C2">
        <w:rPr>
          <w:rFonts w:ascii="Arial" w:eastAsia="SimSun" w:hAnsi="Arial"/>
          <w:b w:val="0"/>
          <w:lang w:eastAsia="zh-CN"/>
        </w:rPr>
        <w:t>. As of 12</w:t>
      </w:r>
      <w:r w:rsidR="00472913" w:rsidRPr="007645C2">
        <w:rPr>
          <w:rFonts w:ascii="Arial" w:eastAsia="SimSun" w:hAnsi="Arial"/>
          <w:b w:val="0"/>
          <w:lang w:eastAsia="zh-CN"/>
        </w:rPr>
        <w:t xml:space="preserve"> December </w:t>
      </w:r>
      <w:r w:rsidRPr="007645C2">
        <w:rPr>
          <w:rFonts w:ascii="Arial" w:eastAsia="SimSun" w:hAnsi="Arial"/>
          <w:b w:val="0"/>
          <w:lang w:eastAsia="zh-CN"/>
        </w:rPr>
        <w:t>2018</w:t>
      </w:r>
      <w:r w:rsidR="00472913" w:rsidRPr="007645C2">
        <w:rPr>
          <w:rFonts w:ascii="Arial" w:eastAsia="SimSun" w:hAnsi="Arial"/>
          <w:b w:val="0"/>
          <w:lang w:eastAsia="zh-CN"/>
        </w:rPr>
        <w:t>,</w:t>
      </w:r>
      <w:r w:rsidRPr="007645C2">
        <w:rPr>
          <w:rFonts w:ascii="Arial" w:eastAsia="SimSun" w:hAnsi="Arial"/>
          <w:b w:val="0"/>
          <w:lang w:eastAsia="zh-CN"/>
        </w:rPr>
        <w:t xml:space="preserve"> </w:t>
      </w:r>
      <w:proofErr w:type="gramStart"/>
      <w:r w:rsidRPr="007645C2">
        <w:rPr>
          <w:rFonts w:ascii="Arial" w:eastAsia="SimSun" w:hAnsi="Arial"/>
          <w:b w:val="0"/>
          <w:lang w:eastAsia="zh-CN"/>
        </w:rPr>
        <w:t>a total of 675</w:t>
      </w:r>
      <w:proofErr w:type="gramEnd"/>
      <w:r w:rsidRPr="007645C2">
        <w:rPr>
          <w:rFonts w:ascii="Arial" w:eastAsia="SimSun" w:hAnsi="Arial"/>
          <w:b w:val="0"/>
          <w:lang w:eastAsia="zh-CN"/>
        </w:rPr>
        <w:t xml:space="preserve"> patients with M/XDR-TB have been enrolled in </w:t>
      </w:r>
      <w:r w:rsidR="00472913" w:rsidRPr="007645C2">
        <w:rPr>
          <w:rFonts w:ascii="Arial" w:eastAsia="SimSun" w:hAnsi="Arial"/>
          <w:b w:val="0"/>
          <w:lang w:eastAsia="zh-CN"/>
        </w:rPr>
        <w:t xml:space="preserve">the </w:t>
      </w:r>
      <w:r w:rsidRPr="007645C2">
        <w:rPr>
          <w:rFonts w:ascii="Arial" w:eastAsia="SimSun" w:hAnsi="Arial"/>
          <w:b w:val="0"/>
          <w:lang w:eastAsia="zh-CN"/>
        </w:rPr>
        <w:t xml:space="preserve">observational study and accessed therapy with new TB and repurposed companion drugs </w:t>
      </w:r>
      <w:r w:rsidR="00472913" w:rsidRPr="007645C2">
        <w:rPr>
          <w:rFonts w:ascii="Arial" w:eastAsia="SimSun" w:hAnsi="Arial"/>
          <w:b w:val="0"/>
          <w:lang w:eastAsia="zh-CN"/>
        </w:rPr>
        <w:t>in</w:t>
      </w:r>
      <w:r w:rsidRPr="007645C2">
        <w:rPr>
          <w:rFonts w:ascii="Arial" w:eastAsia="SimSun" w:hAnsi="Arial"/>
          <w:b w:val="0"/>
          <w:lang w:eastAsia="zh-CN"/>
        </w:rPr>
        <w:t xml:space="preserve"> 10 regions of Kazakhstan</w:t>
      </w:r>
      <w:r w:rsidR="00472913" w:rsidRPr="007645C2">
        <w:rPr>
          <w:rFonts w:ascii="Arial" w:eastAsia="SimSun" w:hAnsi="Arial"/>
          <w:b w:val="0"/>
          <w:lang w:eastAsia="zh-CN"/>
        </w:rPr>
        <w:t xml:space="preserve">. </w:t>
      </w:r>
      <w:r w:rsidRPr="007645C2">
        <w:rPr>
          <w:rFonts w:ascii="Arial" w:eastAsia="SimSun" w:hAnsi="Arial"/>
          <w:b w:val="0"/>
          <w:lang w:eastAsia="zh-CN"/>
        </w:rPr>
        <w:t xml:space="preserve">PIH provided </w:t>
      </w:r>
      <w:r w:rsidR="00472913" w:rsidRPr="007645C2">
        <w:rPr>
          <w:rFonts w:ascii="Arial" w:eastAsia="SimSun" w:hAnsi="Arial"/>
          <w:b w:val="0"/>
          <w:lang w:eastAsia="zh-CN"/>
        </w:rPr>
        <w:t xml:space="preserve">comprehensive </w:t>
      </w:r>
      <w:r w:rsidRPr="007645C2">
        <w:rPr>
          <w:rFonts w:ascii="Arial" w:eastAsia="SimSun" w:hAnsi="Arial"/>
          <w:b w:val="0"/>
          <w:lang w:eastAsia="zh-CN"/>
        </w:rPr>
        <w:t xml:space="preserve">technical assistance to the NTP </w:t>
      </w:r>
      <w:r w:rsidR="00472913" w:rsidRPr="007645C2">
        <w:rPr>
          <w:rFonts w:ascii="Arial" w:eastAsia="SimSun" w:hAnsi="Arial"/>
          <w:b w:val="0"/>
          <w:lang w:eastAsia="zh-CN"/>
        </w:rPr>
        <w:t>i</w:t>
      </w:r>
      <w:r w:rsidRPr="007645C2">
        <w:rPr>
          <w:rFonts w:ascii="Arial" w:eastAsia="SimSun" w:hAnsi="Arial"/>
          <w:b w:val="0"/>
          <w:lang w:eastAsia="zh-CN"/>
        </w:rPr>
        <w:t xml:space="preserve">n scaling up access to new TB drugs, </w:t>
      </w:r>
      <w:r w:rsidR="00CB6B21" w:rsidRPr="007645C2">
        <w:rPr>
          <w:rFonts w:ascii="Arial" w:eastAsia="SimSun" w:hAnsi="Arial"/>
          <w:b w:val="0"/>
          <w:lang w:eastAsia="zh-CN"/>
        </w:rPr>
        <w:t xml:space="preserve">supported the </w:t>
      </w:r>
      <w:r w:rsidRPr="007645C2">
        <w:rPr>
          <w:rFonts w:ascii="Arial" w:eastAsia="SimSun" w:hAnsi="Arial"/>
          <w:b w:val="0"/>
          <w:lang w:eastAsia="zh-CN"/>
        </w:rPr>
        <w:t>national capacit</w:t>
      </w:r>
      <w:r w:rsidR="00CB6B21" w:rsidRPr="007645C2">
        <w:rPr>
          <w:rFonts w:ascii="Arial" w:eastAsia="SimSun" w:hAnsi="Arial"/>
          <w:b w:val="0"/>
          <w:lang w:eastAsia="zh-CN"/>
        </w:rPr>
        <w:t xml:space="preserve">ies’ </w:t>
      </w:r>
      <w:r w:rsidRPr="007645C2">
        <w:rPr>
          <w:rFonts w:ascii="Arial" w:eastAsia="SimSun" w:hAnsi="Arial"/>
          <w:b w:val="0"/>
          <w:lang w:eastAsia="zh-CN"/>
        </w:rPr>
        <w:t>strengthening,</w:t>
      </w:r>
      <w:r w:rsidR="00CB6B21" w:rsidRPr="007645C2">
        <w:rPr>
          <w:rFonts w:ascii="Arial" w:eastAsia="SimSun" w:hAnsi="Arial"/>
          <w:b w:val="0"/>
          <w:lang w:eastAsia="zh-CN"/>
        </w:rPr>
        <w:t xml:space="preserve"> and supplied selected TB drugs (</w:t>
      </w:r>
      <w:proofErr w:type="spellStart"/>
      <w:r w:rsidR="00CB6B21" w:rsidRPr="007645C2">
        <w:rPr>
          <w:rFonts w:ascii="Arial" w:eastAsia="SimSun" w:hAnsi="Arial"/>
          <w:b w:val="0"/>
          <w:lang w:eastAsia="zh-CN"/>
        </w:rPr>
        <w:t>Bdq</w:t>
      </w:r>
      <w:proofErr w:type="spellEnd"/>
      <w:r w:rsidR="00CB6B21" w:rsidRPr="007645C2">
        <w:rPr>
          <w:rFonts w:ascii="Arial" w:eastAsia="SimSun" w:hAnsi="Arial"/>
          <w:b w:val="0"/>
          <w:lang w:eastAsia="zh-CN"/>
        </w:rPr>
        <w:t xml:space="preserve">, </w:t>
      </w:r>
      <w:proofErr w:type="spellStart"/>
      <w:r w:rsidR="00CB6B21" w:rsidRPr="007645C2">
        <w:rPr>
          <w:rFonts w:ascii="Arial" w:eastAsia="SimSun" w:hAnsi="Arial"/>
          <w:b w:val="0"/>
          <w:lang w:eastAsia="zh-CN"/>
        </w:rPr>
        <w:t>Dlm</w:t>
      </w:r>
      <w:proofErr w:type="spellEnd"/>
      <w:r w:rsidR="00CB6B21" w:rsidRPr="007645C2">
        <w:rPr>
          <w:rFonts w:ascii="Arial" w:eastAsia="SimSun" w:hAnsi="Arial"/>
          <w:b w:val="0"/>
          <w:lang w:eastAsia="zh-CN"/>
        </w:rPr>
        <w:t xml:space="preserve">, </w:t>
      </w:r>
      <w:proofErr w:type="spellStart"/>
      <w:r w:rsidR="00CB6B21" w:rsidRPr="007645C2">
        <w:rPr>
          <w:rFonts w:ascii="Arial" w:eastAsia="SimSun" w:hAnsi="Arial"/>
          <w:b w:val="0"/>
          <w:lang w:eastAsia="zh-CN"/>
        </w:rPr>
        <w:t>Lzd</w:t>
      </w:r>
      <w:proofErr w:type="spellEnd"/>
      <w:r w:rsidR="00CB6B21" w:rsidRPr="007645C2">
        <w:rPr>
          <w:rFonts w:ascii="Arial" w:eastAsia="SimSun" w:hAnsi="Arial"/>
          <w:b w:val="0"/>
          <w:lang w:eastAsia="zh-CN"/>
        </w:rPr>
        <w:t xml:space="preserve">, </w:t>
      </w:r>
      <w:proofErr w:type="spellStart"/>
      <w:r w:rsidR="00CB6B21" w:rsidRPr="007645C2">
        <w:rPr>
          <w:rFonts w:ascii="Arial" w:eastAsia="SimSun" w:hAnsi="Arial"/>
          <w:b w:val="0"/>
          <w:lang w:eastAsia="zh-CN"/>
        </w:rPr>
        <w:t>Cfz</w:t>
      </w:r>
      <w:proofErr w:type="spellEnd"/>
      <w:r w:rsidR="00CB6B21" w:rsidRPr="007645C2">
        <w:rPr>
          <w:rFonts w:ascii="Arial" w:eastAsia="SimSun" w:hAnsi="Arial"/>
          <w:b w:val="0"/>
          <w:lang w:eastAsia="zh-CN"/>
        </w:rPr>
        <w:t xml:space="preserve"> and </w:t>
      </w:r>
      <w:proofErr w:type="spellStart"/>
      <w:r w:rsidR="00CB6B21" w:rsidRPr="007645C2">
        <w:rPr>
          <w:rFonts w:ascii="Arial" w:eastAsia="SimSun" w:hAnsi="Arial"/>
          <w:b w:val="0"/>
          <w:lang w:eastAsia="zh-CN"/>
        </w:rPr>
        <w:t>Imi-Cls</w:t>
      </w:r>
      <w:proofErr w:type="spellEnd"/>
      <w:r w:rsidR="00CB6B21" w:rsidRPr="007645C2">
        <w:rPr>
          <w:rFonts w:ascii="Arial" w:eastAsia="SimSun" w:hAnsi="Arial"/>
          <w:b w:val="0"/>
          <w:lang w:eastAsia="zh-CN"/>
        </w:rPr>
        <w:t>).</w:t>
      </w:r>
    </w:p>
    <w:p w14:paraId="24A7F9BA" w14:textId="77777777" w:rsidR="00CB6B21" w:rsidRPr="007645C2" w:rsidRDefault="00CB6B21" w:rsidP="00CB6B21">
      <w:pPr>
        <w:pStyle w:val="ListParagraph"/>
        <w:spacing w:before="120" w:after="120" w:line="240" w:lineRule="auto"/>
        <w:jc w:val="both"/>
        <w:rPr>
          <w:rFonts w:ascii="Arial" w:eastAsia="SimSun" w:hAnsi="Arial"/>
          <w:b w:val="0"/>
          <w:lang w:eastAsia="zh-CN"/>
        </w:rPr>
      </w:pPr>
    </w:p>
    <w:p w14:paraId="5834F083" w14:textId="7FF7FFC0" w:rsidR="00CB6B21" w:rsidRPr="007645C2" w:rsidRDefault="0013678A" w:rsidP="00CB6B21">
      <w:pPr>
        <w:pStyle w:val="ListParagraph"/>
        <w:numPr>
          <w:ilvl w:val="0"/>
          <w:numId w:val="27"/>
        </w:numPr>
        <w:spacing w:before="120" w:after="120" w:line="240" w:lineRule="auto"/>
        <w:jc w:val="both"/>
        <w:rPr>
          <w:rFonts w:ascii="Arial" w:eastAsia="SimSun" w:hAnsi="Arial"/>
          <w:b w:val="0"/>
          <w:lang w:eastAsia="zh-CN"/>
        </w:rPr>
      </w:pPr>
      <w:r w:rsidRPr="007645C2">
        <w:rPr>
          <w:rFonts w:ascii="Arial" w:eastAsia="SimSun" w:hAnsi="Arial"/>
          <w:i/>
          <w:lang w:eastAsia="zh-CN"/>
        </w:rPr>
        <w:t>KNCV</w:t>
      </w:r>
      <w:r w:rsidR="00CB6B21" w:rsidRPr="007645C2">
        <w:rPr>
          <w:rFonts w:ascii="Arial" w:eastAsia="SimSun" w:hAnsi="Arial"/>
          <w:i/>
          <w:lang w:eastAsia="zh-CN"/>
        </w:rPr>
        <w:t>.</w:t>
      </w:r>
      <w:r w:rsidRPr="007645C2">
        <w:rPr>
          <w:rFonts w:ascii="Arial" w:eastAsia="SimSun" w:hAnsi="Arial"/>
          <w:b w:val="0"/>
          <w:i/>
          <w:lang w:eastAsia="zh-CN"/>
        </w:rPr>
        <w:t xml:space="preserve"> </w:t>
      </w:r>
      <w:r w:rsidR="00CB6B21" w:rsidRPr="007645C2">
        <w:rPr>
          <w:rFonts w:ascii="Arial" w:eastAsia="SimSun" w:hAnsi="Arial"/>
          <w:b w:val="0"/>
          <w:lang w:eastAsia="zh-CN"/>
        </w:rPr>
        <w:t>D</w:t>
      </w:r>
      <w:r w:rsidRPr="007645C2">
        <w:rPr>
          <w:rFonts w:ascii="Arial" w:eastAsia="SimSun" w:hAnsi="Arial"/>
          <w:b w:val="0"/>
          <w:lang w:eastAsia="zh-CN"/>
        </w:rPr>
        <w:t>uring 2016</w:t>
      </w:r>
      <w:r w:rsidR="00CB6B21" w:rsidRPr="007645C2">
        <w:rPr>
          <w:rFonts w:ascii="Arial" w:eastAsia="SimSun" w:hAnsi="Arial"/>
          <w:b w:val="0"/>
          <w:lang w:eastAsia="zh-CN"/>
        </w:rPr>
        <w:t>-</w:t>
      </w:r>
      <w:r w:rsidRPr="007645C2">
        <w:rPr>
          <w:rFonts w:ascii="Arial" w:eastAsia="SimSun" w:hAnsi="Arial"/>
          <w:b w:val="0"/>
          <w:lang w:eastAsia="zh-CN"/>
        </w:rPr>
        <w:t xml:space="preserve">2018, KNCV through </w:t>
      </w:r>
      <w:r w:rsidR="00CB6B21" w:rsidRPr="007645C2">
        <w:rPr>
          <w:rFonts w:ascii="Arial" w:eastAsia="SimSun" w:hAnsi="Arial"/>
          <w:b w:val="0"/>
          <w:lang w:eastAsia="zh-CN"/>
        </w:rPr>
        <w:t xml:space="preserve">the </w:t>
      </w:r>
      <w:r w:rsidRPr="007645C2">
        <w:rPr>
          <w:rFonts w:ascii="Arial" w:eastAsia="SimSun" w:hAnsi="Arial"/>
          <w:b w:val="0"/>
          <w:lang w:eastAsia="zh-CN"/>
        </w:rPr>
        <w:t>USAID</w:t>
      </w:r>
      <w:r w:rsidR="00CB6B21" w:rsidRPr="007645C2">
        <w:rPr>
          <w:rFonts w:ascii="Arial" w:eastAsia="SimSun" w:hAnsi="Arial"/>
          <w:b w:val="0"/>
          <w:lang w:eastAsia="zh-CN"/>
        </w:rPr>
        <w:t>-funded</w:t>
      </w:r>
      <w:r w:rsidRPr="007645C2">
        <w:rPr>
          <w:rFonts w:ascii="Arial" w:eastAsia="SimSun" w:hAnsi="Arial"/>
          <w:b w:val="0"/>
          <w:lang w:eastAsia="zh-CN"/>
        </w:rPr>
        <w:t xml:space="preserve"> Challenge TB project supported implementation of new r</w:t>
      </w:r>
      <w:r w:rsidR="00173131" w:rsidRPr="007645C2">
        <w:rPr>
          <w:rFonts w:ascii="Arial" w:eastAsia="SimSun" w:hAnsi="Arial"/>
          <w:b w:val="0"/>
          <w:lang w:eastAsia="zh-CN"/>
        </w:rPr>
        <w:t xml:space="preserve">egimens for treatment of DR-TB. </w:t>
      </w:r>
      <w:r w:rsidRPr="007645C2">
        <w:rPr>
          <w:rFonts w:ascii="Arial" w:eastAsia="SimSun" w:hAnsi="Arial"/>
          <w:b w:val="0"/>
          <w:lang w:eastAsia="zh-CN"/>
        </w:rPr>
        <w:t>Additionally in Almaty city</w:t>
      </w:r>
      <w:r w:rsidR="00CB6B21" w:rsidRPr="007645C2">
        <w:rPr>
          <w:rFonts w:ascii="Arial" w:eastAsia="SimSun" w:hAnsi="Arial"/>
          <w:b w:val="0"/>
          <w:lang w:eastAsia="zh-CN"/>
        </w:rPr>
        <w:t>,</w:t>
      </w:r>
      <w:r w:rsidRPr="007645C2">
        <w:rPr>
          <w:rFonts w:ascii="Arial" w:eastAsia="SimSun" w:hAnsi="Arial"/>
          <w:b w:val="0"/>
          <w:lang w:eastAsia="zh-CN"/>
        </w:rPr>
        <w:t xml:space="preserve"> KNCV through the project “Building Models for Future”, funded by the Dutch government, supported the model of integrated TB and HIV care for key populations by strengthening public-private health care </w:t>
      </w:r>
      <w:r w:rsidR="00CB6B21" w:rsidRPr="007645C2">
        <w:rPr>
          <w:rFonts w:ascii="Arial" w:eastAsia="SimSun" w:hAnsi="Arial"/>
          <w:b w:val="0"/>
          <w:lang w:eastAsia="zh-CN"/>
        </w:rPr>
        <w:t xml:space="preserve">collaboration </w:t>
      </w:r>
      <w:r w:rsidRPr="007645C2">
        <w:rPr>
          <w:rFonts w:ascii="Arial" w:eastAsia="SimSun" w:hAnsi="Arial"/>
          <w:b w:val="0"/>
          <w:lang w:eastAsia="zh-CN"/>
        </w:rPr>
        <w:t>(</w:t>
      </w:r>
      <w:r w:rsidR="00CB6B21" w:rsidRPr="007645C2">
        <w:rPr>
          <w:rFonts w:ascii="Arial" w:eastAsia="SimSun" w:hAnsi="Arial"/>
          <w:b w:val="0"/>
          <w:lang w:eastAsia="zh-CN"/>
        </w:rPr>
        <w:t xml:space="preserve">covering </w:t>
      </w:r>
      <w:r w:rsidRPr="007645C2">
        <w:rPr>
          <w:rFonts w:ascii="Arial" w:eastAsia="SimSun" w:hAnsi="Arial"/>
          <w:b w:val="0"/>
          <w:lang w:eastAsia="zh-CN"/>
        </w:rPr>
        <w:t>TB service, HIV service, public primary health care service, private clinics and local NGO</w:t>
      </w:r>
      <w:r w:rsidR="00CB6B21" w:rsidRPr="007645C2">
        <w:rPr>
          <w:rFonts w:ascii="Arial" w:eastAsia="SimSun" w:hAnsi="Arial"/>
          <w:b w:val="0"/>
          <w:lang w:eastAsia="zh-CN"/>
        </w:rPr>
        <w:t xml:space="preserve">s). </w:t>
      </w:r>
      <w:r w:rsidR="00E675AC" w:rsidRPr="007645C2">
        <w:rPr>
          <w:rFonts w:ascii="Arial" w:eastAsia="SimSun" w:hAnsi="Arial"/>
          <w:b w:val="0"/>
          <w:lang w:eastAsia="zh-CN"/>
        </w:rPr>
        <w:t>Stigma reduction is another are</w:t>
      </w:r>
      <w:r w:rsidR="00CB6B21" w:rsidRPr="007645C2">
        <w:rPr>
          <w:rFonts w:ascii="Arial" w:eastAsia="SimSun" w:hAnsi="Arial"/>
          <w:b w:val="0"/>
          <w:lang w:eastAsia="zh-CN"/>
        </w:rPr>
        <w:t>a</w:t>
      </w:r>
      <w:r w:rsidR="00E675AC" w:rsidRPr="007645C2">
        <w:rPr>
          <w:rFonts w:ascii="Arial" w:eastAsia="SimSun" w:hAnsi="Arial"/>
          <w:b w:val="0"/>
          <w:lang w:eastAsia="zh-CN"/>
        </w:rPr>
        <w:t xml:space="preserve"> of KNCV technical support. In this regard, KNCV introduced a Photovoices methodology in Almaty city as a tool to decrease stigma. In addition, with financial support from the Dutch private donor (Wessel Foundation)</w:t>
      </w:r>
      <w:r w:rsidR="00CB6B21" w:rsidRPr="007645C2">
        <w:rPr>
          <w:rFonts w:ascii="Arial" w:eastAsia="SimSun" w:hAnsi="Arial"/>
          <w:b w:val="0"/>
          <w:lang w:eastAsia="zh-CN"/>
        </w:rPr>
        <w:t>,</w:t>
      </w:r>
      <w:r w:rsidR="00E675AC" w:rsidRPr="007645C2">
        <w:rPr>
          <w:rFonts w:ascii="Arial" w:eastAsia="SimSun" w:hAnsi="Arial"/>
          <w:b w:val="0"/>
          <w:lang w:eastAsia="zh-CN"/>
        </w:rPr>
        <w:t xml:space="preserve"> KNCV developed a tool for stigma reduction that </w:t>
      </w:r>
      <w:proofErr w:type="gramStart"/>
      <w:r w:rsidR="00E675AC" w:rsidRPr="007645C2">
        <w:rPr>
          <w:rFonts w:ascii="Arial" w:eastAsia="SimSun" w:hAnsi="Arial"/>
          <w:b w:val="0"/>
          <w:lang w:eastAsia="zh-CN"/>
        </w:rPr>
        <w:t>is currently implemented</w:t>
      </w:r>
      <w:proofErr w:type="gramEnd"/>
      <w:r w:rsidR="00E675AC" w:rsidRPr="007645C2">
        <w:rPr>
          <w:rFonts w:ascii="Arial" w:eastAsia="SimSun" w:hAnsi="Arial"/>
          <w:b w:val="0"/>
          <w:lang w:eastAsia="zh-CN"/>
        </w:rPr>
        <w:t xml:space="preserve"> in five health care facilities in Almaty city.</w:t>
      </w:r>
      <w:r w:rsidR="00CB6B21" w:rsidRPr="007645C2">
        <w:rPr>
          <w:rFonts w:ascii="Arial" w:eastAsia="SimSun" w:hAnsi="Arial"/>
          <w:b w:val="0"/>
          <w:lang w:eastAsia="zh-CN"/>
        </w:rPr>
        <w:t xml:space="preserve"> </w:t>
      </w:r>
      <w:proofErr w:type="gramStart"/>
      <w:r w:rsidR="00E675AC" w:rsidRPr="007645C2">
        <w:rPr>
          <w:rFonts w:ascii="Arial" w:eastAsia="SimSun" w:hAnsi="Arial"/>
          <w:b w:val="0"/>
          <w:lang w:eastAsia="zh-CN"/>
        </w:rPr>
        <w:t>As a sub recipient of the NFM GF TB program,</w:t>
      </w:r>
      <w:proofErr w:type="gramEnd"/>
      <w:r w:rsidR="00E675AC" w:rsidRPr="007645C2">
        <w:rPr>
          <w:rFonts w:ascii="Arial" w:eastAsia="SimSun" w:hAnsi="Arial"/>
          <w:b w:val="0"/>
          <w:lang w:eastAsia="zh-CN"/>
        </w:rPr>
        <w:t xml:space="preserve"> </w:t>
      </w:r>
      <w:proofErr w:type="gramStart"/>
      <w:r w:rsidR="00E675AC" w:rsidRPr="007645C2">
        <w:rPr>
          <w:rFonts w:ascii="Arial" w:eastAsia="SimSun" w:hAnsi="Arial"/>
          <w:b w:val="0"/>
          <w:lang w:eastAsia="zh-CN"/>
        </w:rPr>
        <w:t>KNCV providing technical</w:t>
      </w:r>
      <w:proofErr w:type="gramEnd"/>
      <w:r w:rsidR="00E675AC" w:rsidRPr="007645C2">
        <w:rPr>
          <w:rFonts w:ascii="Arial" w:eastAsia="SimSun" w:hAnsi="Arial"/>
          <w:b w:val="0"/>
          <w:lang w:eastAsia="zh-CN"/>
        </w:rPr>
        <w:t xml:space="preserve"> support in strengthening capacity of local NGOs in provision of TB care.</w:t>
      </w:r>
    </w:p>
    <w:p w14:paraId="312B52C5" w14:textId="77777777" w:rsidR="00CB6B21" w:rsidRPr="007645C2" w:rsidRDefault="00CB6B21" w:rsidP="00CB6B21">
      <w:pPr>
        <w:pStyle w:val="ListParagraph"/>
        <w:spacing w:before="120" w:after="120" w:line="240" w:lineRule="auto"/>
        <w:jc w:val="both"/>
        <w:rPr>
          <w:rFonts w:ascii="Arial" w:eastAsia="SimSun" w:hAnsi="Arial"/>
          <w:b w:val="0"/>
          <w:lang w:eastAsia="zh-CN"/>
        </w:rPr>
      </w:pPr>
    </w:p>
    <w:p w14:paraId="33BAF9EE" w14:textId="77777777" w:rsidR="00CB6B21" w:rsidRPr="007645C2" w:rsidRDefault="00E675AC" w:rsidP="00CB6B21">
      <w:pPr>
        <w:pStyle w:val="ListParagraph"/>
        <w:numPr>
          <w:ilvl w:val="0"/>
          <w:numId w:val="27"/>
        </w:numPr>
        <w:spacing w:before="120" w:after="120" w:line="240" w:lineRule="auto"/>
        <w:jc w:val="both"/>
        <w:rPr>
          <w:rFonts w:ascii="Arial" w:eastAsia="SimSun" w:hAnsi="Arial"/>
          <w:b w:val="0"/>
          <w:lang w:eastAsia="zh-CN"/>
        </w:rPr>
      </w:pPr>
      <w:r w:rsidRPr="007645C2">
        <w:rPr>
          <w:rFonts w:ascii="Arial" w:eastAsia="SimSun" w:hAnsi="Arial"/>
          <w:i/>
          <w:lang w:eastAsia="zh-CN"/>
        </w:rPr>
        <w:t>Project HOPE</w:t>
      </w:r>
      <w:r w:rsidR="00CB6B21" w:rsidRPr="007645C2">
        <w:rPr>
          <w:rFonts w:ascii="Arial" w:eastAsia="SimSun" w:hAnsi="Arial"/>
          <w:i/>
          <w:lang w:eastAsia="zh-CN"/>
        </w:rPr>
        <w:t xml:space="preserve">. </w:t>
      </w:r>
      <w:r w:rsidR="00CB6B21" w:rsidRPr="007645C2">
        <w:rPr>
          <w:rFonts w:ascii="Arial" w:eastAsia="SimSun" w:hAnsi="Arial"/>
          <w:b w:val="0"/>
          <w:lang w:eastAsia="zh-CN"/>
        </w:rPr>
        <w:t xml:space="preserve">Project </w:t>
      </w:r>
      <w:r w:rsidRPr="007645C2">
        <w:rPr>
          <w:rFonts w:ascii="Arial" w:eastAsia="SimSun" w:hAnsi="Arial"/>
          <w:b w:val="0"/>
          <w:lang w:eastAsia="zh-CN"/>
        </w:rPr>
        <w:t>HOPE</w:t>
      </w:r>
      <w:r w:rsidR="00CB6B21" w:rsidRPr="007645C2">
        <w:rPr>
          <w:rFonts w:ascii="Arial" w:eastAsia="SimSun" w:hAnsi="Arial"/>
          <w:b w:val="0"/>
          <w:lang w:eastAsia="zh-CN"/>
        </w:rPr>
        <w:t xml:space="preserve">, </w:t>
      </w:r>
      <w:r w:rsidRPr="007645C2">
        <w:rPr>
          <w:rFonts w:ascii="Arial" w:eastAsia="SimSun" w:hAnsi="Arial"/>
          <w:b w:val="0"/>
          <w:lang w:eastAsia="zh-CN"/>
        </w:rPr>
        <w:t>as Pri</w:t>
      </w:r>
      <w:r w:rsidR="00CB6B21" w:rsidRPr="007645C2">
        <w:rPr>
          <w:rFonts w:ascii="Arial" w:eastAsia="SimSun" w:hAnsi="Arial"/>
          <w:b w:val="0"/>
          <w:lang w:eastAsia="zh-CN"/>
        </w:rPr>
        <w:t xml:space="preserve">ncipal </w:t>
      </w:r>
      <w:r w:rsidRPr="007645C2">
        <w:rPr>
          <w:rFonts w:ascii="Arial" w:eastAsia="SimSun" w:hAnsi="Arial"/>
          <w:b w:val="0"/>
          <w:lang w:eastAsia="zh-CN"/>
        </w:rPr>
        <w:t>Recipient</w:t>
      </w:r>
      <w:r w:rsidR="00CB6B21" w:rsidRPr="007645C2">
        <w:rPr>
          <w:rFonts w:ascii="Arial" w:eastAsia="SimSun" w:hAnsi="Arial"/>
          <w:b w:val="0"/>
          <w:lang w:eastAsia="zh-CN"/>
        </w:rPr>
        <w:t>,</w:t>
      </w:r>
      <w:r w:rsidRPr="007645C2">
        <w:rPr>
          <w:rFonts w:ascii="Arial" w:eastAsia="SimSun" w:hAnsi="Arial"/>
          <w:b w:val="0"/>
          <w:lang w:eastAsia="zh-CN"/>
        </w:rPr>
        <w:t xml:space="preserve"> implemented in December 2014 - December 2017 Objective 7 “Addressing cross border TB, M/XDR-TB and TB/HIV among labor migrants” under </w:t>
      </w:r>
      <w:r w:rsidR="00CB6B21" w:rsidRPr="007645C2">
        <w:rPr>
          <w:rFonts w:ascii="Arial" w:eastAsia="SimSun" w:hAnsi="Arial"/>
          <w:b w:val="0"/>
          <w:lang w:eastAsia="zh-CN"/>
        </w:rPr>
        <w:t xml:space="preserve">the </w:t>
      </w:r>
      <w:r w:rsidRPr="007645C2">
        <w:rPr>
          <w:rFonts w:ascii="Arial" w:eastAsia="SimSun" w:hAnsi="Arial"/>
          <w:b w:val="0"/>
          <w:lang w:eastAsia="zh-CN"/>
        </w:rPr>
        <w:t xml:space="preserve">Global Fund </w:t>
      </w:r>
      <w:r w:rsidR="00CB6B21" w:rsidRPr="007645C2">
        <w:rPr>
          <w:rFonts w:ascii="Arial" w:eastAsia="SimSun" w:hAnsi="Arial"/>
          <w:b w:val="0"/>
          <w:lang w:eastAsia="zh-CN"/>
        </w:rPr>
        <w:t xml:space="preserve">TB </w:t>
      </w:r>
      <w:r w:rsidRPr="007645C2">
        <w:rPr>
          <w:rFonts w:ascii="Arial" w:eastAsia="SimSun" w:hAnsi="Arial"/>
          <w:b w:val="0"/>
          <w:lang w:eastAsia="zh-CN"/>
        </w:rPr>
        <w:t xml:space="preserve">grant for Kazakhstan. The </w:t>
      </w:r>
      <w:r w:rsidR="00CB6B21" w:rsidRPr="007645C2">
        <w:rPr>
          <w:rFonts w:ascii="Arial" w:eastAsia="SimSun" w:hAnsi="Arial"/>
          <w:b w:val="0"/>
          <w:lang w:eastAsia="zh-CN"/>
        </w:rPr>
        <w:t>objectives</w:t>
      </w:r>
      <w:r w:rsidRPr="007645C2">
        <w:rPr>
          <w:rFonts w:ascii="Arial" w:eastAsia="SimSun" w:hAnsi="Arial"/>
          <w:b w:val="0"/>
          <w:lang w:eastAsia="zh-CN"/>
        </w:rPr>
        <w:t xml:space="preserve"> </w:t>
      </w:r>
      <w:r w:rsidRPr="007645C2">
        <w:rPr>
          <w:rFonts w:ascii="Arial" w:eastAsia="SimSun" w:hAnsi="Arial"/>
          <w:b w:val="0"/>
          <w:lang w:eastAsia="zh-CN"/>
        </w:rPr>
        <w:lastRenderedPageBreak/>
        <w:t xml:space="preserve">of the program were: a) removing legal barriers to access to care for internal and external migrants; b) assuring TB prevention and care for migrants; c) strengthening community systems and increasing role of civil society with focus to four key components: governance, service delivery, monitoring and surveillance, supporting environment. The interventions </w:t>
      </w:r>
      <w:r w:rsidR="00CB6B21" w:rsidRPr="007645C2">
        <w:rPr>
          <w:rFonts w:ascii="Arial" w:eastAsia="SimSun" w:hAnsi="Arial"/>
          <w:b w:val="0"/>
          <w:lang w:eastAsia="zh-CN"/>
        </w:rPr>
        <w:t xml:space="preserve">were </w:t>
      </w:r>
      <w:r w:rsidRPr="007645C2">
        <w:rPr>
          <w:rFonts w:ascii="Arial" w:eastAsia="SimSun" w:hAnsi="Arial"/>
          <w:b w:val="0"/>
          <w:lang w:eastAsia="zh-CN"/>
        </w:rPr>
        <w:t xml:space="preserve">designed in line with the Minimum Package for Cross-Border TB Control and Care in the WHO European Region: a </w:t>
      </w:r>
      <w:proofErr w:type="spellStart"/>
      <w:r w:rsidRPr="007645C2">
        <w:rPr>
          <w:rFonts w:ascii="Arial" w:eastAsia="SimSun" w:hAnsi="Arial"/>
          <w:b w:val="0"/>
          <w:lang w:eastAsia="zh-CN"/>
        </w:rPr>
        <w:t>Wolfheze</w:t>
      </w:r>
      <w:proofErr w:type="spellEnd"/>
      <w:r w:rsidRPr="007645C2">
        <w:rPr>
          <w:rFonts w:ascii="Arial" w:eastAsia="SimSun" w:hAnsi="Arial"/>
          <w:b w:val="0"/>
          <w:lang w:eastAsia="zh-CN"/>
        </w:rPr>
        <w:t xml:space="preserve"> Consensus Statement (2012) and contributed to the national TB program efforts in the area laid down in the Complex Plan for TB and MDR/TB Control in the Republic of Kazakhstan for Years 2014-2020. The program pilot territories were Astana, Almaty, Karaganda, </w:t>
      </w:r>
      <w:proofErr w:type="spellStart"/>
      <w:r w:rsidRPr="007645C2">
        <w:rPr>
          <w:rFonts w:ascii="Arial" w:eastAsia="SimSun" w:hAnsi="Arial"/>
          <w:b w:val="0"/>
          <w:lang w:eastAsia="zh-CN"/>
        </w:rPr>
        <w:t>Shimkent</w:t>
      </w:r>
      <w:proofErr w:type="spellEnd"/>
      <w:r w:rsidRPr="007645C2">
        <w:rPr>
          <w:rFonts w:ascii="Arial" w:eastAsia="SimSun" w:hAnsi="Arial"/>
          <w:b w:val="0"/>
          <w:lang w:eastAsia="zh-CN"/>
        </w:rPr>
        <w:t xml:space="preserve">, </w:t>
      </w:r>
      <w:proofErr w:type="spellStart"/>
      <w:r w:rsidRPr="007645C2">
        <w:rPr>
          <w:rFonts w:ascii="Arial" w:eastAsia="SimSun" w:hAnsi="Arial"/>
          <w:b w:val="0"/>
          <w:lang w:eastAsia="zh-CN"/>
        </w:rPr>
        <w:t>Taraz</w:t>
      </w:r>
      <w:proofErr w:type="spellEnd"/>
      <w:r w:rsidRPr="007645C2">
        <w:rPr>
          <w:rFonts w:ascii="Arial" w:eastAsia="SimSun" w:hAnsi="Arial"/>
          <w:b w:val="0"/>
          <w:lang w:eastAsia="zh-CN"/>
        </w:rPr>
        <w:t xml:space="preserve">, </w:t>
      </w:r>
      <w:proofErr w:type="spellStart"/>
      <w:r w:rsidRPr="007645C2">
        <w:rPr>
          <w:rFonts w:ascii="Arial" w:eastAsia="SimSun" w:hAnsi="Arial"/>
          <w:b w:val="0"/>
          <w:lang w:eastAsia="zh-CN"/>
        </w:rPr>
        <w:t>Temirtay</w:t>
      </w:r>
      <w:proofErr w:type="spellEnd"/>
      <w:r w:rsidRPr="007645C2">
        <w:rPr>
          <w:rFonts w:ascii="Arial" w:eastAsia="SimSun" w:hAnsi="Arial"/>
          <w:b w:val="0"/>
          <w:lang w:eastAsia="zh-CN"/>
        </w:rPr>
        <w:t xml:space="preserve">, </w:t>
      </w:r>
      <w:proofErr w:type="spellStart"/>
      <w:r w:rsidRPr="007645C2">
        <w:rPr>
          <w:rFonts w:ascii="Arial" w:eastAsia="SimSun" w:hAnsi="Arial"/>
          <w:b w:val="0"/>
          <w:lang w:eastAsia="zh-CN"/>
        </w:rPr>
        <w:t>Aktau</w:t>
      </w:r>
      <w:proofErr w:type="spellEnd"/>
      <w:r w:rsidRPr="007645C2">
        <w:rPr>
          <w:rFonts w:ascii="Arial" w:eastAsia="SimSun" w:hAnsi="Arial"/>
          <w:b w:val="0"/>
          <w:lang w:eastAsia="zh-CN"/>
        </w:rPr>
        <w:t xml:space="preserve">, </w:t>
      </w:r>
      <w:proofErr w:type="spellStart"/>
      <w:r w:rsidRPr="007645C2">
        <w:rPr>
          <w:rFonts w:ascii="Arial" w:eastAsia="SimSun" w:hAnsi="Arial"/>
          <w:b w:val="0"/>
          <w:lang w:eastAsia="zh-CN"/>
        </w:rPr>
        <w:t>Aktobe</w:t>
      </w:r>
      <w:proofErr w:type="spellEnd"/>
      <w:r w:rsidRPr="007645C2">
        <w:rPr>
          <w:rFonts w:ascii="Arial" w:eastAsia="SimSun" w:hAnsi="Arial"/>
          <w:b w:val="0"/>
          <w:lang w:eastAsia="zh-CN"/>
        </w:rPr>
        <w:t xml:space="preserve"> cities, Almaty oblast and 2 districts of South Kazakhstan Oblast. </w:t>
      </w:r>
    </w:p>
    <w:p w14:paraId="7DE406B8" w14:textId="77777777" w:rsidR="00AE7A3C" w:rsidRPr="007645C2" w:rsidRDefault="00CB6B21" w:rsidP="00AE7A3C">
      <w:pPr>
        <w:pStyle w:val="ListParagraph"/>
        <w:spacing w:before="120" w:after="120" w:line="240" w:lineRule="auto"/>
        <w:jc w:val="both"/>
        <w:rPr>
          <w:rFonts w:ascii="Arial" w:eastAsia="SimSun" w:hAnsi="Arial"/>
          <w:b w:val="0"/>
          <w:lang w:eastAsia="zh-CN"/>
        </w:rPr>
      </w:pPr>
      <w:r w:rsidRPr="007645C2">
        <w:rPr>
          <w:rFonts w:ascii="Arial" w:eastAsia="SimSun" w:hAnsi="Arial"/>
          <w:i/>
          <w:lang w:eastAsia="zh-CN"/>
        </w:rPr>
        <w:br/>
      </w:r>
      <w:proofErr w:type="gramStart"/>
      <w:r w:rsidR="00E675AC" w:rsidRPr="007645C2">
        <w:rPr>
          <w:rFonts w:ascii="Arial" w:eastAsia="SimSun" w:hAnsi="Arial"/>
          <w:b w:val="0"/>
          <w:lang w:eastAsia="zh-CN"/>
        </w:rPr>
        <w:t>During implementation of the program in 2014-2017</w:t>
      </w:r>
      <w:r w:rsidRPr="007645C2">
        <w:rPr>
          <w:rFonts w:ascii="Arial" w:eastAsia="SimSun" w:hAnsi="Arial"/>
          <w:b w:val="0"/>
          <w:lang w:eastAsia="zh-CN"/>
        </w:rPr>
        <w:t xml:space="preserve">: </w:t>
      </w:r>
      <w:r w:rsidR="00E675AC" w:rsidRPr="007645C2">
        <w:rPr>
          <w:rFonts w:ascii="Arial" w:eastAsia="SimSun" w:hAnsi="Arial"/>
          <w:b w:val="0"/>
          <w:lang w:eastAsia="zh-CN"/>
        </w:rPr>
        <w:t>1) Established the network of migrant-friendly medical facilities in pilot territories of Kazakhstan; 2) The model on involvement of local non-governmental organizations in TB control activities among migrants has been developed and implemented in different areas as a city, in rural areas and in the border area with other countries.3) Established network of six non-governmental organizations for the control of TB among migrants in pilot territories of Kazakhstan as well as Regional dialog on establishment of Central Asian network of nongovernmental organizations implementing projects on TB among migrants has started; 4) Developed and implement of model on treatment adherence’s improvement approach among labor migrants, including joint activities with IOM and other partners to meet migrants needs as legal support, transition to home country to ensure treatment continuation; 5) Identified and established information channels for labor migrants in the country of destination to provide pre-departure information activities; 6) Supported development of bilateral agreements on trans</w:t>
      </w:r>
      <w:r w:rsidRPr="007645C2">
        <w:rPr>
          <w:rFonts w:ascii="Arial" w:eastAsia="SimSun" w:hAnsi="Arial"/>
          <w:b w:val="0"/>
          <w:lang w:eastAsia="zh-CN"/>
        </w:rPr>
        <w:t>-</w:t>
      </w:r>
      <w:r w:rsidR="00E675AC" w:rsidRPr="007645C2">
        <w:rPr>
          <w:rFonts w:ascii="Arial" w:eastAsia="SimSun" w:hAnsi="Arial"/>
          <w:b w:val="0"/>
          <w:lang w:eastAsia="zh-CN"/>
        </w:rPr>
        <w:t>border TB control between Kazakhstan and Kyrgyzstan and Kazakhstan and Tajikistan.</w:t>
      </w:r>
      <w:proofErr w:type="gramEnd"/>
      <w:r w:rsidR="00E675AC" w:rsidRPr="007645C2">
        <w:rPr>
          <w:rFonts w:ascii="Arial" w:eastAsia="SimSun" w:hAnsi="Arial"/>
          <w:b w:val="0"/>
          <w:lang w:eastAsia="zh-CN"/>
        </w:rPr>
        <w:t xml:space="preserve"> It </w:t>
      </w:r>
      <w:proofErr w:type="gramStart"/>
      <w:r w:rsidR="00E675AC" w:rsidRPr="007645C2">
        <w:rPr>
          <w:rFonts w:ascii="Arial" w:eastAsia="SimSun" w:hAnsi="Arial"/>
          <w:b w:val="0"/>
          <w:lang w:eastAsia="zh-CN"/>
        </w:rPr>
        <w:t>is planned</w:t>
      </w:r>
      <w:proofErr w:type="gramEnd"/>
      <w:r w:rsidR="00E675AC" w:rsidRPr="007645C2">
        <w:rPr>
          <w:rFonts w:ascii="Arial" w:eastAsia="SimSun" w:hAnsi="Arial"/>
          <w:b w:val="0"/>
          <w:lang w:eastAsia="zh-CN"/>
        </w:rPr>
        <w:t xml:space="preserve"> that the bilateral agreements will be signed in the first half of 2019. Also conducted training on use of trans</w:t>
      </w:r>
      <w:r w:rsidRPr="007645C2">
        <w:rPr>
          <w:rFonts w:ascii="Arial" w:eastAsia="SimSun" w:hAnsi="Arial"/>
          <w:b w:val="0"/>
          <w:lang w:eastAsia="zh-CN"/>
        </w:rPr>
        <w:t>-</w:t>
      </w:r>
      <w:r w:rsidR="00E675AC" w:rsidRPr="007645C2">
        <w:rPr>
          <w:rFonts w:ascii="Arial" w:eastAsia="SimSun" w:hAnsi="Arial"/>
          <w:b w:val="0"/>
          <w:lang w:eastAsia="zh-CN"/>
        </w:rPr>
        <w:t>border TB control data exchange for representative of Central Asian countries, except Turkmenistan 7) Several documents including National Guideline on TB control among migrants and information education materials focused key population, were developed with aim to use them countrywide and in the neighboring countries. In 2015-2017</w:t>
      </w:r>
      <w:r w:rsidR="00AE7A3C" w:rsidRPr="007645C2">
        <w:rPr>
          <w:rFonts w:ascii="Arial" w:eastAsia="SimSun" w:hAnsi="Arial"/>
          <w:b w:val="0"/>
          <w:lang w:eastAsia="zh-CN"/>
        </w:rPr>
        <w:t>,</w:t>
      </w:r>
      <w:r w:rsidR="00E675AC" w:rsidRPr="007645C2">
        <w:rPr>
          <w:rFonts w:ascii="Arial" w:eastAsia="SimSun" w:hAnsi="Arial"/>
          <w:b w:val="0"/>
          <w:lang w:eastAsia="zh-CN"/>
        </w:rPr>
        <w:t xml:space="preserve"> more than 145 000 migrants </w:t>
      </w:r>
      <w:proofErr w:type="gramStart"/>
      <w:r w:rsidR="00E675AC" w:rsidRPr="007645C2">
        <w:rPr>
          <w:rFonts w:ascii="Arial" w:eastAsia="SimSun" w:hAnsi="Arial"/>
          <w:b w:val="0"/>
          <w:lang w:eastAsia="zh-CN"/>
        </w:rPr>
        <w:t>were covered</w:t>
      </w:r>
      <w:proofErr w:type="gramEnd"/>
      <w:r w:rsidR="00E675AC" w:rsidRPr="007645C2">
        <w:rPr>
          <w:rFonts w:ascii="Arial" w:eastAsia="SimSun" w:hAnsi="Arial"/>
          <w:b w:val="0"/>
          <w:lang w:eastAsia="zh-CN"/>
        </w:rPr>
        <w:t xml:space="preserve"> by information session by outreach workers, more than 44 000 were examined for TB and 1607 TB patients were identified (401 external and 1206 internal migrants).</w:t>
      </w:r>
    </w:p>
    <w:p w14:paraId="2A878A5A" w14:textId="77777777" w:rsidR="00AE7A3C" w:rsidRPr="007645C2" w:rsidRDefault="00AE7A3C" w:rsidP="00AE7A3C">
      <w:pPr>
        <w:pStyle w:val="ListParagraph"/>
        <w:spacing w:before="120" w:after="120" w:line="240" w:lineRule="auto"/>
        <w:jc w:val="both"/>
        <w:rPr>
          <w:rFonts w:ascii="Arial" w:eastAsia="SimSun" w:hAnsi="Arial"/>
          <w:b w:val="0"/>
          <w:lang w:eastAsia="zh-CN"/>
        </w:rPr>
      </w:pPr>
    </w:p>
    <w:p w14:paraId="37F5BC8E" w14:textId="1D95D7E2" w:rsidR="00AE7A3C" w:rsidRPr="007645C2" w:rsidRDefault="00E675AC" w:rsidP="00AE7A3C">
      <w:pPr>
        <w:pStyle w:val="ListParagraph"/>
        <w:spacing w:before="120" w:after="120" w:line="240" w:lineRule="auto"/>
        <w:jc w:val="both"/>
        <w:rPr>
          <w:rFonts w:ascii="Arial" w:eastAsia="SimSun" w:hAnsi="Arial"/>
          <w:b w:val="0"/>
          <w:lang w:eastAsia="zh-CN"/>
        </w:rPr>
      </w:pPr>
      <w:r w:rsidRPr="007645C2">
        <w:rPr>
          <w:rFonts w:ascii="Arial" w:eastAsia="SimSun" w:hAnsi="Arial"/>
          <w:b w:val="0"/>
          <w:lang w:eastAsia="zh-CN"/>
        </w:rPr>
        <w:t>Since January 2018</w:t>
      </w:r>
      <w:r w:rsidR="00AE7A3C" w:rsidRPr="007645C2">
        <w:rPr>
          <w:rFonts w:ascii="Arial" w:eastAsia="SimSun" w:hAnsi="Arial"/>
          <w:b w:val="0"/>
          <w:lang w:eastAsia="zh-CN"/>
        </w:rPr>
        <w:t>,</w:t>
      </w:r>
      <w:r w:rsidRPr="007645C2">
        <w:rPr>
          <w:rFonts w:ascii="Arial" w:eastAsia="SimSun" w:hAnsi="Arial"/>
          <w:b w:val="0"/>
          <w:lang w:eastAsia="zh-CN"/>
        </w:rPr>
        <w:t xml:space="preserve"> Project HOPE as sub</w:t>
      </w:r>
      <w:r w:rsidR="00AE7A3C" w:rsidRPr="007645C2">
        <w:rPr>
          <w:rFonts w:ascii="Arial" w:eastAsia="SimSun" w:hAnsi="Arial"/>
          <w:b w:val="0"/>
          <w:lang w:eastAsia="zh-CN"/>
        </w:rPr>
        <w:t>-</w:t>
      </w:r>
      <w:r w:rsidRPr="007645C2">
        <w:rPr>
          <w:rFonts w:ascii="Arial" w:eastAsia="SimSun" w:hAnsi="Arial"/>
          <w:b w:val="0"/>
          <w:lang w:eastAsia="zh-CN"/>
        </w:rPr>
        <w:t xml:space="preserve">recipient of </w:t>
      </w:r>
      <w:r w:rsidR="00AE7A3C" w:rsidRPr="007645C2">
        <w:rPr>
          <w:rFonts w:ascii="Arial" w:eastAsia="SimSun" w:hAnsi="Arial"/>
          <w:b w:val="0"/>
          <w:lang w:eastAsia="zh-CN"/>
        </w:rPr>
        <w:t xml:space="preserve">the </w:t>
      </w:r>
      <w:r w:rsidRPr="007645C2">
        <w:rPr>
          <w:rFonts w:ascii="Arial" w:eastAsia="SimSun" w:hAnsi="Arial"/>
          <w:b w:val="0"/>
          <w:lang w:eastAsia="zh-CN"/>
        </w:rPr>
        <w:t xml:space="preserve">Global Fund grant implemented by National Research Center of </w:t>
      </w:r>
      <w:proofErr w:type="spellStart"/>
      <w:r w:rsidRPr="007645C2">
        <w:rPr>
          <w:rFonts w:ascii="Arial" w:eastAsia="SimSun" w:hAnsi="Arial"/>
          <w:b w:val="0"/>
          <w:lang w:eastAsia="zh-CN"/>
        </w:rPr>
        <w:t>Phtisiopulmonology</w:t>
      </w:r>
      <w:proofErr w:type="spellEnd"/>
      <w:r w:rsidR="00AE7A3C" w:rsidRPr="007645C2">
        <w:rPr>
          <w:rFonts w:ascii="Arial" w:eastAsia="SimSun" w:hAnsi="Arial"/>
          <w:b w:val="0"/>
          <w:lang w:eastAsia="zh-CN"/>
        </w:rPr>
        <w:t>,</w:t>
      </w:r>
      <w:r w:rsidRPr="007645C2">
        <w:rPr>
          <w:rFonts w:ascii="Arial" w:eastAsia="SimSun" w:hAnsi="Arial"/>
          <w:b w:val="0"/>
          <w:lang w:eastAsia="zh-CN"/>
        </w:rPr>
        <w:t xml:space="preserve"> has been implementing with reduced scope of work the activities “Addressing cross border TB, M/XDR-TB and TB/HIV among labor migrants” in cities Astana, Almaty, Karaganda, Almaty Oblast and </w:t>
      </w:r>
      <w:proofErr w:type="spellStart"/>
      <w:r w:rsidRPr="007645C2">
        <w:rPr>
          <w:rFonts w:ascii="Arial" w:eastAsia="SimSun" w:hAnsi="Arial"/>
          <w:b w:val="0"/>
          <w:lang w:eastAsia="zh-CN"/>
        </w:rPr>
        <w:t>Saryagash</w:t>
      </w:r>
      <w:proofErr w:type="spellEnd"/>
      <w:r w:rsidRPr="007645C2">
        <w:rPr>
          <w:rFonts w:ascii="Arial" w:eastAsia="SimSun" w:hAnsi="Arial"/>
          <w:b w:val="0"/>
          <w:lang w:eastAsia="zh-CN"/>
        </w:rPr>
        <w:t xml:space="preserve"> district of Turkestan Oblast. The main directions of the program were: a) removing legal barriers to access to care for internal and external migrants; b) assuring TB prevention and care for migrants; c) strengthening community systems and increasing role of civil society with focus to four key components: governance, service delivery, monitoring and surveillance, supporting environment. Most of above mentioned activities will be continued, including support of Regional Dialog of trans</w:t>
      </w:r>
      <w:r w:rsidR="00FD1603" w:rsidRPr="007645C2">
        <w:rPr>
          <w:rFonts w:ascii="Arial" w:eastAsia="SimSun" w:hAnsi="Arial"/>
          <w:b w:val="0"/>
          <w:lang w:eastAsia="zh-CN"/>
        </w:rPr>
        <w:t>-</w:t>
      </w:r>
      <w:r w:rsidRPr="007645C2">
        <w:rPr>
          <w:rFonts w:ascii="Arial" w:eastAsia="SimSun" w:hAnsi="Arial"/>
          <w:b w:val="0"/>
          <w:lang w:eastAsia="zh-CN"/>
        </w:rPr>
        <w:t xml:space="preserve">border control on finalization of bilateral agreements, creation of enabling environment, create access to TB diagnosis and treatment for migrants and involvement of local NGOs to TB control activities among migrants. </w:t>
      </w:r>
    </w:p>
    <w:p w14:paraId="2887505D" w14:textId="77777777" w:rsidR="00AE7A3C" w:rsidRPr="007645C2" w:rsidRDefault="00AE7A3C" w:rsidP="00AE7A3C">
      <w:pPr>
        <w:pStyle w:val="ListParagraph"/>
        <w:spacing w:before="120" w:after="120" w:line="240" w:lineRule="auto"/>
        <w:jc w:val="both"/>
        <w:rPr>
          <w:rFonts w:ascii="Arial" w:eastAsia="SimSun" w:hAnsi="Arial"/>
          <w:b w:val="0"/>
          <w:lang w:eastAsia="zh-CN"/>
        </w:rPr>
      </w:pPr>
    </w:p>
    <w:p w14:paraId="2B2B2B4D" w14:textId="77777777" w:rsidR="00AE7A3C" w:rsidRPr="007645C2" w:rsidRDefault="00E675AC" w:rsidP="00AE7A3C">
      <w:pPr>
        <w:pStyle w:val="ListParagraph"/>
        <w:spacing w:before="120" w:after="120" w:line="240" w:lineRule="auto"/>
        <w:jc w:val="both"/>
        <w:rPr>
          <w:rFonts w:ascii="Arial" w:eastAsia="SimSun" w:hAnsi="Arial"/>
          <w:b w:val="0"/>
          <w:lang w:eastAsia="zh-CN"/>
        </w:rPr>
      </w:pPr>
      <w:r w:rsidRPr="007645C2">
        <w:rPr>
          <w:rFonts w:ascii="Arial" w:eastAsia="SimSun" w:hAnsi="Arial"/>
          <w:b w:val="0"/>
          <w:lang w:eastAsia="zh-CN"/>
        </w:rPr>
        <w:t>It is planned for the period of 2018- 2019 cover 97400 external migrants with TB information session, out of them actively screen and examine for TB 20 083 external migrants and detect 360 TB cases among them.</w:t>
      </w:r>
    </w:p>
    <w:p w14:paraId="6647664F" w14:textId="77777777" w:rsidR="00AE7A3C" w:rsidRPr="00FD1603" w:rsidRDefault="00AE7A3C" w:rsidP="00AE7A3C">
      <w:pPr>
        <w:pStyle w:val="ListParagraph"/>
        <w:spacing w:before="120" w:after="120" w:line="240" w:lineRule="auto"/>
        <w:jc w:val="both"/>
        <w:rPr>
          <w:rFonts w:ascii="Arial" w:eastAsia="SimSun" w:hAnsi="Arial"/>
          <w:b w:val="0"/>
          <w:highlight w:val="green"/>
          <w:lang w:eastAsia="zh-CN"/>
        </w:rPr>
      </w:pPr>
    </w:p>
    <w:p w14:paraId="6B87F8B9" w14:textId="77777777" w:rsidR="00FD1603" w:rsidRPr="00FD1603" w:rsidRDefault="00FD1603" w:rsidP="00FD1603">
      <w:pPr>
        <w:spacing w:before="120" w:after="120" w:line="240" w:lineRule="auto"/>
        <w:ind w:left="360"/>
        <w:jc w:val="both"/>
        <w:rPr>
          <w:rFonts w:ascii="Arial" w:eastAsia="SimSun" w:hAnsi="Arial"/>
          <w:b w:val="0"/>
          <w:highlight w:val="green"/>
          <w:lang w:eastAsia="zh-CN"/>
        </w:rPr>
      </w:pPr>
    </w:p>
    <w:p w14:paraId="19C8213B" w14:textId="77777777" w:rsidR="00AE7A3C" w:rsidRPr="007645C2" w:rsidRDefault="00AE7A3C" w:rsidP="00AE7A3C">
      <w:pPr>
        <w:pStyle w:val="ListParagraph"/>
        <w:spacing w:before="120" w:after="120" w:line="240" w:lineRule="auto"/>
        <w:jc w:val="both"/>
        <w:rPr>
          <w:rFonts w:ascii="Arial" w:eastAsia="SimSun" w:hAnsi="Arial"/>
          <w:b w:val="0"/>
          <w:lang w:eastAsia="zh-CN"/>
        </w:rPr>
      </w:pPr>
    </w:p>
    <w:p w14:paraId="5F41B0CA" w14:textId="6F3560E8" w:rsidR="0013678A" w:rsidRPr="007645C2" w:rsidRDefault="00352D83" w:rsidP="00AE7A3C">
      <w:pPr>
        <w:pStyle w:val="ListParagraph"/>
        <w:numPr>
          <w:ilvl w:val="0"/>
          <w:numId w:val="27"/>
        </w:numPr>
        <w:spacing w:before="120" w:after="120" w:line="240" w:lineRule="auto"/>
        <w:jc w:val="both"/>
        <w:rPr>
          <w:rFonts w:ascii="Arial" w:eastAsia="SimSun" w:hAnsi="Arial"/>
          <w:b w:val="0"/>
          <w:lang w:eastAsia="zh-CN"/>
        </w:rPr>
      </w:pPr>
      <w:proofErr w:type="gramStart"/>
      <w:r w:rsidRPr="007645C2">
        <w:rPr>
          <w:rFonts w:ascii="Arial" w:eastAsia="SimSun" w:hAnsi="Arial"/>
          <w:i/>
          <w:lang w:eastAsia="zh-CN"/>
        </w:rPr>
        <w:t>TB-REP</w:t>
      </w:r>
      <w:r w:rsidR="00FD1603" w:rsidRPr="007645C2">
        <w:rPr>
          <w:rFonts w:ascii="Arial" w:eastAsia="SimSun" w:hAnsi="Arial"/>
          <w:i/>
          <w:lang w:eastAsia="zh-CN"/>
        </w:rPr>
        <w:t xml:space="preserve"> </w:t>
      </w:r>
      <w:r w:rsidRPr="007645C2">
        <w:rPr>
          <w:rFonts w:ascii="Arial" w:eastAsia="SimSun" w:hAnsi="Arial"/>
          <w:i/>
          <w:lang w:eastAsia="zh-CN"/>
        </w:rPr>
        <w:t>2.0:</w:t>
      </w:r>
      <w:r w:rsidRPr="007645C2">
        <w:rPr>
          <w:rFonts w:ascii="Arial" w:eastAsia="SimSun" w:hAnsi="Arial"/>
          <w:b w:val="0"/>
          <w:lang w:eastAsia="zh-CN"/>
        </w:rPr>
        <w:t xml:space="preserve"> </w:t>
      </w:r>
      <w:r w:rsidR="00FD1603" w:rsidRPr="007645C2">
        <w:rPr>
          <w:rFonts w:ascii="Arial" w:eastAsia="SimSun" w:hAnsi="Arial"/>
          <w:b w:val="0"/>
          <w:lang w:eastAsia="zh-CN"/>
        </w:rPr>
        <w:t xml:space="preserve">The </w:t>
      </w:r>
      <w:r w:rsidR="00A45E39" w:rsidRPr="007645C2">
        <w:rPr>
          <w:rFonts w:ascii="Arial" w:eastAsia="SimSun" w:hAnsi="Arial"/>
          <w:b w:val="0"/>
          <w:lang w:eastAsia="zh-CN"/>
        </w:rPr>
        <w:t xml:space="preserve">Global Fund TB Regional project “Advancing People-Centered Quality TB Care - From the New Model of Care Towards Improving DR-TB Timely Detection and Treatment Outcomes in Patients” implemented by PAS Center as PR will support during 2019-2021 the NTP of Kazakhstan </w:t>
      </w:r>
      <w:r w:rsidR="00307CA5" w:rsidRPr="007645C2">
        <w:rPr>
          <w:rFonts w:ascii="Arial" w:eastAsia="SimSun" w:hAnsi="Arial"/>
          <w:b w:val="0"/>
          <w:lang w:eastAsia="zh-CN"/>
        </w:rPr>
        <w:t>in</w:t>
      </w:r>
      <w:r w:rsidR="00A45E39" w:rsidRPr="007645C2">
        <w:rPr>
          <w:rFonts w:ascii="Arial" w:eastAsia="SimSun" w:hAnsi="Arial"/>
          <w:b w:val="0"/>
          <w:lang w:eastAsia="zh-CN"/>
        </w:rPr>
        <w:t xml:space="preserve"> (</w:t>
      </w:r>
      <w:proofErr w:type="spellStart"/>
      <w:r w:rsidR="00A45E39" w:rsidRPr="007645C2">
        <w:rPr>
          <w:rFonts w:ascii="Arial" w:eastAsia="SimSun" w:hAnsi="Arial"/>
          <w:b w:val="0"/>
          <w:lang w:eastAsia="zh-CN"/>
        </w:rPr>
        <w:t>i</w:t>
      </w:r>
      <w:proofErr w:type="spellEnd"/>
      <w:r w:rsidR="00A45E39" w:rsidRPr="007645C2">
        <w:rPr>
          <w:rFonts w:ascii="Arial" w:eastAsia="SimSun" w:hAnsi="Arial"/>
          <w:b w:val="0"/>
          <w:lang w:eastAsia="zh-CN"/>
        </w:rPr>
        <w:t xml:space="preserve">) CSO engagement in improving TB prevention and care outcomes, and (ii) </w:t>
      </w:r>
      <w:r w:rsidR="00307CA5" w:rsidRPr="007645C2">
        <w:rPr>
          <w:rFonts w:ascii="Arial" w:eastAsia="SimSun" w:hAnsi="Arial"/>
          <w:b w:val="0"/>
          <w:lang w:eastAsia="zh-CN"/>
        </w:rPr>
        <w:t xml:space="preserve">strengthening </w:t>
      </w:r>
      <w:r w:rsidR="00A45E39" w:rsidRPr="007645C2">
        <w:rPr>
          <w:rFonts w:ascii="Arial" w:eastAsia="SimSun" w:hAnsi="Arial"/>
          <w:b w:val="0"/>
          <w:lang w:eastAsia="zh-CN"/>
        </w:rPr>
        <w:t>RSSH to enable people-centered delivery and addressing need of KPs.</w:t>
      </w:r>
      <w:proofErr w:type="gramEnd"/>
      <w:r w:rsidR="00A45E39" w:rsidRPr="007645C2">
        <w:rPr>
          <w:rFonts w:ascii="Arial" w:eastAsia="SimSun" w:hAnsi="Arial"/>
          <w:b w:val="0"/>
          <w:lang w:eastAsia="zh-CN"/>
        </w:rPr>
        <w:t xml:space="preserve"> </w:t>
      </w:r>
      <w:r w:rsidR="00C61722" w:rsidRPr="007645C2">
        <w:rPr>
          <w:rFonts w:ascii="Arial" w:eastAsia="SimSun" w:hAnsi="Arial"/>
          <w:b w:val="0"/>
          <w:lang w:eastAsia="zh-CN"/>
        </w:rPr>
        <w:t xml:space="preserve">The planned activities </w:t>
      </w:r>
      <w:r w:rsidR="002A6958" w:rsidRPr="007645C2">
        <w:rPr>
          <w:rFonts w:ascii="Arial" w:eastAsia="SimSun" w:hAnsi="Arial"/>
          <w:b w:val="0"/>
          <w:lang w:eastAsia="zh-CN"/>
        </w:rPr>
        <w:t xml:space="preserve">under TB-REP 2.0 project </w:t>
      </w:r>
      <w:proofErr w:type="gramStart"/>
      <w:r w:rsidR="002A6958" w:rsidRPr="007645C2">
        <w:rPr>
          <w:rFonts w:ascii="Arial" w:eastAsia="SimSun" w:hAnsi="Arial"/>
          <w:b w:val="0"/>
          <w:lang w:eastAsia="zh-CN"/>
        </w:rPr>
        <w:t>h</w:t>
      </w:r>
      <w:r w:rsidR="00C61722" w:rsidRPr="007645C2">
        <w:rPr>
          <w:rFonts w:ascii="Arial" w:eastAsia="SimSun" w:hAnsi="Arial"/>
          <w:b w:val="0"/>
          <w:lang w:eastAsia="zh-CN"/>
        </w:rPr>
        <w:t>ave been discussed</w:t>
      </w:r>
      <w:proofErr w:type="gramEnd"/>
      <w:r w:rsidR="00C61722" w:rsidRPr="007645C2">
        <w:rPr>
          <w:rFonts w:ascii="Arial" w:eastAsia="SimSun" w:hAnsi="Arial"/>
          <w:b w:val="0"/>
          <w:lang w:eastAsia="zh-CN"/>
        </w:rPr>
        <w:t xml:space="preserve"> by NTP and PIU of the GF in order to avoid duplication of the activities and ensure coordination </w:t>
      </w:r>
      <w:r w:rsidR="006916F8" w:rsidRPr="007645C2">
        <w:rPr>
          <w:rFonts w:ascii="Arial" w:eastAsia="SimSun" w:hAnsi="Arial"/>
          <w:b w:val="0"/>
          <w:lang w:eastAsia="zh-CN"/>
        </w:rPr>
        <w:t xml:space="preserve">in implementation </w:t>
      </w:r>
      <w:r w:rsidR="00C61722" w:rsidRPr="007645C2">
        <w:rPr>
          <w:rFonts w:ascii="Arial" w:eastAsia="SimSun" w:hAnsi="Arial"/>
          <w:b w:val="0"/>
          <w:lang w:eastAsia="zh-CN"/>
        </w:rPr>
        <w:t>of the interventions (</w:t>
      </w:r>
      <w:r w:rsidR="00FD1603" w:rsidRPr="007645C2">
        <w:rPr>
          <w:rFonts w:ascii="Arial" w:eastAsia="SimSun" w:hAnsi="Arial"/>
          <w:b w:val="0"/>
          <w:lang w:eastAsia="zh-CN"/>
        </w:rPr>
        <w:t>e.g. A</w:t>
      </w:r>
      <w:r w:rsidR="00C61722" w:rsidRPr="007645C2">
        <w:rPr>
          <w:rFonts w:ascii="Arial" w:eastAsia="SimSun" w:hAnsi="Arial"/>
          <w:b w:val="0"/>
          <w:lang w:eastAsia="zh-CN"/>
        </w:rPr>
        <w:t xml:space="preserve">ctivity 1.1.4 above).  </w:t>
      </w:r>
    </w:p>
    <w:p w14:paraId="33759C06" w14:textId="292041FD" w:rsidR="00B34DA4" w:rsidRPr="00472913" w:rsidRDefault="00472913" w:rsidP="002214FC">
      <w:pPr>
        <w:spacing w:before="120" w:after="120" w:line="240" w:lineRule="auto"/>
        <w:jc w:val="both"/>
        <w:rPr>
          <w:rFonts w:ascii="Arial" w:eastAsia="SimSun" w:hAnsi="Arial"/>
          <w:b w:val="0"/>
          <w:lang w:eastAsia="zh-CN"/>
        </w:rPr>
      </w:pPr>
      <w:r w:rsidRPr="007645C2">
        <w:rPr>
          <w:rFonts w:ascii="Arial" w:eastAsia="SimSun" w:hAnsi="Arial"/>
          <w:b w:val="0"/>
          <w:lang w:eastAsia="zh-CN"/>
        </w:rPr>
        <w:t xml:space="preserve">The </w:t>
      </w:r>
      <w:r w:rsidR="00B34DA4" w:rsidRPr="007645C2">
        <w:rPr>
          <w:rFonts w:ascii="Arial" w:eastAsia="SimSun" w:hAnsi="Arial"/>
          <w:b w:val="0"/>
          <w:lang w:eastAsia="zh-CN"/>
        </w:rPr>
        <w:t>NTP data</w:t>
      </w:r>
      <w:r w:rsidRPr="007645C2">
        <w:rPr>
          <w:rFonts w:ascii="Arial" w:eastAsia="SimSun" w:hAnsi="Arial"/>
          <w:b w:val="0"/>
          <w:lang w:eastAsia="zh-CN"/>
        </w:rPr>
        <w:t>,</w:t>
      </w:r>
      <w:r w:rsidR="00B34DA4" w:rsidRPr="007645C2">
        <w:rPr>
          <w:rFonts w:ascii="Arial" w:eastAsia="SimSun" w:hAnsi="Arial"/>
          <w:b w:val="0"/>
          <w:lang w:eastAsia="zh-CN"/>
        </w:rPr>
        <w:t xml:space="preserve"> reported to WHO</w:t>
      </w:r>
      <w:r w:rsidRPr="007645C2">
        <w:rPr>
          <w:rFonts w:ascii="Arial" w:eastAsia="SimSun" w:hAnsi="Arial"/>
          <w:b w:val="0"/>
          <w:lang w:eastAsia="zh-CN"/>
        </w:rPr>
        <w:t>,</w:t>
      </w:r>
      <w:r w:rsidR="00B34DA4" w:rsidRPr="007645C2">
        <w:rPr>
          <w:rFonts w:ascii="Arial" w:eastAsia="SimSun" w:hAnsi="Arial"/>
          <w:b w:val="0"/>
          <w:lang w:eastAsia="zh-CN"/>
        </w:rPr>
        <w:t xml:space="preserve"> indicate that over last years (2013-</w:t>
      </w:r>
      <w:r w:rsidRPr="007645C2">
        <w:rPr>
          <w:rFonts w:ascii="Arial" w:eastAsia="SimSun" w:hAnsi="Arial"/>
          <w:b w:val="0"/>
          <w:lang w:eastAsia="zh-CN"/>
        </w:rPr>
        <w:t>2017), the majority of funding (</w:t>
      </w:r>
      <w:r w:rsidR="00B34DA4" w:rsidRPr="007645C2">
        <w:rPr>
          <w:rFonts w:ascii="Arial" w:eastAsia="SimSun" w:hAnsi="Arial"/>
          <w:b w:val="0"/>
          <w:lang w:eastAsia="zh-CN"/>
        </w:rPr>
        <w:t>more than 90%</w:t>
      </w:r>
      <w:r w:rsidRPr="007645C2">
        <w:rPr>
          <w:rFonts w:ascii="Arial" w:eastAsia="SimSun" w:hAnsi="Arial"/>
          <w:b w:val="0"/>
          <w:lang w:eastAsia="zh-CN"/>
        </w:rPr>
        <w:t>)</w:t>
      </w:r>
      <w:r w:rsidR="00B34DA4" w:rsidRPr="007645C2">
        <w:rPr>
          <w:rFonts w:ascii="Arial" w:eastAsia="SimSun" w:hAnsi="Arial"/>
          <w:b w:val="0"/>
          <w:lang w:eastAsia="zh-CN"/>
        </w:rPr>
        <w:t xml:space="preserve"> was from public sources: </w:t>
      </w:r>
      <w:r w:rsidRPr="007645C2">
        <w:rPr>
          <w:rFonts w:ascii="Arial" w:eastAsia="SimSun" w:hAnsi="Arial"/>
          <w:b w:val="0"/>
          <w:lang w:eastAsia="zh-CN"/>
        </w:rPr>
        <w:t xml:space="preserve">central and </w:t>
      </w:r>
      <w:r w:rsidR="00B34DA4" w:rsidRPr="007645C2">
        <w:rPr>
          <w:rFonts w:ascii="Arial" w:eastAsia="SimSun" w:hAnsi="Arial"/>
          <w:b w:val="0"/>
          <w:lang w:eastAsia="zh-CN"/>
        </w:rPr>
        <w:t xml:space="preserve">regional budgets. The donors support represents less than 5%, with small fluctuation </w:t>
      </w:r>
      <w:r w:rsidRPr="007645C2">
        <w:rPr>
          <w:rFonts w:ascii="Arial" w:eastAsia="SimSun" w:hAnsi="Arial"/>
          <w:b w:val="0"/>
          <w:lang w:eastAsia="zh-CN"/>
        </w:rPr>
        <w:t xml:space="preserve">by </w:t>
      </w:r>
      <w:r w:rsidR="00B34DA4" w:rsidRPr="007645C2">
        <w:rPr>
          <w:rFonts w:ascii="Arial" w:eastAsia="SimSun" w:hAnsi="Arial"/>
          <w:b w:val="0"/>
          <w:lang w:eastAsia="zh-CN"/>
        </w:rPr>
        <w:t>years.</w:t>
      </w:r>
    </w:p>
    <w:p w14:paraId="41EF6354" w14:textId="77777777" w:rsidR="00B34DA4" w:rsidRPr="00FA1F7A" w:rsidRDefault="00B34DA4" w:rsidP="002214FC">
      <w:pPr>
        <w:spacing w:before="120" w:after="120" w:line="240" w:lineRule="auto"/>
        <w:jc w:val="both"/>
        <w:rPr>
          <w:rFonts w:ascii="Arial" w:eastAsia="SimSun" w:hAnsi="Arial"/>
          <w:b w:val="0"/>
          <w:lang w:eastAsia="zh-CN"/>
        </w:rPr>
      </w:pPr>
      <w:r w:rsidRPr="00FA1F7A">
        <w:rPr>
          <w:rFonts w:ascii="Arial" w:eastAsia="SimSun" w:hAnsi="Arial"/>
          <w:b w:val="0"/>
          <w:lang w:eastAsia="zh-CN"/>
        </w:rPr>
        <w:t xml:space="preserve">The Funding Landscape Table was completed and </w:t>
      </w:r>
      <w:proofErr w:type="gramStart"/>
      <w:r w:rsidRPr="00FA1F7A">
        <w:rPr>
          <w:rFonts w:ascii="Arial" w:eastAsia="SimSun" w:hAnsi="Arial"/>
          <w:b w:val="0"/>
          <w:lang w:eastAsia="zh-CN"/>
        </w:rPr>
        <w:t>is attached</w:t>
      </w:r>
      <w:proofErr w:type="gramEnd"/>
      <w:r w:rsidRPr="00FA1F7A">
        <w:rPr>
          <w:rFonts w:ascii="Arial" w:eastAsia="SimSun" w:hAnsi="Arial"/>
          <w:b w:val="0"/>
          <w:lang w:eastAsia="zh-CN"/>
        </w:rPr>
        <w:t xml:space="preserve"> to this form. The proposal </w:t>
      </w:r>
      <w:proofErr w:type="gramStart"/>
      <w:r w:rsidRPr="00FA1F7A">
        <w:rPr>
          <w:rFonts w:ascii="Arial" w:eastAsia="SimSun" w:hAnsi="Arial"/>
          <w:b w:val="0"/>
          <w:lang w:eastAsia="zh-CN"/>
        </w:rPr>
        <w:t>has been developed</w:t>
      </w:r>
      <w:proofErr w:type="gramEnd"/>
      <w:r w:rsidRPr="00FA1F7A">
        <w:rPr>
          <w:rFonts w:ascii="Arial" w:eastAsia="SimSun" w:hAnsi="Arial"/>
          <w:b w:val="0"/>
          <w:lang w:eastAsia="zh-CN"/>
        </w:rPr>
        <w:t xml:space="preserve"> in line with the counterpart financing requirements of the Global Fund, which are set forth in the Global Fund Sustainability, Transition and Co-financing Policy. The expected co-financing commitments for the 2020-2022 meet minimum requirements </w:t>
      </w:r>
      <w:proofErr w:type="gramStart"/>
      <w:r w:rsidRPr="00FA1F7A">
        <w:rPr>
          <w:rFonts w:ascii="Arial" w:eastAsia="SimSun" w:hAnsi="Arial"/>
          <w:b w:val="0"/>
          <w:lang w:eastAsia="zh-CN"/>
        </w:rPr>
        <w:t>to fully access</w:t>
      </w:r>
      <w:proofErr w:type="gramEnd"/>
      <w:r w:rsidRPr="00FA1F7A">
        <w:rPr>
          <w:rFonts w:ascii="Arial" w:eastAsia="SimSun" w:hAnsi="Arial"/>
          <w:b w:val="0"/>
          <w:lang w:eastAsia="zh-CN"/>
        </w:rPr>
        <w:t xml:space="preserve"> the co-financing incentive, as set forth in the above Policy.</w:t>
      </w:r>
    </w:p>
    <w:p w14:paraId="17C25C7E" w14:textId="17A13B02" w:rsidR="00B34DA4" w:rsidRPr="00FA1F7A" w:rsidRDefault="00B34DA4" w:rsidP="002214FC">
      <w:pPr>
        <w:spacing w:before="120" w:after="120" w:line="240" w:lineRule="auto"/>
        <w:jc w:val="both"/>
        <w:rPr>
          <w:rFonts w:ascii="Arial" w:eastAsia="SimSun" w:hAnsi="Arial"/>
          <w:b w:val="0"/>
          <w:lang w:eastAsia="zh-CN"/>
        </w:rPr>
      </w:pPr>
      <w:r w:rsidRPr="00FA1F7A">
        <w:rPr>
          <w:rFonts w:ascii="Arial" w:eastAsia="SimSun" w:hAnsi="Arial"/>
          <w:b w:val="0"/>
          <w:lang w:eastAsia="zh-CN"/>
        </w:rPr>
        <w:t xml:space="preserve">The information used to complete the funding landscape table has been obtained from the </w:t>
      </w:r>
      <w:proofErr w:type="spellStart"/>
      <w:r w:rsidRPr="00FA1F7A">
        <w:rPr>
          <w:rFonts w:ascii="Arial" w:eastAsia="SimSun" w:hAnsi="Arial"/>
          <w:b w:val="0"/>
          <w:lang w:eastAsia="zh-CN"/>
        </w:rPr>
        <w:t>M</w:t>
      </w:r>
      <w:r w:rsidR="00074FAE" w:rsidRPr="00FA1F7A">
        <w:rPr>
          <w:rFonts w:ascii="Arial" w:eastAsia="SimSun" w:hAnsi="Arial"/>
          <w:b w:val="0"/>
          <w:lang w:eastAsia="zh-CN"/>
        </w:rPr>
        <w:t>o</w:t>
      </w:r>
      <w:r w:rsidRPr="00FA1F7A">
        <w:rPr>
          <w:rFonts w:ascii="Arial" w:eastAsia="SimSun" w:hAnsi="Arial"/>
          <w:b w:val="0"/>
          <w:lang w:eastAsia="zh-CN"/>
        </w:rPr>
        <w:t>F</w:t>
      </w:r>
      <w:proofErr w:type="spellEnd"/>
      <w:r w:rsidRPr="00FA1F7A">
        <w:rPr>
          <w:rFonts w:ascii="Arial" w:eastAsia="SimSun" w:hAnsi="Arial"/>
          <w:b w:val="0"/>
          <w:lang w:eastAsia="zh-CN"/>
        </w:rPr>
        <w:t>, M</w:t>
      </w:r>
      <w:r w:rsidR="00074FAE" w:rsidRPr="00FA1F7A">
        <w:rPr>
          <w:rFonts w:ascii="Arial" w:eastAsia="SimSun" w:hAnsi="Arial"/>
          <w:b w:val="0"/>
          <w:lang w:eastAsia="zh-CN"/>
        </w:rPr>
        <w:t>o</w:t>
      </w:r>
      <w:r w:rsidRPr="00FA1F7A">
        <w:rPr>
          <w:rFonts w:ascii="Arial" w:eastAsia="SimSun" w:hAnsi="Arial"/>
          <w:b w:val="0"/>
          <w:lang w:eastAsia="zh-CN"/>
        </w:rPr>
        <w:t xml:space="preserve">H, RTBD – for domestic sources; PRs for TGF support (resources disbursed in previous period of implementation and disbursement planned); country offices or implementing organizations – for other external contributions (previous, current and anticipated). Calculations of financial needs for the National TB Response </w:t>
      </w:r>
      <w:proofErr w:type="gramStart"/>
      <w:r w:rsidRPr="00FA1F7A">
        <w:rPr>
          <w:rFonts w:ascii="Arial" w:eastAsia="SimSun" w:hAnsi="Arial"/>
          <w:b w:val="0"/>
          <w:lang w:eastAsia="zh-CN"/>
        </w:rPr>
        <w:t>are based</w:t>
      </w:r>
      <w:proofErr w:type="gramEnd"/>
      <w:r w:rsidRPr="00FA1F7A">
        <w:rPr>
          <w:rFonts w:ascii="Arial" w:eastAsia="SimSun" w:hAnsi="Arial"/>
          <w:b w:val="0"/>
          <w:lang w:eastAsia="zh-CN"/>
        </w:rPr>
        <w:t xml:space="preserve"> on the current level of spending, taking into account the need to expand essential services.</w:t>
      </w:r>
    </w:p>
    <w:p w14:paraId="1663127C" w14:textId="77777777" w:rsidR="00B34DA4" w:rsidRPr="00FA1F7A" w:rsidRDefault="00B34DA4" w:rsidP="002214FC">
      <w:pPr>
        <w:spacing w:before="120" w:after="120" w:line="240" w:lineRule="auto"/>
        <w:jc w:val="both"/>
        <w:rPr>
          <w:rFonts w:ascii="Arial" w:eastAsia="SimSun" w:hAnsi="Arial"/>
          <w:b w:val="0"/>
          <w:lang w:eastAsia="zh-CN"/>
        </w:rPr>
      </w:pPr>
      <w:r w:rsidRPr="00FA1F7A">
        <w:rPr>
          <w:rFonts w:ascii="Arial" w:eastAsia="SimSun" w:hAnsi="Arial"/>
          <w:b w:val="0"/>
          <w:lang w:eastAsia="zh-CN"/>
        </w:rPr>
        <w:t>Kazakhstan is in the process of changing the main system of financing and coverage in the health sector, by introducing Mandatory Social Health Insurance (MSHI</w:t>
      </w:r>
      <w:proofErr w:type="gramStart"/>
      <w:r w:rsidRPr="00FA1F7A">
        <w:rPr>
          <w:rFonts w:ascii="Arial" w:eastAsia="SimSun" w:hAnsi="Arial"/>
          <w:b w:val="0"/>
          <w:lang w:eastAsia="zh-CN"/>
        </w:rPr>
        <w:t>) which</w:t>
      </w:r>
      <w:proofErr w:type="gramEnd"/>
      <w:r w:rsidRPr="00FA1F7A">
        <w:rPr>
          <w:rFonts w:ascii="Arial" w:eastAsia="SimSun" w:hAnsi="Arial"/>
          <w:b w:val="0"/>
          <w:lang w:eastAsia="zh-CN"/>
        </w:rPr>
        <w:t xml:space="preserve"> will become functional in 2019. The reform will establish the single-payer system for health services </w:t>
      </w:r>
      <w:proofErr w:type="gramStart"/>
      <w:r w:rsidRPr="00FA1F7A">
        <w:rPr>
          <w:rFonts w:ascii="Arial" w:eastAsia="SimSun" w:hAnsi="Arial"/>
          <w:b w:val="0"/>
          <w:lang w:eastAsia="zh-CN"/>
        </w:rPr>
        <w:t>country-wide</w:t>
      </w:r>
      <w:proofErr w:type="gramEnd"/>
      <w:r w:rsidRPr="00FA1F7A">
        <w:rPr>
          <w:rFonts w:ascii="Arial" w:eastAsia="SimSun" w:hAnsi="Arial"/>
          <w:b w:val="0"/>
          <w:lang w:eastAsia="zh-CN"/>
        </w:rPr>
        <w:t>; reinforce the principle of solidarity in financial risk protection; ensure universal coverage (UHC) of essential health care services within the explicitly defined package; and increase efficiency through optimization of the health care delivery. Besides reforming the health financing system, the Ministry of Health continues pursuing its priority directions towards promoting patient-centered approaches, ensuring appropriate quality of services at all levels and facilitating implementation of modern technologies and innovative solutions in health care.</w:t>
      </w:r>
    </w:p>
    <w:tbl>
      <w:tblPr>
        <w:tblW w:w="878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8789"/>
      </w:tblGrid>
      <w:tr w:rsidR="00F87AEE" w:rsidRPr="00C53B9C" w14:paraId="776F79A2" w14:textId="77777777" w:rsidTr="0048135A">
        <w:trPr>
          <w:trHeight w:val="420"/>
          <w:jc w:val="center"/>
        </w:trPr>
        <w:tc>
          <w:tcPr>
            <w:tcW w:w="8789" w:type="dxa"/>
            <w:shd w:val="clear" w:color="auto" w:fill="C6D9F1" w:themeFill="text2" w:themeFillTint="33"/>
          </w:tcPr>
          <w:p w14:paraId="13A33686" w14:textId="03F406E4" w:rsidR="00F87AEE" w:rsidRPr="00C53B9C" w:rsidRDefault="00F87AEE" w:rsidP="00F87AEE">
            <w:pPr>
              <w:keepNext/>
              <w:keepLines/>
              <w:tabs>
                <w:tab w:val="left" w:pos="8100"/>
              </w:tabs>
              <w:spacing w:before="120" w:after="120" w:line="240" w:lineRule="auto"/>
              <w:jc w:val="both"/>
              <w:rPr>
                <w:rFonts w:ascii="Arial" w:hAnsi="Arial"/>
                <w:b w:val="0"/>
                <w:bCs/>
                <w:sz w:val="20"/>
                <w:szCs w:val="20"/>
              </w:rPr>
            </w:pPr>
            <w:r w:rsidRPr="00C53B9C">
              <w:rPr>
                <w:rFonts w:ascii="Arial" w:hAnsi="Arial"/>
                <w:sz w:val="20"/>
                <w:szCs w:val="20"/>
              </w:rPr>
              <w:t>4.2 Sustainability</w:t>
            </w:r>
          </w:p>
        </w:tc>
      </w:tr>
      <w:tr w:rsidR="00F87AEE" w:rsidRPr="00C53B9C" w14:paraId="64277C1D" w14:textId="77777777" w:rsidTr="0048135A">
        <w:trPr>
          <w:trHeight w:val="480"/>
          <w:jc w:val="center"/>
        </w:trPr>
        <w:tc>
          <w:tcPr>
            <w:tcW w:w="8789" w:type="dxa"/>
            <w:shd w:val="clear" w:color="auto" w:fill="F2F2F2"/>
            <w:vAlign w:val="center"/>
          </w:tcPr>
          <w:p w14:paraId="0A9A3C95" w14:textId="7CF1252D" w:rsidR="00F87AEE" w:rsidRPr="00C53B9C" w:rsidRDefault="00F87AEE" w:rsidP="00F87AEE">
            <w:pPr>
              <w:spacing w:before="120" w:after="120" w:line="240" w:lineRule="auto"/>
              <w:jc w:val="both"/>
              <w:rPr>
                <w:rFonts w:ascii="Arial" w:eastAsia="SimSun" w:hAnsi="Arial"/>
                <w:b w:val="0"/>
                <w:sz w:val="20"/>
                <w:szCs w:val="20"/>
                <w:lang w:eastAsia="zh-CN"/>
              </w:rPr>
            </w:pPr>
            <w:r w:rsidRPr="00C53B9C">
              <w:rPr>
                <w:rFonts w:ascii="Arial" w:eastAsia="SimSun" w:hAnsi="Arial"/>
                <w:b w:val="0"/>
                <w:sz w:val="20"/>
                <w:szCs w:val="20"/>
                <w:lang w:eastAsia="zh-CN"/>
              </w:rPr>
              <w:t xml:space="preserve">Describe below how the government will increasingly take up health program </w:t>
            </w:r>
            <w:proofErr w:type="gramStart"/>
            <w:r w:rsidRPr="00C53B9C">
              <w:rPr>
                <w:rFonts w:ascii="Arial" w:eastAsia="SimSun" w:hAnsi="Arial"/>
                <w:b w:val="0"/>
                <w:sz w:val="20"/>
                <w:szCs w:val="20"/>
                <w:lang w:eastAsia="zh-CN"/>
              </w:rPr>
              <w:t>costs,</w:t>
            </w:r>
            <w:proofErr w:type="gramEnd"/>
            <w:r w:rsidRPr="00C53B9C">
              <w:rPr>
                <w:rFonts w:ascii="Arial" w:eastAsia="SimSun" w:hAnsi="Arial"/>
                <w:b w:val="0"/>
                <w:sz w:val="20"/>
                <w:szCs w:val="20"/>
                <w:lang w:eastAsia="zh-CN"/>
              </w:rPr>
              <w:t xml:space="preserve"> and actions to improve sustainability of Global Fund financed programs.</w:t>
            </w:r>
            <w:r w:rsidR="00DB24FD" w:rsidRPr="00C53B9C">
              <w:rPr>
                <w:rFonts w:ascii="Arial" w:eastAsia="SimSun" w:hAnsi="Arial"/>
                <w:b w:val="0"/>
                <w:sz w:val="20"/>
                <w:szCs w:val="20"/>
                <w:lang w:eastAsia="zh-CN"/>
              </w:rPr>
              <w:t xml:space="preserve"> Specifically,</w:t>
            </w:r>
          </w:p>
          <w:p w14:paraId="5A12D600" w14:textId="77777777" w:rsidR="00F87AEE" w:rsidRPr="00C53B9C" w:rsidRDefault="00F87AEE" w:rsidP="0061696C">
            <w:pPr>
              <w:numPr>
                <w:ilvl w:val="0"/>
                <w:numId w:val="7"/>
              </w:numPr>
              <w:spacing w:after="160" w:line="259" w:lineRule="auto"/>
              <w:contextualSpacing/>
              <w:jc w:val="both"/>
              <w:rPr>
                <w:rFonts w:ascii="Arial" w:hAnsi="Arial"/>
                <w:b w:val="0"/>
                <w:sz w:val="20"/>
                <w:szCs w:val="20"/>
              </w:rPr>
            </w:pPr>
            <w:r w:rsidRPr="00C53B9C">
              <w:rPr>
                <w:rFonts w:ascii="Arial" w:hAnsi="Arial"/>
                <w:b w:val="0"/>
                <w:sz w:val="20"/>
                <w:szCs w:val="20"/>
              </w:rPr>
              <w:t>Explain the costs, availability of funds and the funding gap for major program areas. Specify in particular how the government will increasingly take up key costs of national disease plans and/or support health systems; including scaling up investments in programs for key and vulnerable population, removal of human rights and gender-related barriers and enabling environment interventions.</w:t>
            </w:r>
          </w:p>
          <w:p w14:paraId="25485D14" w14:textId="1C2502BA" w:rsidR="00F87AEE" w:rsidRPr="00C53B9C" w:rsidRDefault="00F87AEE" w:rsidP="00C53B9C">
            <w:pPr>
              <w:numPr>
                <w:ilvl w:val="0"/>
                <w:numId w:val="7"/>
              </w:numPr>
              <w:spacing w:after="160" w:line="259" w:lineRule="auto"/>
              <w:contextualSpacing/>
              <w:jc w:val="both"/>
              <w:rPr>
                <w:rFonts w:ascii="Arial" w:hAnsi="Arial"/>
                <w:b w:val="0"/>
                <w:sz w:val="20"/>
                <w:szCs w:val="20"/>
              </w:rPr>
            </w:pPr>
            <w:r w:rsidRPr="00C53B9C">
              <w:rPr>
                <w:rFonts w:ascii="Arial" w:hAnsi="Arial"/>
                <w:b w:val="0"/>
                <w:sz w:val="20"/>
                <w:szCs w:val="20"/>
              </w:rPr>
              <w:t>Describe actions to improve sustainability of Global Fund financed programs. Specifically, highlight key sustainability challenges of the program(s) covered by the funding request, and any current and/or planned actions to address them.</w:t>
            </w:r>
          </w:p>
        </w:tc>
      </w:tr>
    </w:tbl>
    <w:p w14:paraId="46F7988D" w14:textId="39D91403" w:rsidR="00CB79B5" w:rsidRPr="00C53B9C" w:rsidRDefault="00180DBC" w:rsidP="00C53B9C">
      <w:pPr>
        <w:spacing w:before="120" w:after="120" w:line="240" w:lineRule="auto"/>
        <w:jc w:val="both"/>
        <w:rPr>
          <w:rFonts w:ascii="Arial" w:hAnsi="Arial"/>
          <w:b w:val="0"/>
        </w:rPr>
      </w:pPr>
      <w:r w:rsidRPr="00C53B9C">
        <w:rPr>
          <w:rFonts w:ascii="Arial" w:hAnsi="Arial"/>
          <w:b w:val="0"/>
        </w:rPr>
        <w:t>T</w:t>
      </w:r>
      <w:r w:rsidR="0061696C" w:rsidRPr="00C53B9C">
        <w:rPr>
          <w:rFonts w:ascii="Arial" w:hAnsi="Arial"/>
          <w:b w:val="0"/>
        </w:rPr>
        <w:t xml:space="preserve">he Government of Kazakhstan is committed to uphold financial sustainability of priority public health interventions as it is key to ensuring continuity of impact. Over the last decade, the Government has substantially increased financial allocations to the health sector, including TB </w:t>
      </w:r>
      <w:r w:rsidR="0061696C" w:rsidRPr="00C53B9C">
        <w:rPr>
          <w:rFonts w:ascii="Arial" w:hAnsi="Arial"/>
          <w:b w:val="0"/>
        </w:rPr>
        <w:lastRenderedPageBreak/>
        <w:t>control interventions, while the contributions of external partners in this area have been decreasing substantia</w:t>
      </w:r>
      <w:r w:rsidR="00CB79B5" w:rsidRPr="00C53B9C">
        <w:rPr>
          <w:rFonts w:ascii="Arial" w:hAnsi="Arial"/>
          <w:b w:val="0"/>
        </w:rPr>
        <w:t>lly during this period.</w:t>
      </w:r>
    </w:p>
    <w:p w14:paraId="6E2616C3" w14:textId="213D7D90" w:rsidR="00CB79B5" w:rsidRPr="00C53B9C" w:rsidRDefault="00CB79B5" w:rsidP="00C53B9C">
      <w:pPr>
        <w:spacing w:before="120" w:after="120" w:line="240" w:lineRule="auto"/>
        <w:jc w:val="both"/>
        <w:rPr>
          <w:rFonts w:ascii="Arial" w:hAnsi="Arial"/>
          <w:b w:val="0"/>
        </w:rPr>
      </w:pPr>
      <w:proofErr w:type="gramStart"/>
      <w:r w:rsidRPr="00C53B9C">
        <w:rPr>
          <w:rFonts w:ascii="Arial" w:hAnsi="Arial"/>
          <w:b w:val="0"/>
        </w:rPr>
        <w:t>Currently the Government, through its central and regional (oblast) state budgets, covers the great majority of costs related to TB control, including (</w:t>
      </w:r>
      <w:proofErr w:type="spellStart"/>
      <w:r w:rsidRPr="00C53B9C">
        <w:rPr>
          <w:rFonts w:ascii="Arial" w:hAnsi="Arial"/>
          <w:b w:val="0"/>
        </w:rPr>
        <w:t>i</w:t>
      </w:r>
      <w:proofErr w:type="spellEnd"/>
      <w:r w:rsidRPr="00C53B9C">
        <w:rPr>
          <w:rFonts w:ascii="Arial" w:hAnsi="Arial"/>
          <w:b w:val="0"/>
        </w:rPr>
        <w:t>) procurement of anti-TB drugs (first-line and second-line drugs), bacteriological and clinical laboratory investigations, medicines for management of adverse events caused by TB drugs; (ii) human resources costs; (iii) facility costs; and (iv) program management, training, surveillance and other operational costs of the national TB program.</w:t>
      </w:r>
      <w:proofErr w:type="gramEnd"/>
      <w:r w:rsidRPr="00C53B9C">
        <w:rPr>
          <w:rFonts w:ascii="Arial" w:hAnsi="Arial"/>
          <w:b w:val="0"/>
        </w:rPr>
        <w:t xml:space="preserve"> </w:t>
      </w:r>
      <w:r w:rsidR="00972DDC" w:rsidRPr="00C53B9C">
        <w:rPr>
          <w:rFonts w:ascii="Arial" w:hAnsi="Arial"/>
          <w:b w:val="0"/>
        </w:rPr>
        <w:t xml:space="preserve">It </w:t>
      </w:r>
      <w:proofErr w:type="gramStart"/>
      <w:r w:rsidR="00972DDC" w:rsidRPr="00C53B9C">
        <w:rPr>
          <w:rFonts w:ascii="Arial" w:hAnsi="Arial"/>
          <w:b w:val="0"/>
        </w:rPr>
        <w:t>should be noted</w:t>
      </w:r>
      <w:proofErr w:type="gramEnd"/>
      <w:r w:rsidR="00972DDC" w:rsidRPr="00C53B9C">
        <w:rPr>
          <w:rFonts w:ascii="Arial" w:hAnsi="Arial"/>
          <w:b w:val="0"/>
        </w:rPr>
        <w:t xml:space="preserve"> that in the Government is currently undertaking procurement of </w:t>
      </w:r>
      <w:proofErr w:type="spellStart"/>
      <w:r w:rsidR="00972DDC" w:rsidRPr="00C53B9C">
        <w:rPr>
          <w:rFonts w:ascii="Arial" w:hAnsi="Arial"/>
          <w:b w:val="0"/>
        </w:rPr>
        <w:t>Xpert</w:t>
      </w:r>
      <w:proofErr w:type="spellEnd"/>
      <w:r w:rsidR="00972DDC" w:rsidRPr="00C53B9C">
        <w:rPr>
          <w:rFonts w:ascii="Arial" w:hAnsi="Arial"/>
          <w:b w:val="0"/>
        </w:rPr>
        <w:t xml:space="preserve"> cartridges and new drugs through the GDF.</w:t>
      </w:r>
    </w:p>
    <w:p w14:paraId="1BB32C6D" w14:textId="3EA5751D" w:rsidR="00CB79B5" w:rsidRPr="00C53B9C" w:rsidRDefault="00972DDC" w:rsidP="00C53B9C">
      <w:pPr>
        <w:spacing w:before="120" w:after="120" w:line="240" w:lineRule="auto"/>
        <w:jc w:val="both"/>
        <w:rPr>
          <w:rFonts w:ascii="Arial" w:hAnsi="Arial"/>
          <w:b w:val="0"/>
        </w:rPr>
      </w:pPr>
      <w:r w:rsidRPr="00C53B9C">
        <w:rPr>
          <w:rFonts w:ascii="Arial" w:hAnsi="Arial"/>
          <w:b w:val="0"/>
        </w:rPr>
        <w:t>T</w:t>
      </w:r>
      <w:r w:rsidR="00CB79B5" w:rsidRPr="00C53B9C">
        <w:rPr>
          <w:rFonts w:ascii="Arial" w:hAnsi="Arial"/>
          <w:b w:val="0"/>
        </w:rPr>
        <w:t xml:space="preserve">he regional governments are increasingly providing adherence support to TB patients (monetary adherence incentives); this practice is in place in </w:t>
      </w:r>
      <w:r w:rsidRPr="00C53B9C">
        <w:rPr>
          <w:rFonts w:ascii="Arial" w:hAnsi="Arial"/>
          <w:b w:val="0"/>
        </w:rPr>
        <w:t>all</w:t>
      </w:r>
      <w:r w:rsidR="00CB79B5" w:rsidRPr="00C53B9C">
        <w:rPr>
          <w:rFonts w:ascii="Arial" w:hAnsi="Arial"/>
          <w:b w:val="0"/>
        </w:rPr>
        <w:t xml:space="preserve"> country regions. </w:t>
      </w:r>
      <w:r w:rsidR="00FB5319" w:rsidRPr="00C53B9C">
        <w:rPr>
          <w:rFonts w:ascii="Arial" w:hAnsi="Arial"/>
          <w:b w:val="0"/>
        </w:rPr>
        <w:t>I</w:t>
      </w:r>
      <w:r w:rsidRPr="00C53B9C">
        <w:rPr>
          <w:rFonts w:ascii="Arial" w:hAnsi="Arial"/>
          <w:b w:val="0"/>
        </w:rPr>
        <w:t xml:space="preserve">n 2013, the funds allocated for patient support accounted for 1.1% of the </w:t>
      </w:r>
      <w:r w:rsidR="00FB5319" w:rsidRPr="00C53B9C">
        <w:rPr>
          <w:rFonts w:ascii="Arial" w:hAnsi="Arial"/>
          <w:b w:val="0"/>
        </w:rPr>
        <w:t xml:space="preserve">consolidated TB program budget; this proportion increased to 1.5% in 2014, 2.0% in 2015, 2.9% in 2016, 3.5% in 2017 and further to 4.5% </w:t>
      </w:r>
      <w:r w:rsidR="007F6383" w:rsidRPr="00C53B9C">
        <w:rPr>
          <w:rFonts w:ascii="Arial" w:hAnsi="Arial"/>
          <w:b w:val="0"/>
        </w:rPr>
        <w:t>in 2018 (6 months). D</w:t>
      </w:r>
      <w:r w:rsidR="00FB5319" w:rsidRPr="00C53B9C">
        <w:rPr>
          <w:rFonts w:ascii="Arial" w:hAnsi="Arial"/>
          <w:b w:val="0"/>
        </w:rPr>
        <w:t>uring the first half of 2018</w:t>
      </w:r>
      <w:r w:rsidR="007F6383" w:rsidRPr="00C53B9C">
        <w:rPr>
          <w:rFonts w:ascii="Arial" w:hAnsi="Arial"/>
          <w:b w:val="0"/>
        </w:rPr>
        <w:t xml:space="preserve">, the regional governments paid the amount of KZT 771.7 million (about USD 2.36 </w:t>
      </w:r>
      <w:proofErr w:type="gramStart"/>
      <w:r w:rsidR="007F6383" w:rsidRPr="00C53B9C">
        <w:rPr>
          <w:rFonts w:ascii="Arial" w:hAnsi="Arial"/>
          <w:b w:val="0"/>
        </w:rPr>
        <w:t>million</w:t>
      </w:r>
      <w:proofErr w:type="gramEnd"/>
      <w:r w:rsidR="007F6383" w:rsidRPr="00C53B9C">
        <w:rPr>
          <w:rFonts w:ascii="Arial" w:hAnsi="Arial"/>
          <w:b w:val="0"/>
        </w:rPr>
        <w:t xml:space="preserve">) for patient support, which </w:t>
      </w:r>
      <w:r w:rsidR="00753075" w:rsidRPr="00C53B9C">
        <w:rPr>
          <w:rFonts w:ascii="Arial" w:hAnsi="Arial"/>
          <w:b w:val="0"/>
        </w:rPr>
        <w:t xml:space="preserve">represents a </w:t>
      </w:r>
      <w:r w:rsidR="007F6383" w:rsidRPr="00C53B9C">
        <w:rPr>
          <w:rFonts w:ascii="Arial" w:hAnsi="Arial"/>
          <w:b w:val="0"/>
        </w:rPr>
        <w:t xml:space="preserve">35.8% </w:t>
      </w:r>
      <w:r w:rsidR="00753075" w:rsidRPr="00C53B9C">
        <w:rPr>
          <w:rFonts w:ascii="Arial" w:hAnsi="Arial"/>
          <w:b w:val="0"/>
        </w:rPr>
        <w:t xml:space="preserve">increase </w:t>
      </w:r>
      <w:r w:rsidR="007F6383" w:rsidRPr="00C53B9C">
        <w:rPr>
          <w:rFonts w:ascii="Arial" w:hAnsi="Arial"/>
          <w:b w:val="0"/>
        </w:rPr>
        <w:t xml:space="preserve">compared to the same period of </w:t>
      </w:r>
      <w:r w:rsidR="00753075" w:rsidRPr="00C53B9C">
        <w:rPr>
          <w:rFonts w:ascii="Arial" w:hAnsi="Arial"/>
          <w:b w:val="0"/>
        </w:rPr>
        <w:t>the previous year.</w:t>
      </w:r>
    </w:p>
    <w:p w14:paraId="0977D155" w14:textId="6B9F3D9A" w:rsidR="00DC6B75" w:rsidRPr="00C53B9C" w:rsidRDefault="00CB79B5" w:rsidP="00C53B9C">
      <w:pPr>
        <w:spacing w:before="120" w:after="120" w:line="240" w:lineRule="auto"/>
        <w:jc w:val="both"/>
        <w:rPr>
          <w:rFonts w:ascii="Arial" w:hAnsi="Arial"/>
          <w:b w:val="0"/>
          <w:color w:val="FF0000"/>
        </w:rPr>
      </w:pPr>
      <w:proofErr w:type="gramStart"/>
      <w:r w:rsidRPr="00C53B9C">
        <w:rPr>
          <w:rFonts w:ascii="Arial" w:hAnsi="Arial"/>
          <w:b w:val="0"/>
        </w:rPr>
        <w:t>At the moment</w:t>
      </w:r>
      <w:proofErr w:type="gramEnd"/>
      <w:r w:rsidRPr="00C53B9C">
        <w:rPr>
          <w:rFonts w:ascii="Arial" w:hAnsi="Arial"/>
          <w:b w:val="0"/>
        </w:rPr>
        <w:t>, the Global Fund is the main (and sole in most areas) external source of support to TB control in the country.</w:t>
      </w:r>
      <w:r w:rsidR="00753075" w:rsidRPr="00C53B9C">
        <w:rPr>
          <w:rFonts w:ascii="Arial" w:hAnsi="Arial"/>
          <w:b w:val="0"/>
        </w:rPr>
        <w:t xml:space="preserve"> TGF resources are used to roll out the new diagnostic TB technologies such as </w:t>
      </w:r>
      <w:proofErr w:type="spellStart"/>
      <w:r w:rsidR="00753075" w:rsidRPr="00C53B9C">
        <w:rPr>
          <w:rFonts w:ascii="Arial" w:hAnsi="Arial"/>
          <w:b w:val="0"/>
        </w:rPr>
        <w:t>Xpert</w:t>
      </w:r>
      <w:proofErr w:type="spellEnd"/>
      <w:r w:rsidR="00753075" w:rsidRPr="00C53B9C">
        <w:rPr>
          <w:rFonts w:ascii="Arial" w:hAnsi="Arial"/>
          <w:b w:val="0"/>
        </w:rPr>
        <w:t xml:space="preserve"> MTB/RIF, and for covering interventions that, due to the budgeting regulations in force, are difficult to be financed from domestic resources at the moment (such as support to NGO</w:t>
      </w:r>
      <w:r w:rsidR="00DC6B75" w:rsidRPr="00C53B9C">
        <w:rPr>
          <w:rFonts w:ascii="Arial" w:hAnsi="Arial"/>
          <w:b w:val="0"/>
        </w:rPr>
        <w:t xml:space="preserve"> small grants program and other civil society and community engagement activities). At the same time, the transition plan (attached to this Application Form) foresees further steps for the Government takeover of interventions that are currently supported by TGF, including increasing contributions to scaling up investments in programs for key and vulnerable populations, e.g. through social contracting. The CCM and MOH acknowledge, though, that the state financing of the abovementioned interventions will be a key challenge for the three-year period of the upcoming TGF (2020-2022), and the decision </w:t>
      </w:r>
      <w:proofErr w:type="gramStart"/>
      <w:r w:rsidR="00DC6B75" w:rsidRPr="00C53B9C">
        <w:rPr>
          <w:rFonts w:ascii="Arial" w:hAnsi="Arial"/>
          <w:b w:val="0"/>
        </w:rPr>
        <w:t>was made</w:t>
      </w:r>
      <w:proofErr w:type="gramEnd"/>
      <w:r w:rsidR="00DC6B75" w:rsidRPr="00C53B9C">
        <w:rPr>
          <w:rFonts w:ascii="Arial" w:hAnsi="Arial"/>
          <w:b w:val="0"/>
        </w:rPr>
        <w:t xml:space="preserve"> to secure their appropriate funding in the new project, with provisions for gradual takeover.</w:t>
      </w:r>
    </w:p>
    <w:tbl>
      <w:tblPr>
        <w:tblW w:w="8789"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8789"/>
      </w:tblGrid>
      <w:tr w:rsidR="00CE26DB" w:rsidRPr="00C53B9C" w14:paraId="4BA9BBC5" w14:textId="77777777" w:rsidTr="00947463">
        <w:trPr>
          <w:trHeight w:val="420"/>
        </w:trPr>
        <w:tc>
          <w:tcPr>
            <w:tcW w:w="8789" w:type="dxa"/>
            <w:shd w:val="clear" w:color="auto" w:fill="C6D9F1"/>
          </w:tcPr>
          <w:p w14:paraId="46267029" w14:textId="77777777" w:rsidR="00CE26DB" w:rsidRPr="00C53B9C" w:rsidRDefault="00CE26DB" w:rsidP="00947463">
            <w:pPr>
              <w:keepNext/>
              <w:keepLines/>
              <w:tabs>
                <w:tab w:val="left" w:pos="8100"/>
              </w:tabs>
              <w:spacing w:before="120" w:after="120" w:line="240" w:lineRule="auto"/>
              <w:jc w:val="both"/>
              <w:rPr>
                <w:rFonts w:ascii="Arial" w:hAnsi="Arial"/>
                <w:bCs/>
                <w:sz w:val="20"/>
                <w:szCs w:val="20"/>
              </w:rPr>
            </w:pPr>
            <w:r w:rsidRPr="00C53B9C">
              <w:rPr>
                <w:rFonts w:ascii="Arial" w:hAnsi="Arial"/>
                <w:sz w:val="20"/>
                <w:szCs w:val="20"/>
              </w:rPr>
              <w:t>5. Prioritized Above Allocation (PAAR)</w:t>
            </w:r>
          </w:p>
        </w:tc>
      </w:tr>
      <w:tr w:rsidR="00CE26DB" w:rsidRPr="00C53B9C" w14:paraId="022F8376" w14:textId="77777777" w:rsidTr="00947463">
        <w:trPr>
          <w:trHeight w:val="420"/>
        </w:trPr>
        <w:tc>
          <w:tcPr>
            <w:tcW w:w="87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955D77" w14:textId="77777777" w:rsidR="00CE26DB" w:rsidRPr="00C53B9C" w:rsidRDefault="00CE26DB" w:rsidP="00947463">
            <w:pPr>
              <w:keepNext/>
              <w:keepLines/>
              <w:tabs>
                <w:tab w:val="left" w:pos="8100"/>
              </w:tabs>
              <w:spacing w:before="120" w:after="120" w:line="240" w:lineRule="auto"/>
              <w:jc w:val="both"/>
              <w:rPr>
                <w:rFonts w:ascii="Arial" w:hAnsi="Arial"/>
                <w:b w:val="0"/>
                <w:sz w:val="20"/>
                <w:szCs w:val="20"/>
              </w:rPr>
            </w:pPr>
            <w:r w:rsidRPr="00C53B9C">
              <w:rPr>
                <w:rFonts w:ascii="Arial" w:hAnsi="Arial"/>
                <w:b w:val="0"/>
                <w:sz w:val="20"/>
                <w:szCs w:val="20"/>
              </w:rPr>
              <w:t>To complete a PAAR, please fill-in the attached Excel template</w:t>
            </w:r>
          </w:p>
        </w:tc>
      </w:tr>
    </w:tbl>
    <w:p w14:paraId="0B132EA1" w14:textId="4D812F97" w:rsidR="00991EB5" w:rsidRPr="00FA1F7A" w:rsidRDefault="00FA1F7A" w:rsidP="00FA1F7A">
      <w:pPr>
        <w:pStyle w:val="ListParagraph"/>
        <w:spacing w:before="120" w:after="120" w:line="240" w:lineRule="auto"/>
        <w:jc w:val="both"/>
        <w:rPr>
          <w:rFonts w:ascii="Arial" w:hAnsi="Arial"/>
          <w:b w:val="0"/>
        </w:rPr>
      </w:pPr>
      <w:r w:rsidRPr="00FA1F7A">
        <w:rPr>
          <w:rFonts w:ascii="Arial" w:hAnsi="Arial"/>
          <w:b w:val="0"/>
        </w:rPr>
        <w:t>N/A</w:t>
      </w:r>
    </w:p>
    <w:p w14:paraId="20B204D1" w14:textId="44C6EA02" w:rsidR="00991EB5" w:rsidRDefault="00991EB5" w:rsidP="00D374B7">
      <w:pPr>
        <w:spacing w:before="120" w:after="120" w:line="240" w:lineRule="auto"/>
        <w:jc w:val="both"/>
        <w:rPr>
          <w:rFonts w:ascii="Arial" w:hAnsi="Arial"/>
          <w:b w:val="0"/>
          <w:highlight w:val="yellow"/>
          <w:lang w:val="en-GB"/>
        </w:rPr>
      </w:pPr>
    </w:p>
    <w:p w14:paraId="1E0C378E" w14:textId="373358EC" w:rsidR="00991EB5" w:rsidRPr="00991EB5" w:rsidRDefault="00991EB5" w:rsidP="00991EB5">
      <w:pPr>
        <w:spacing w:before="120" w:after="120" w:line="240" w:lineRule="auto"/>
        <w:jc w:val="center"/>
        <w:rPr>
          <w:rFonts w:ascii="Arial" w:hAnsi="Arial"/>
          <w:b w:val="0"/>
          <w:lang w:val="en-GB"/>
        </w:rPr>
      </w:pPr>
      <w:r w:rsidRPr="00991EB5">
        <w:rPr>
          <w:rFonts w:ascii="Arial" w:hAnsi="Arial"/>
          <w:b w:val="0"/>
          <w:lang w:val="en-GB"/>
        </w:rPr>
        <w:t>*</w:t>
      </w:r>
      <w:r w:rsidRPr="00991EB5">
        <w:rPr>
          <w:rFonts w:ascii="Arial" w:hAnsi="Arial"/>
          <w:b w:val="0"/>
          <w:lang w:val="en-GB"/>
        </w:rPr>
        <w:tab/>
      </w:r>
      <w:r w:rsidRPr="00991EB5">
        <w:rPr>
          <w:rFonts w:ascii="Arial" w:hAnsi="Arial"/>
          <w:b w:val="0"/>
          <w:lang w:val="en-GB"/>
        </w:rPr>
        <w:tab/>
        <w:t>*</w:t>
      </w:r>
      <w:r w:rsidRPr="00991EB5">
        <w:rPr>
          <w:rFonts w:ascii="Arial" w:hAnsi="Arial"/>
          <w:b w:val="0"/>
          <w:lang w:val="en-GB"/>
        </w:rPr>
        <w:tab/>
      </w:r>
      <w:r w:rsidRPr="00991EB5">
        <w:rPr>
          <w:rFonts w:ascii="Arial" w:hAnsi="Arial"/>
          <w:b w:val="0"/>
          <w:lang w:val="en-GB"/>
        </w:rPr>
        <w:tab/>
        <w:t>*</w:t>
      </w:r>
    </w:p>
    <w:sectPr w:rsidR="00991EB5" w:rsidRPr="00991EB5" w:rsidSect="00AD6F80">
      <w:pgSz w:w="11906" w:h="16838"/>
      <w:pgMar w:top="1440" w:right="1440" w:bottom="1440" w:left="1440" w:header="708" w:footer="69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96D0D" w14:textId="77777777" w:rsidR="00D26022" w:rsidRDefault="00D26022" w:rsidP="005D49FB">
      <w:pPr>
        <w:spacing w:after="0" w:line="240" w:lineRule="auto"/>
      </w:pPr>
      <w:r>
        <w:separator/>
      </w:r>
    </w:p>
  </w:endnote>
  <w:endnote w:type="continuationSeparator" w:id="0">
    <w:p w14:paraId="7825756E" w14:textId="77777777" w:rsidR="00D26022" w:rsidRDefault="00D26022" w:rsidP="005D49FB">
      <w:pPr>
        <w:spacing w:after="0" w:line="240" w:lineRule="auto"/>
      </w:pPr>
      <w:r>
        <w:continuationSeparator/>
      </w:r>
    </w:p>
  </w:endnote>
  <w:endnote w:type="continuationNotice" w:id="1">
    <w:p w14:paraId="1E5C962D" w14:textId="77777777" w:rsidR="00D26022" w:rsidRDefault="00D26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773E7" w14:textId="77777777" w:rsidR="00153F7F" w:rsidRDefault="00153F7F" w:rsidP="00A6550C">
    <w:pPr>
      <w:pStyle w:val="Footer"/>
      <w:tabs>
        <w:tab w:val="clear" w:pos="4513"/>
        <w:tab w:val="clear" w:pos="9026"/>
        <w:tab w:val="left" w:pos="5565"/>
      </w:tabs>
      <w:ind w:left="-142"/>
      <w:rPr>
        <w:rFonts w:ascii="Arial" w:hAnsi="Arial"/>
        <w:b w:val="0"/>
        <w:sz w:val="18"/>
        <w:szCs w:val="18"/>
      </w:rPr>
    </w:pPr>
    <w:r>
      <w:rPr>
        <w:rFonts w:ascii="Arial" w:hAnsi="Arial"/>
        <w:b w:val="0"/>
        <w:sz w:val="18"/>
        <w:szCs w:val="18"/>
      </w:rPr>
      <w:tab/>
    </w:r>
  </w:p>
  <w:p w14:paraId="0EE661E7" w14:textId="347C84AB" w:rsidR="00153F7F" w:rsidRPr="004A037E" w:rsidRDefault="00153F7F" w:rsidP="004A037E">
    <w:pPr>
      <w:pStyle w:val="Footer"/>
      <w:tabs>
        <w:tab w:val="clear" w:pos="9026"/>
        <w:tab w:val="right" w:pos="8931"/>
      </w:tabs>
      <w:ind w:left="-142"/>
      <w:rPr>
        <w:rFonts w:ascii="Arial" w:hAnsi="Arial"/>
        <w:b w:val="0"/>
        <w:sz w:val="20"/>
        <w:szCs w:val="20"/>
      </w:rPr>
    </w:pPr>
    <w:r w:rsidRPr="004A037E">
      <w:rPr>
        <w:rFonts w:ascii="Arial" w:hAnsi="Arial"/>
        <w:b w:val="0"/>
        <w:sz w:val="20"/>
        <w:szCs w:val="20"/>
      </w:rPr>
      <w:t xml:space="preserve">Funding Request: Tailored </w:t>
    </w:r>
    <w:r>
      <w:rPr>
        <w:rFonts w:ascii="Arial" w:hAnsi="Arial"/>
        <w:b w:val="0"/>
        <w:sz w:val="20"/>
        <w:szCs w:val="20"/>
      </w:rPr>
      <w:t>to Material Change – KAZAKHSTAN TB</w:t>
    </w:r>
    <w:r w:rsidRPr="004A037E">
      <w:rPr>
        <w:rFonts w:ascii="Arial" w:hAnsi="Arial"/>
        <w:b w:val="0"/>
        <w:sz w:val="20"/>
        <w:szCs w:val="20"/>
      </w:rPr>
      <w:tab/>
    </w:r>
    <w:r>
      <w:rPr>
        <w:rFonts w:ascii="Arial" w:hAnsi="Arial"/>
        <w:b w:val="0"/>
        <w:sz w:val="20"/>
        <w:szCs w:val="20"/>
      </w:rPr>
      <w:t>January 2019</w:t>
    </w:r>
    <w:r w:rsidRPr="004A037E">
      <w:rPr>
        <w:rFonts w:ascii="Arial" w:hAnsi="Arial"/>
        <w:b w:val="0"/>
        <w:sz w:val="20"/>
        <w:szCs w:val="20"/>
      </w:rPr>
      <w:t xml:space="preserve">│ </w:t>
    </w:r>
    <w:r w:rsidRPr="004A037E">
      <w:rPr>
        <w:rFonts w:ascii="Arial" w:hAnsi="Arial"/>
        <w:sz w:val="20"/>
        <w:szCs w:val="20"/>
      </w:rPr>
      <w:fldChar w:fldCharType="begin"/>
    </w:r>
    <w:r w:rsidRPr="004A037E">
      <w:rPr>
        <w:rFonts w:ascii="Arial" w:hAnsi="Arial"/>
        <w:sz w:val="20"/>
        <w:szCs w:val="20"/>
      </w:rPr>
      <w:instrText xml:space="preserve"> PAGE   \* MERGEFORMAT </w:instrText>
    </w:r>
    <w:r w:rsidRPr="004A037E">
      <w:rPr>
        <w:rFonts w:ascii="Arial" w:hAnsi="Arial"/>
        <w:sz w:val="20"/>
        <w:szCs w:val="20"/>
      </w:rPr>
      <w:fldChar w:fldCharType="separate"/>
    </w:r>
    <w:r w:rsidR="00C90092">
      <w:rPr>
        <w:rFonts w:ascii="Arial" w:hAnsi="Arial"/>
        <w:noProof/>
        <w:sz w:val="20"/>
        <w:szCs w:val="20"/>
      </w:rPr>
      <w:t>20</w:t>
    </w:r>
    <w:r w:rsidRPr="004A037E">
      <w:rPr>
        <w:rFonts w:ascii="Arial" w:hAnsi="Arial"/>
        <w:sz w:val="20"/>
        <w:szCs w:val="20"/>
      </w:rPr>
      <w:fldChar w:fldCharType="end"/>
    </w:r>
    <w:r w:rsidRPr="004A037E">
      <w:rPr>
        <w:rFonts w:ascii="Arial" w:hAnsi="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6C024" w14:textId="77777777" w:rsidR="00D26022" w:rsidRDefault="00D26022" w:rsidP="005D49FB">
      <w:pPr>
        <w:spacing w:after="0" w:line="240" w:lineRule="auto"/>
      </w:pPr>
      <w:r>
        <w:separator/>
      </w:r>
    </w:p>
  </w:footnote>
  <w:footnote w:type="continuationSeparator" w:id="0">
    <w:p w14:paraId="42C4AB4B" w14:textId="77777777" w:rsidR="00D26022" w:rsidRDefault="00D26022" w:rsidP="005D49FB">
      <w:pPr>
        <w:spacing w:after="0" w:line="240" w:lineRule="auto"/>
      </w:pPr>
      <w:r>
        <w:continuationSeparator/>
      </w:r>
    </w:p>
  </w:footnote>
  <w:footnote w:type="continuationNotice" w:id="1">
    <w:p w14:paraId="392BC3F1" w14:textId="77777777" w:rsidR="00D26022" w:rsidRDefault="00D26022">
      <w:pPr>
        <w:spacing w:after="0" w:line="240" w:lineRule="auto"/>
      </w:pPr>
    </w:p>
  </w:footnote>
  <w:footnote w:id="2">
    <w:p w14:paraId="7D0CAB9D" w14:textId="77777777" w:rsidR="00153F7F" w:rsidRPr="000D4A2D" w:rsidRDefault="00153F7F" w:rsidP="00CE5204">
      <w:pPr>
        <w:pStyle w:val="FootnoteText"/>
        <w:rPr>
          <w:sz w:val="16"/>
          <w:szCs w:val="16"/>
        </w:rPr>
      </w:pPr>
      <w:r w:rsidRPr="000D4A2D">
        <w:rPr>
          <w:rStyle w:val="FootnoteReference"/>
          <w:sz w:val="16"/>
          <w:szCs w:val="16"/>
        </w:rPr>
        <w:footnoteRef/>
      </w:r>
      <w:r w:rsidRPr="000D4A2D">
        <w:rPr>
          <w:sz w:val="16"/>
          <w:szCs w:val="16"/>
        </w:rPr>
        <w:t xml:space="preserve"> </w:t>
      </w:r>
      <w:r w:rsidRPr="00833796">
        <w:rPr>
          <w:sz w:val="16"/>
          <w:szCs w:val="16"/>
        </w:rPr>
        <w:t xml:space="preserve">We suggest </w:t>
      </w:r>
      <w:proofErr w:type="gramStart"/>
      <w:r w:rsidRPr="00833796">
        <w:rPr>
          <w:sz w:val="16"/>
          <w:szCs w:val="16"/>
        </w:rPr>
        <w:t>to compare</w:t>
      </w:r>
      <w:proofErr w:type="gramEnd"/>
      <w:r w:rsidRPr="00833796">
        <w:rPr>
          <w:sz w:val="16"/>
          <w:szCs w:val="16"/>
        </w:rPr>
        <w:t xml:space="preserve"> the new allocation amount with the current spending on a yearly basis, past and/or forecasted. For example using the last year spending multiplied by 3.</w:t>
      </w:r>
    </w:p>
  </w:footnote>
  <w:footnote w:id="3">
    <w:p w14:paraId="4117F893" w14:textId="5DBA8FC0" w:rsidR="00153F7F" w:rsidRPr="00975191" w:rsidRDefault="00153F7F" w:rsidP="00095987">
      <w:pPr>
        <w:pStyle w:val="FootnoteText"/>
        <w:rPr>
          <w:rFonts w:cs="Arial"/>
          <w:sz w:val="18"/>
          <w:szCs w:val="18"/>
        </w:rPr>
      </w:pPr>
      <w:r w:rsidRPr="00975191">
        <w:rPr>
          <w:rStyle w:val="FootnoteReference"/>
          <w:rFonts w:cs="Arial"/>
          <w:sz w:val="18"/>
          <w:szCs w:val="18"/>
        </w:rPr>
        <w:footnoteRef/>
      </w:r>
      <w:r w:rsidRPr="00975191">
        <w:rPr>
          <w:rFonts w:cs="Arial"/>
          <w:sz w:val="18"/>
          <w:szCs w:val="18"/>
        </w:rPr>
        <w:t xml:space="preserve"> </w:t>
      </w:r>
      <w:r w:rsidRPr="00975191">
        <w:rPr>
          <w:rFonts w:cs="Arial"/>
          <w:i/>
          <w:iCs/>
          <w:sz w:val="18"/>
          <w:szCs w:val="18"/>
        </w:rPr>
        <w:t>Source</w:t>
      </w:r>
      <w:r w:rsidRPr="00975191">
        <w:rPr>
          <w:rFonts w:cs="Arial"/>
          <w:sz w:val="18"/>
          <w:szCs w:val="18"/>
        </w:rPr>
        <w:t xml:space="preserve">: Ministry of National Economy of the Republic of Kazakhstan, Committee on Statistics, </w:t>
      </w:r>
      <w:hyperlink r:id="rId1" w:history="1">
        <w:r w:rsidRPr="00975191">
          <w:rPr>
            <w:rStyle w:val="Hyperlink"/>
            <w:rFonts w:cs="Arial"/>
            <w:sz w:val="18"/>
            <w:szCs w:val="18"/>
          </w:rPr>
          <w:t>http://stat.gov.kz</w:t>
        </w:r>
      </w:hyperlink>
    </w:p>
  </w:footnote>
  <w:footnote w:id="4">
    <w:p w14:paraId="2E087A3A" w14:textId="3B678F48" w:rsidR="00153F7F" w:rsidRPr="00975191" w:rsidRDefault="00153F7F" w:rsidP="00975191">
      <w:pPr>
        <w:pStyle w:val="FootnoteText"/>
        <w:rPr>
          <w:rFonts w:cs="Arial"/>
          <w:sz w:val="18"/>
          <w:szCs w:val="18"/>
        </w:rPr>
      </w:pPr>
      <w:r w:rsidRPr="00975191">
        <w:rPr>
          <w:rStyle w:val="FootnoteReference"/>
          <w:rFonts w:cs="Arial"/>
          <w:sz w:val="18"/>
          <w:szCs w:val="18"/>
        </w:rPr>
        <w:footnoteRef/>
      </w:r>
      <w:r w:rsidRPr="00975191">
        <w:rPr>
          <w:rFonts w:cs="Arial"/>
          <w:sz w:val="18"/>
          <w:szCs w:val="18"/>
        </w:rPr>
        <w:t xml:space="preserve"> </w:t>
      </w:r>
      <w:r w:rsidRPr="00975191">
        <w:rPr>
          <w:rFonts w:cs="Arial"/>
          <w:i/>
          <w:iCs/>
          <w:sz w:val="18"/>
          <w:szCs w:val="18"/>
        </w:rPr>
        <w:t>Source</w:t>
      </w:r>
      <w:r w:rsidRPr="00975191">
        <w:rPr>
          <w:rFonts w:cs="Arial"/>
          <w:sz w:val="18"/>
          <w:szCs w:val="18"/>
        </w:rPr>
        <w:t xml:space="preserve">: The World Bank, </w:t>
      </w:r>
      <w:hyperlink r:id="rId2" w:history="1">
        <w:r w:rsidRPr="001C7167">
          <w:rPr>
            <w:rStyle w:val="Hyperlink"/>
            <w:rFonts w:cs="Arial"/>
            <w:sz w:val="18"/>
            <w:szCs w:val="18"/>
          </w:rPr>
          <w:t>http</w:t>
        </w:r>
        <w:r w:rsidRPr="00975191">
          <w:rPr>
            <w:rStyle w:val="Hyperlink"/>
            <w:rFonts w:cs="Arial"/>
            <w:sz w:val="18"/>
            <w:szCs w:val="18"/>
          </w:rPr>
          <w:t>://</w:t>
        </w:r>
        <w:r w:rsidRPr="001C7167">
          <w:rPr>
            <w:rStyle w:val="Hyperlink"/>
            <w:rFonts w:cs="Arial"/>
            <w:sz w:val="18"/>
            <w:szCs w:val="18"/>
          </w:rPr>
          <w:t>data</w:t>
        </w:r>
        <w:r w:rsidRPr="00975191">
          <w:rPr>
            <w:rStyle w:val="Hyperlink"/>
            <w:rFonts w:cs="Arial"/>
            <w:sz w:val="18"/>
            <w:szCs w:val="18"/>
          </w:rPr>
          <w:t>.</w:t>
        </w:r>
        <w:r w:rsidRPr="001C7167">
          <w:rPr>
            <w:rStyle w:val="Hyperlink"/>
            <w:rFonts w:cs="Arial"/>
            <w:sz w:val="18"/>
            <w:szCs w:val="18"/>
          </w:rPr>
          <w:t>worldbank</w:t>
        </w:r>
        <w:r w:rsidRPr="00975191">
          <w:rPr>
            <w:rStyle w:val="Hyperlink"/>
            <w:rFonts w:cs="Arial"/>
            <w:sz w:val="18"/>
            <w:szCs w:val="18"/>
          </w:rPr>
          <w:t>.</w:t>
        </w:r>
        <w:r w:rsidRPr="001C7167">
          <w:rPr>
            <w:rStyle w:val="Hyperlink"/>
            <w:rFonts w:cs="Arial"/>
            <w:sz w:val="18"/>
            <w:szCs w:val="18"/>
          </w:rPr>
          <w:t>org</w:t>
        </w:r>
        <w:r w:rsidRPr="00975191">
          <w:rPr>
            <w:rStyle w:val="Hyperlink"/>
            <w:rFonts w:cs="Arial"/>
            <w:sz w:val="18"/>
            <w:szCs w:val="18"/>
          </w:rPr>
          <w:t>/</w:t>
        </w:r>
        <w:r w:rsidRPr="001C7167">
          <w:rPr>
            <w:rStyle w:val="Hyperlink"/>
            <w:rFonts w:cs="Arial"/>
            <w:sz w:val="18"/>
            <w:szCs w:val="18"/>
          </w:rPr>
          <w:t>country</w:t>
        </w:r>
        <w:r w:rsidRPr="00975191">
          <w:rPr>
            <w:rStyle w:val="Hyperlink"/>
            <w:rFonts w:cs="Arial"/>
            <w:sz w:val="18"/>
            <w:szCs w:val="18"/>
          </w:rPr>
          <w:t>/</w:t>
        </w:r>
        <w:r w:rsidRPr="001C7167">
          <w:rPr>
            <w:rStyle w:val="Hyperlink"/>
            <w:rFonts w:cs="Arial"/>
            <w:sz w:val="18"/>
            <w:szCs w:val="18"/>
          </w:rPr>
          <w:t>kazakhstan</w:t>
        </w:r>
      </w:hyperlink>
      <w:r>
        <w:rPr>
          <w:rFonts w:cs="Arial"/>
          <w:sz w:val="18"/>
          <w:szCs w:val="18"/>
        </w:rPr>
        <w:t xml:space="preserve">; </w:t>
      </w:r>
      <w:r w:rsidRPr="00975191">
        <w:rPr>
          <w:rFonts w:cs="Arial"/>
          <w:sz w:val="18"/>
          <w:szCs w:val="18"/>
        </w:rPr>
        <w:t>Atlas method, in c</w:t>
      </w:r>
      <w:r>
        <w:rPr>
          <w:rFonts w:cs="Arial"/>
          <w:sz w:val="18"/>
          <w:szCs w:val="18"/>
        </w:rPr>
        <w:t>urrent US dollars</w:t>
      </w:r>
    </w:p>
  </w:footnote>
  <w:footnote w:id="5">
    <w:p w14:paraId="79E67322" w14:textId="7C4C5215" w:rsidR="00153F7F" w:rsidRDefault="00153F7F" w:rsidP="00095987">
      <w:pPr>
        <w:pStyle w:val="FootnoteText"/>
        <w:rPr>
          <w:rFonts w:cs="Arial"/>
          <w:sz w:val="18"/>
          <w:szCs w:val="18"/>
        </w:rPr>
      </w:pPr>
      <w:r w:rsidRPr="00975191">
        <w:rPr>
          <w:rStyle w:val="FootnoteReference"/>
          <w:rFonts w:cs="Arial"/>
          <w:sz w:val="18"/>
          <w:szCs w:val="18"/>
        </w:rPr>
        <w:footnoteRef/>
      </w:r>
      <w:r w:rsidRPr="00975191">
        <w:rPr>
          <w:rFonts w:cs="Arial"/>
          <w:sz w:val="18"/>
          <w:szCs w:val="18"/>
        </w:rPr>
        <w:t xml:space="preserve"> </w:t>
      </w:r>
      <w:r w:rsidRPr="00975191">
        <w:rPr>
          <w:rFonts w:cs="Arial"/>
          <w:i/>
          <w:iCs/>
          <w:sz w:val="18"/>
          <w:szCs w:val="18"/>
        </w:rPr>
        <w:t>Source</w:t>
      </w:r>
      <w:r w:rsidRPr="00975191">
        <w:rPr>
          <w:rFonts w:cs="Arial"/>
          <w:sz w:val="18"/>
          <w:szCs w:val="18"/>
        </w:rPr>
        <w:t>: WHO</w:t>
      </w:r>
      <w:r>
        <w:rPr>
          <w:rFonts w:cs="Arial"/>
          <w:sz w:val="18"/>
          <w:szCs w:val="18"/>
        </w:rPr>
        <w:t xml:space="preserve"> Global Tuberculosis Report 2018, </w:t>
      </w:r>
      <w:hyperlink r:id="rId3" w:history="1">
        <w:r w:rsidRPr="001C7167">
          <w:rPr>
            <w:rStyle w:val="Hyperlink"/>
            <w:rFonts w:cs="Arial"/>
            <w:sz w:val="18"/>
            <w:szCs w:val="18"/>
          </w:rPr>
          <w:t>http://www.who.int/tb/publications/global_report/en/</w:t>
        </w:r>
      </w:hyperlink>
      <w:r>
        <w:rPr>
          <w:rFonts w:cs="Arial"/>
          <w:sz w:val="18"/>
          <w:szCs w:val="18"/>
        </w:rPr>
        <w:t xml:space="preserve"> </w:t>
      </w:r>
    </w:p>
    <w:p w14:paraId="57F3CDB8" w14:textId="77777777" w:rsidR="00153F7F" w:rsidRPr="00975191" w:rsidRDefault="00153F7F" w:rsidP="00095987">
      <w:pPr>
        <w:pStyle w:val="FootnoteText"/>
        <w:rPr>
          <w:rFonts w:cs="Arial"/>
          <w:sz w:val="18"/>
          <w:szCs w:val="18"/>
        </w:rPr>
      </w:pPr>
    </w:p>
  </w:footnote>
  <w:footnote w:id="6">
    <w:p w14:paraId="22CF8E48" w14:textId="0B72FE0D" w:rsidR="00153F7F" w:rsidRPr="00714FCB" w:rsidRDefault="00153F7F" w:rsidP="00621762">
      <w:pPr>
        <w:pStyle w:val="FootnoteText"/>
        <w:jc w:val="both"/>
        <w:rPr>
          <w:sz w:val="16"/>
          <w:szCs w:val="16"/>
        </w:rPr>
      </w:pPr>
      <w:r w:rsidRPr="00941F2D">
        <w:rPr>
          <w:rStyle w:val="FootnoteReference"/>
          <w:sz w:val="16"/>
          <w:szCs w:val="16"/>
        </w:rPr>
        <w:footnoteRef/>
      </w:r>
      <w:r w:rsidRPr="00941F2D">
        <w:rPr>
          <w:sz w:val="16"/>
          <w:szCs w:val="16"/>
        </w:rPr>
        <w:t xml:space="preserve"> The measures to improve diagnosis of childhood TB include expanding </w:t>
      </w:r>
      <w:proofErr w:type="spellStart"/>
      <w:r w:rsidRPr="00941F2D">
        <w:rPr>
          <w:sz w:val="16"/>
          <w:szCs w:val="16"/>
        </w:rPr>
        <w:t>Xpert</w:t>
      </w:r>
      <w:proofErr w:type="spellEnd"/>
      <w:r w:rsidRPr="00941F2D">
        <w:rPr>
          <w:sz w:val="16"/>
          <w:szCs w:val="16"/>
        </w:rPr>
        <w:t xml:space="preserve"> MTB/RIF use in children, culturing of bronchial and gastric lavage specimens, increasing the use of computerized tomography for diagnosing chest lymphatic abnormalities,</w:t>
      </w:r>
      <w:r w:rsidR="00941F2D" w:rsidRPr="00941F2D">
        <w:rPr>
          <w:sz w:val="16"/>
          <w:szCs w:val="16"/>
        </w:rPr>
        <w:t xml:space="preserve"> piloting use of the T-Spot,</w:t>
      </w:r>
      <w:r w:rsidRPr="00941F2D">
        <w:rPr>
          <w:sz w:val="16"/>
          <w:szCs w:val="16"/>
        </w:rPr>
        <w:t xml:space="preserve"> as well as strengthening capacities of medical staff.</w:t>
      </w:r>
    </w:p>
  </w:footnote>
  <w:footnote w:id="7">
    <w:p w14:paraId="7012786C" w14:textId="77777777" w:rsidR="00153F7F" w:rsidRPr="00346766" w:rsidRDefault="00153F7F" w:rsidP="001D740A">
      <w:pPr>
        <w:pStyle w:val="FootnoteText"/>
      </w:pPr>
      <w:r w:rsidRPr="00714FCB">
        <w:rPr>
          <w:rStyle w:val="FootnoteReference"/>
          <w:sz w:val="16"/>
          <w:szCs w:val="16"/>
        </w:rPr>
        <w:footnoteRef/>
      </w:r>
      <w:r w:rsidRPr="00714FCB">
        <w:rPr>
          <w:sz w:val="16"/>
          <w:szCs w:val="16"/>
        </w:rPr>
        <w:t xml:space="preserve"> </w:t>
      </w:r>
      <w:r w:rsidRPr="00714FCB">
        <w:rPr>
          <w:i/>
          <w:sz w:val="16"/>
          <w:szCs w:val="16"/>
        </w:rPr>
        <w:t>Tuberculosis epidemiological and impact analysis in Kazakhstan, 2017,</w:t>
      </w:r>
      <w:r w:rsidRPr="00714FCB">
        <w:rPr>
          <w:sz w:val="16"/>
          <w:szCs w:val="16"/>
        </w:rPr>
        <w:t xml:space="preserve"> WHO Regional Office for Europe, 2018</w:t>
      </w:r>
    </w:p>
  </w:footnote>
  <w:footnote w:id="8">
    <w:p w14:paraId="7ADCE99B" w14:textId="77777777" w:rsidR="00153F7F" w:rsidRPr="00714FCB" w:rsidRDefault="00153F7F" w:rsidP="00FF205D">
      <w:pPr>
        <w:pStyle w:val="FootnoteText"/>
        <w:rPr>
          <w:sz w:val="16"/>
          <w:szCs w:val="16"/>
        </w:rPr>
      </w:pPr>
      <w:r w:rsidRPr="00714FCB">
        <w:rPr>
          <w:rStyle w:val="FootnoteReference"/>
          <w:sz w:val="16"/>
          <w:szCs w:val="16"/>
        </w:rPr>
        <w:footnoteRef/>
      </w:r>
      <w:r w:rsidRPr="00714FCB">
        <w:rPr>
          <w:sz w:val="16"/>
          <w:szCs w:val="16"/>
        </w:rPr>
        <w:t xml:space="preserve"> UNAIDS, </w:t>
      </w:r>
      <w:hyperlink r:id="rId4" w:history="1">
        <w:r w:rsidRPr="00714FCB">
          <w:rPr>
            <w:rStyle w:val="Hyperlink"/>
            <w:sz w:val="16"/>
            <w:szCs w:val="16"/>
          </w:rPr>
          <w:t>http://www.unaids.org/en/regionscountries/countries/kazakhstan</w:t>
        </w:r>
      </w:hyperlink>
      <w:r w:rsidRPr="00714FCB">
        <w:rPr>
          <w:sz w:val="16"/>
          <w:szCs w:val="16"/>
        </w:rPr>
        <w:t xml:space="preserve"> </w:t>
      </w:r>
    </w:p>
  </w:footnote>
  <w:footnote w:id="9">
    <w:p w14:paraId="01B5725E" w14:textId="6CAB4847" w:rsidR="00153F7F" w:rsidRPr="000D4A2D" w:rsidRDefault="00153F7F" w:rsidP="00B45D3D">
      <w:pPr>
        <w:pStyle w:val="FootnoteText"/>
        <w:rPr>
          <w:rFonts w:cs="Arial"/>
          <w:sz w:val="16"/>
          <w:szCs w:val="16"/>
        </w:rPr>
      </w:pPr>
      <w:r w:rsidRPr="000D4A2D">
        <w:rPr>
          <w:rStyle w:val="FootnoteReference"/>
          <w:sz w:val="16"/>
          <w:szCs w:val="16"/>
        </w:rPr>
        <w:footnoteRef/>
      </w:r>
      <w:r w:rsidRPr="000D4A2D">
        <w:rPr>
          <w:rFonts w:cs="Arial"/>
          <w:sz w:val="16"/>
          <w:szCs w:val="16"/>
        </w:rPr>
        <w:t xml:space="preserve"> Refer to </w:t>
      </w:r>
      <w:r w:rsidRPr="008E0BF8">
        <w:rPr>
          <w:rFonts w:cs="Arial"/>
          <w:sz w:val="16"/>
          <w:szCs w:val="16"/>
        </w:rPr>
        <w:t xml:space="preserve">the </w:t>
      </w:r>
      <w:hyperlink r:id="rId5" w:history="1">
        <w:r w:rsidRPr="008E0BF8">
          <w:rPr>
            <w:rStyle w:val="Hyperlink"/>
            <w:rFonts w:cs="Arial"/>
            <w:sz w:val="16"/>
            <w:szCs w:val="16"/>
          </w:rPr>
          <w:t>Global Fund 2017 Eligibility List</w:t>
        </w:r>
      </w:hyperlink>
      <w:r w:rsidRPr="008E0BF8">
        <w:rPr>
          <w:rStyle w:val="Hyperlink"/>
          <w:rFonts w:cs="Arial"/>
          <w:sz w:val="16"/>
          <w:szCs w:val="16"/>
        </w:rPr>
        <w:t xml:space="preserve"> </w:t>
      </w:r>
      <w:r w:rsidRPr="008E0BF8">
        <w:rPr>
          <w:rFonts w:cs="Arial"/>
          <w:sz w:val="16"/>
          <w:szCs w:val="16"/>
        </w:rPr>
        <w:t>for</w:t>
      </w:r>
      <w:r w:rsidRPr="000D4A2D">
        <w:rPr>
          <w:rFonts w:cs="Arial"/>
          <w:sz w:val="16"/>
          <w:szCs w:val="16"/>
        </w:rPr>
        <w:t xml:space="preserve"> income level</w:t>
      </w:r>
      <w:r w:rsidRPr="000D4A2D">
        <w:rPr>
          <w:rStyle w:val="Hyperlink"/>
          <w:rFonts w:cs="Arial"/>
          <w:sz w:val="16"/>
          <w:szCs w:val="16"/>
        </w:rPr>
        <w:t xml:space="preserve">. </w:t>
      </w:r>
      <w:r w:rsidRPr="000D4A2D">
        <w:rPr>
          <w:rFonts w:cs="Arial"/>
          <w:sz w:val="16"/>
          <w:szCs w:val="16"/>
        </w:rPr>
        <w:t>LMI and UMI countries have specific requirements in terms of the focus of applications as set forth in the</w:t>
      </w:r>
      <w:r>
        <w:rPr>
          <w:rFonts w:cs="Arial"/>
          <w:sz w:val="16"/>
          <w:szCs w:val="16"/>
        </w:rPr>
        <w:t xml:space="preserve"> </w:t>
      </w:r>
      <w:r w:rsidRPr="00B54C8C">
        <w:rPr>
          <w:rFonts w:cs="Arial"/>
          <w:sz w:val="16"/>
          <w:szCs w:val="16"/>
        </w:rPr>
        <w:t xml:space="preserve">Global Fund </w:t>
      </w:r>
      <w:hyperlink r:id="rId6" w:history="1">
        <w:r w:rsidRPr="00B54C8C">
          <w:rPr>
            <w:rStyle w:val="Hyperlink"/>
            <w:rFonts w:cs="Arial"/>
            <w:sz w:val="16"/>
            <w:szCs w:val="16"/>
          </w:rPr>
          <w:t>Sustainability, Transition and Co-Financing Policy</w:t>
        </w:r>
      </w:hyperlink>
      <w:r w:rsidRPr="000D4A2D">
        <w:rPr>
          <w:rFonts w:cs="Arial"/>
          <w:sz w:val="16"/>
          <w:szCs w:val="16"/>
        </w:rPr>
        <w:t>.</w:t>
      </w:r>
    </w:p>
  </w:footnote>
  <w:footnote w:id="10">
    <w:p w14:paraId="308611B1" w14:textId="0E8DF92F" w:rsidR="00153F7F" w:rsidRPr="00714FCB" w:rsidRDefault="00153F7F" w:rsidP="003B54BE">
      <w:pPr>
        <w:pStyle w:val="FootnoteText"/>
        <w:rPr>
          <w:sz w:val="16"/>
          <w:szCs w:val="16"/>
        </w:rPr>
      </w:pPr>
      <w:r w:rsidRPr="00714FCB">
        <w:rPr>
          <w:rStyle w:val="FootnoteReference"/>
          <w:sz w:val="16"/>
          <w:szCs w:val="16"/>
        </w:rPr>
        <w:footnoteRef/>
      </w:r>
      <w:r w:rsidRPr="00714FCB">
        <w:rPr>
          <w:sz w:val="16"/>
          <w:szCs w:val="16"/>
        </w:rPr>
        <w:t xml:space="preserve"> </w:t>
      </w:r>
      <w:r w:rsidRPr="00714FCB">
        <w:rPr>
          <w:i/>
          <w:sz w:val="16"/>
          <w:szCs w:val="16"/>
        </w:rPr>
        <w:t>State Program “Digital Kazakhstan”</w:t>
      </w:r>
      <w:r w:rsidRPr="00714FCB">
        <w:rPr>
          <w:sz w:val="16"/>
          <w:szCs w:val="16"/>
        </w:rPr>
        <w:t>, approved by the Decree of the Government of Kazakhstan No. 827 from 12 December 2017</w:t>
      </w:r>
    </w:p>
  </w:footnote>
  <w:footnote w:id="11">
    <w:p w14:paraId="4F520C82" w14:textId="188D7184" w:rsidR="00153F7F" w:rsidRPr="00974634" w:rsidRDefault="00153F7F" w:rsidP="00F87AEE">
      <w:pPr>
        <w:pStyle w:val="FootnoteText"/>
        <w:rPr>
          <w:rFonts w:cs="Arial"/>
          <w:sz w:val="16"/>
          <w:szCs w:val="16"/>
        </w:rPr>
      </w:pPr>
      <w:r w:rsidRPr="00974634">
        <w:rPr>
          <w:rStyle w:val="FootnoteReference"/>
          <w:sz w:val="16"/>
          <w:szCs w:val="16"/>
        </w:rPr>
        <w:footnoteRef/>
      </w:r>
      <w:r w:rsidRPr="00974634">
        <w:rPr>
          <w:rFonts w:cs="Arial"/>
          <w:sz w:val="16"/>
          <w:szCs w:val="16"/>
        </w:rPr>
        <w:t xml:space="preserve"> Refer to the </w:t>
      </w:r>
      <w:hyperlink r:id="rId7" w:history="1">
        <w:r w:rsidRPr="00974634">
          <w:rPr>
            <w:rStyle w:val="Hyperlink"/>
            <w:rFonts w:cs="Arial"/>
            <w:sz w:val="16"/>
            <w:szCs w:val="16"/>
          </w:rPr>
          <w:t>Sustainability, Transition and Co-Financing Policy</w:t>
        </w:r>
      </w:hyperlink>
    </w:p>
  </w:footnote>
  <w:footnote w:id="12">
    <w:p w14:paraId="71C8E82D" w14:textId="06E92385" w:rsidR="00153F7F" w:rsidRPr="00974634" w:rsidRDefault="00153F7F" w:rsidP="00B34DA4">
      <w:pPr>
        <w:pStyle w:val="FootnoteText"/>
        <w:rPr>
          <w:sz w:val="16"/>
          <w:szCs w:val="16"/>
        </w:rPr>
      </w:pPr>
      <w:r w:rsidRPr="00974634">
        <w:rPr>
          <w:rStyle w:val="FootnoteReference"/>
          <w:sz w:val="16"/>
          <w:szCs w:val="16"/>
        </w:rPr>
        <w:footnoteRef/>
      </w:r>
      <w:r w:rsidRPr="00974634">
        <w:rPr>
          <w:sz w:val="16"/>
          <w:szCs w:val="16"/>
        </w:rPr>
        <w:t xml:space="preserve"> </w:t>
      </w:r>
      <w:r w:rsidRPr="00974634">
        <w:rPr>
          <w:i/>
          <w:sz w:val="16"/>
          <w:szCs w:val="16"/>
        </w:rPr>
        <w:t>Source</w:t>
      </w:r>
      <w:r w:rsidRPr="00974634">
        <w:rPr>
          <w:sz w:val="16"/>
          <w:szCs w:val="16"/>
        </w:rPr>
        <w:t xml:space="preserve">: Health for All Explorer, WHO Regional Office for Europe, </w:t>
      </w:r>
      <w:hyperlink r:id="rId8" w:history="1">
        <w:r w:rsidRPr="00974634">
          <w:rPr>
            <w:rStyle w:val="Hyperlink"/>
            <w:sz w:val="16"/>
            <w:szCs w:val="16"/>
          </w:rPr>
          <w:t>https://gateway.euro.who.int/en/hfa-explorer/</w:t>
        </w:r>
      </w:hyperlink>
      <w:r w:rsidRPr="00974634">
        <w:rPr>
          <w:sz w:val="16"/>
          <w:szCs w:val="16"/>
        </w:rPr>
        <w:t xml:space="preserve"> </w:t>
      </w:r>
    </w:p>
  </w:footnote>
  <w:footnote w:id="13">
    <w:p w14:paraId="437FEAFA" w14:textId="305358CF" w:rsidR="00153F7F" w:rsidRDefault="00153F7F" w:rsidP="00B34DA4">
      <w:pPr>
        <w:pStyle w:val="FootnoteText"/>
      </w:pPr>
      <w:r w:rsidRPr="00974634">
        <w:rPr>
          <w:rStyle w:val="FootnoteReference"/>
          <w:sz w:val="16"/>
          <w:szCs w:val="16"/>
        </w:rPr>
        <w:footnoteRef/>
      </w:r>
      <w:r w:rsidRPr="00974634">
        <w:rPr>
          <w:sz w:val="16"/>
          <w:szCs w:val="16"/>
        </w:rPr>
        <w:t xml:space="preserve"> </w:t>
      </w:r>
      <w:r w:rsidRPr="00974634">
        <w:rPr>
          <w:i/>
          <w:sz w:val="16"/>
          <w:szCs w:val="16"/>
        </w:rPr>
        <w:t>Source</w:t>
      </w:r>
      <w:r w:rsidRPr="00974634">
        <w:rPr>
          <w:sz w:val="16"/>
          <w:szCs w:val="16"/>
        </w:rPr>
        <w:t xml:space="preserve">: Health for All Explorer, WHO Regional Office for Europe, </w:t>
      </w:r>
      <w:hyperlink r:id="rId9" w:history="1">
        <w:r w:rsidRPr="00974634">
          <w:rPr>
            <w:rStyle w:val="Hyperlink"/>
            <w:sz w:val="16"/>
            <w:szCs w:val="16"/>
          </w:rPr>
          <w:t>https://gateway.euro.who.int/en/hfa-explorer/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3F01"/>
    <w:multiLevelType w:val="hybridMultilevel"/>
    <w:tmpl w:val="F6B2BB44"/>
    <w:lvl w:ilvl="0" w:tplc="C290828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84E61"/>
    <w:multiLevelType w:val="hybridMultilevel"/>
    <w:tmpl w:val="47CA6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C9373A"/>
    <w:multiLevelType w:val="hybridMultilevel"/>
    <w:tmpl w:val="C7F8F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855C4E"/>
    <w:multiLevelType w:val="hybridMultilevel"/>
    <w:tmpl w:val="E29A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97FDC"/>
    <w:multiLevelType w:val="hybridMultilevel"/>
    <w:tmpl w:val="12EAFD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2C3A65"/>
    <w:multiLevelType w:val="hybridMultilevel"/>
    <w:tmpl w:val="67BE3C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BE4634"/>
    <w:multiLevelType w:val="hybridMultilevel"/>
    <w:tmpl w:val="E8023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853A65"/>
    <w:multiLevelType w:val="hybridMultilevel"/>
    <w:tmpl w:val="E67003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F42416A"/>
    <w:multiLevelType w:val="hybridMultilevel"/>
    <w:tmpl w:val="7646F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5A76D3"/>
    <w:multiLevelType w:val="hybridMultilevel"/>
    <w:tmpl w:val="B1581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F94210"/>
    <w:multiLevelType w:val="hybridMultilevel"/>
    <w:tmpl w:val="857ECDC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B02662"/>
    <w:multiLevelType w:val="hybridMultilevel"/>
    <w:tmpl w:val="77EAC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C80D01"/>
    <w:multiLevelType w:val="hybridMultilevel"/>
    <w:tmpl w:val="B85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3B47DD"/>
    <w:multiLevelType w:val="hybridMultilevel"/>
    <w:tmpl w:val="2A6031CC"/>
    <w:lvl w:ilvl="0" w:tplc="C8BEA15A">
      <w:start w:val="1"/>
      <w:numFmt w:val="bullet"/>
      <w:pStyle w:val="Bullet2"/>
      <w:lvlText w:val=""/>
      <w:lvlJc w:val="left"/>
      <w:pPr>
        <w:tabs>
          <w:tab w:val="num" w:pos="7947"/>
        </w:tabs>
        <w:ind w:left="7947" w:hanging="425"/>
      </w:pPr>
      <w:rPr>
        <w:rFonts w:ascii="Symbol" w:hAnsi="Symbol" w:hint="default"/>
        <w:sz w:val="20"/>
      </w:rPr>
    </w:lvl>
    <w:lvl w:ilvl="1" w:tplc="04070003">
      <w:start w:val="1"/>
      <w:numFmt w:val="bullet"/>
      <w:lvlText w:val="o"/>
      <w:lvlJc w:val="left"/>
      <w:pPr>
        <w:tabs>
          <w:tab w:val="num" w:pos="1024"/>
        </w:tabs>
        <w:ind w:left="1024" w:hanging="360"/>
      </w:pPr>
      <w:rPr>
        <w:rFonts w:ascii="Courier New" w:hAnsi="Courier New" w:cs="Courier New" w:hint="default"/>
      </w:rPr>
    </w:lvl>
    <w:lvl w:ilvl="2" w:tplc="04070005">
      <w:start w:val="1"/>
      <w:numFmt w:val="bullet"/>
      <w:lvlText w:val=""/>
      <w:lvlJc w:val="left"/>
      <w:pPr>
        <w:tabs>
          <w:tab w:val="num" w:pos="1744"/>
        </w:tabs>
        <w:ind w:left="1744" w:hanging="360"/>
      </w:pPr>
      <w:rPr>
        <w:rFonts w:ascii="Wingdings" w:hAnsi="Wingdings" w:hint="default"/>
      </w:rPr>
    </w:lvl>
    <w:lvl w:ilvl="3" w:tplc="04070001">
      <w:start w:val="1"/>
      <w:numFmt w:val="bullet"/>
      <w:lvlText w:val=""/>
      <w:lvlJc w:val="left"/>
      <w:pPr>
        <w:tabs>
          <w:tab w:val="num" w:pos="2464"/>
        </w:tabs>
        <w:ind w:left="2464" w:hanging="360"/>
      </w:pPr>
      <w:rPr>
        <w:rFonts w:ascii="Symbol" w:hAnsi="Symbol" w:hint="default"/>
      </w:rPr>
    </w:lvl>
    <w:lvl w:ilvl="4" w:tplc="04070003">
      <w:start w:val="1"/>
      <w:numFmt w:val="bullet"/>
      <w:lvlText w:val="o"/>
      <w:lvlJc w:val="left"/>
      <w:pPr>
        <w:tabs>
          <w:tab w:val="num" w:pos="3184"/>
        </w:tabs>
        <w:ind w:left="3184" w:hanging="360"/>
      </w:pPr>
      <w:rPr>
        <w:rFonts w:ascii="Courier New" w:hAnsi="Courier New" w:cs="Courier New" w:hint="default"/>
      </w:rPr>
    </w:lvl>
    <w:lvl w:ilvl="5" w:tplc="04070005">
      <w:start w:val="1"/>
      <w:numFmt w:val="bullet"/>
      <w:lvlText w:val=""/>
      <w:lvlJc w:val="left"/>
      <w:pPr>
        <w:tabs>
          <w:tab w:val="num" w:pos="3904"/>
        </w:tabs>
        <w:ind w:left="3904" w:hanging="360"/>
      </w:pPr>
      <w:rPr>
        <w:rFonts w:ascii="Wingdings" w:hAnsi="Wingdings" w:hint="default"/>
      </w:rPr>
    </w:lvl>
    <w:lvl w:ilvl="6" w:tplc="04070001">
      <w:start w:val="1"/>
      <w:numFmt w:val="bullet"/>
      <w:lvlText w:val=""/>
      <w:lvlJc w:val="left"/>
      <w:pPr>
        <w:tabs>
          <w:tab w:val="num" w:pos="4624"/>
        </w:tabs>
        <w:ind w:left="4624" w:hanging="360"/>
      </w:pPr>
      <w:rPr>
        <w:rFonts w:ascii="Symbol" w:hAnsi="Symbol" w:hint="default"/>
      </w:rPr>
    </w:lvl>
    <w:lvl w:ilvl="7" w:tplc="04070003">
      <w:start w:val="1"/>
      <w:numFmt w:val="bullet"/>
      <w:lvlText w:val="o"/>
      <w:lvlJc w:val="left"/>
      <w:pPr>
        <w:tabs>
          <w:tab w:val="num" w:pos="5344"/>
        </w:tabs>
        <w:ind w:left="5344" w:hanging="360"/>
      </w:pPr>
      <w:rPr>
        <w:rFonts w:ascii="Courier New" w:hAnsi="Courier New" w:cs="Courier New" w:hint="default"/>
      </w:rPr>
    </w:lvl>
    <w:lvl w:ilvl="8" w:tplc="04070005">
      <w:start w:val="1"/>
      <w:numFmt w:val="bullet"/>
      <w:lvlText w:val=""/>
      <w:lvlJc w:val="left"/>
      <w:pPr>
        <w:tabs>
          <w:tab w:val="num" w:pos="6064"/>
        </w:tabs>
        <w:ind w:left="6064" w:hanging="360"/>
      </w:pPr>
      <w:rPr>
        <w:rFonts w:ascii="Wingdings" w:hAnsi="Wingdings" w:hint="default"/>
      </w:rPr>
    </w:lvl>
  </w:abstractNum>
  <w:abstractNum w:abstractNumId="14">
    <w:nsid w:val="4A3C1F05"/>
    <w:multiLevelType w:val="hybridMultilevel"/>
    <w:tmpl w:val="13E0FC44"/>
    <w:lvl w:ilvl="0" w:tplc="8CA89106">
      <w:start w:val="1"/>
      <w:numFmt w:val="lowerLetter"/>
      <w:lvlText w:val="%1)"/>
      <w:lvlJc w:val="left"/>
      <w:pPr>
        <w:ind w:left="720" w:hanging="360"/>
      </w:pPr>
      <w:rPr>
        <w:rFonts w:ascii="Arial" w:eastAsia="Calibri" w:hAnsi="Arial" w:cs="Arial"/>
      </w:rPr>
    </w:lvl>
    <w:lvl w:ilvl="1" w:tplc="0809001B">
      <w:start w:val="1"/>
      <w:numFmt w:val="lowerRoman"/>
      <w:lvlText w:val="%2."/>
      <w:lvlJc w:val="right"/>
      <w:pPr>
        <w:ind w:left="1440" w:hanging="360"/>
      </w:pPr>
    </w:lvl>
    <w:lvl w:ilvl="2" w:tplc="2598ACDC">
      <w:start w:val="4"/>
      <w:numFmt w:val="decimal"/>
      <w:lvlText w:val="%3."/>
      <w:lvlJc w:val="left"/>
      <w:pPr>
        <w:ind w:left="36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B50088"/>
    <w:multiLevelType w:val="hybridMultilevel"/>
    <w:tmpl w:val="2CDC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D3238B"/>
    <w:multiLevelType w:val="hybridMultilevel"/>
    <w:tmpl w:val="4D3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EE7313"/>
    <w:multiLevelType w:val="hybridMultilevel"/>
    <w:tmpl w:val="0240B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41469E"/>
    <w:multiLevelType w:val="hybridMultilevel"/>
    <w:tmpl w:val="77EAC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72311A"/>
    <w:multiLevelType w:val="hybridMultilevel"/>
    <w:tmpl w:val="EC306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DA494F"/>
    <w:multiLevelType w:val="hybridMultilevel"/>
    <w:tmpl w:val="810E715C"/>
    <w:lvl w:ilvl="0" w:tplc="7ACEC0A6">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372BCD"/>
    <w:multiLevelType w:val="hybridMultilevel"/>
    <w:tmpl w:val="168A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C83EA8"/>
    <w:multiLevelType w:val="hybridMultilevel"/>
    <w:tmpl w:val="92AC6422"/>
    <w:lvl w:ilvl="0" w:tplc="BE962E7C">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251FDB"/>
    <w:multiLevelType w:val="hybridMultilevel"/>
    <w:tmpl w:val="745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CB68E4"/>
    <w:multiLevelType w:val="hybridMultilevel"/>
    <w:tmpl w:val="7FDA5F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nsid w:val="79451EBF"/>
    <w:multiLevelType w:val="hybridMultilevel"/>
    <w:tmpl w:val="74F8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861216"/>
    <w:multiLevelType w:val="hybridMultilevel"/>
    <w:tmpl w:val="629EB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2"/>
  </w:num>
  <w:num w:numId="4">
    <w:abstractNumId w:val="14"/>
  </w:num>
  <w:num w:numId="5">
    <w:abstractNumId w:val="4"/>
  </w:num>
  <w:num w:numId="6">
    <w:abstractNumId w:val="20"/>
  </w:num>
  <w:num w:numId="7">
    <w:abstractNumId w:val="11"/>
  </w:num>
  <w:num w:numId="8">
    <w:abstractNumId w:val="10"/>
  </w:num>
  <w:num w:numId="9">
    <w:abstractNumId w:val="16"/>
  </w:num>
  <w:num w:numId="10">
    <w:abstractNumId w:val="9"/>
  </w:num>
  <w:num w:numId="11">
    <w:abstractNumId w:val="21"/>
  </w:num>
  <w:num w:numId="12">
    <w:abstractNumId w:val="3"/>
  </w:num>
  <w:num w:numId="13">
    <w:abstractNumId w:val="2"/>
  </w:num>
  <w:num w:numId="14">
    <w:abstractNumId w:val="23"/>
  </w:num>
  <w:num w:numId="15">
    <w:abstractNumId w:val="26"/>
  </w:num>
  <w:num w:numId="16">
    <w:abstractNumId w:val="25"/>
  </w:num>
  <w:num w:numId="17">
    <w:abstractNumId w:val="15"/>
  </w:num>
  <w:num w:numId="18">
    <w:abstractNumId w:val="17"/>
  </w:num>
  <w:num w:numId="19">
    <w:abstractNumId w:val="8"/>
  </w:num>
  <w:num w:numId="20">
    <w:abstractNumId w:val="7"/>
  </w:num>
  <w:num w:numId="21">
    <w:abstractNumId w:val="1"/>
  </w:num>
  <w:num w:numId="22">
    <w:abstractNumId w:val="24"/>
  </w:num>
  <w:num w:numId="23">
    <w:abstractNumId w:val="18"/>
  </w:num>
  <w:num w:numId="24">
    <w:abstractNumId w:val="6"/>
  </w:num>
  <w:num w:numId="25">
    <w:abstractNumId w:val="0"/>
  </w:num>
  <w:num w:numId="26">
    <w:abstractNumId w:val="19"/>
  </w:num>
  <w:num w:numId="2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22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ED"/>
    <w:rsid w:val="00000040"/>
    <w:rsid w:val="00000ACE"/>
    <w:rsid w:val="00000B30"/>
    <w:rsid w:val="00001055"/>
    <w:rsid w:val="00002065"/>
    <w:rsid w:val="00002781"/>
    <w:rsid w:val="00003554"/>
    <w:rsid w:val="00003BC2"/>
    <w:rsid w:val="0000438F"/>
    <w:rsid w:val="00004424"/>
    <w:rsid w:val="000051B8"/>
    <w:rsid w:val="00005713"/>
    <w:rsid w:val="00006536"/>
    <w:rsid w:val="00006C62"/>
    <w:rsid w:val="00007A1F"/>
    <w:rsid w:val="00007E5B"/>
    <w:rsid w:val="000100C1"/>
    <w:rsid w:val="000112C4"/>
    <w:rsid w:val="000128BD"/>
    <w:rsid w:val="00012CC8"/>
    <w:rsid w:val="0001396D"/>
    <w:rsid w:val="00014323"/>
    <w:rsid w:val="00017CC4"/>
    <w:rsid w:val="0002098B"/>
    <w:rsid w:val="00020F58"/>
    <w:rsid w:val="00021B62"/>
    <w:rsid w:val="00022C9B"/>
    <w:rsid w:val="000234CB"/>
    <w:rsid w:val="000239E0"/>
    <w:rsid w:val="00023EA7"/>
    <w:rsid w:val="00023ED8"/>
    <w:rsid w:val="000246A0"/>
    <w:rsid w:val="000248EB"/>
    <w:rsid w:val="000249C6"/>
    <w:rsid w:val="00024BE7"/>
    <w:rsid w:val="00025528"/>
    <w:rsid w:val="00025DD8"/>
    <w:rsid w:val="00026884"/>
    <w:rsid w:val="00027240"/>
    <w:rsid w:val="00032887"/>
    <w:rsid w:val="0003342B"/>
    <w:rsid w:val="00033E5A"/>
    <w:rsid w:val="00034B67"/>
    <w:rsid w:val="00034B99"/>
    <w:rsid w:val="00034BDF"/>
    <w:rsid w:val="0003572A"/>
    <w:rsid w:val="00035B0F"/>
    <w:rsid w:val="00036086"/>
    <w:rsid w:val="000366B6"/>
    <w:rsid w:val="00041842"/>
    <w:rsid w:val="00041B64"/>
    <w:rsid w:val="00041C63"/>
    <w:rsid w:val="0004260A"/>
    <w:rsid w:val="00042EC2"/>
    <w:rsid w:val="00043AE3"/>
    <w:rsid w:val="00043CF1"/>
    <w:rsid w:val="000458FB"/>
    <w:rsid w:val="00045E2C"/>
    <w:rsid w:val="00045EA4"/>
    <w:rsid w:val="00046603"/>
    <w:rsid w:val="00046CFE"/>
    <w:rsid w:val="00046D55"/>
    <w:rsid w:val="0004748A"/>
    <w:rsid w:val="0004775F"/>
    <w:rsid w:val="00047B27"/>
    <w:rsid w:val="00050A82"/>
    <w:rsid w:val="00050D3D"/>
    <w:rsid w:val="00051360"/>
    <w:rsid w:val="00052367"/>
    <w:rsid w:val="00053796"/>
    <w:rsid w:val="0005382E"/>
    <w:rsid w:val="000538CF"/>
    <w:rsid w:val="000545CB"/>
    <w:rsid w:val="00055642"/>
    <w:rsid w:val="00055C90"/>
    <w:rsid w:val="0005725B"/>
    <w:rsid w:val="00057537"/>
    <w:rsid w:val="000579E5"/>
    <w:rsid w:val="00057B98"/>
    <w:rsid w:val="00060DD3"/>
    <w:rsid w:val="000611A5"/>
    <w:rsid w:val="00061BE6"/>
    <w:rsid w:val="000620D9"/>
    <w:rsid w:val="000623F7"/>
    <w:rsid w:val="0006280C"/>
    <w:rsid w:val="00062CA6"/>
    <w:rsid w:val="00063BB5"/>
    <w:rsid w:val="00064022"/>
    <w:rsid w:val="000641BA"/>
    <w:rsid w:val="0006498E"/>
    <w:rsid w:val="00065A53"/>
    <w:rsid w:val="000664FF"/>
    <w:rsid w:val="00066F9E"/>
    <w:rsid w:val="00067893"/>
    <w:rsid w:val="00067A45"/>
    <w:rsid w:val="00067E3E"/>
    <w:rsid w:val="000706CD"/>
    <w:rsid w:val="00070EA5"/>
    <w:rsid w:val="00071892"/>
    <w:rsid w:val="00072313"/>
    <w:rsid w:val="000723A3"/>
    <w:rsid w:val="00073993"/>
    <w:rsid w:val="00074FAE"/>
    <w:rsid w:val="00075664"/>
    <w:rsid w:val="00076B5A"/>
    <w:rsid w:val="000779AA"/>
    <w:rsid w:val="00077DB1"/>
    <w:rsid w:val="00081341"/>
    <w:rsid w:val="00082047"/>
    <w:rsid w:val="00082228"/>
    <w:rsid w:val="00082688"/>
    <w:rsid w:val="00082BD6"/>
    <w:rsid w:val="00083168"/>
    <w:rsid w:val="00083487"/>
    <w:rsid w:val="000841CC"/>
    <w:rsid w:val="00084E59"/>
    <w:rsid w:val="0008527A"/>
    <w:rsid w:val="000866EB"/>
    <w:rsid w:val="000877E6"/>
    <w:rsid w:val="00090283"/>
    <w:rsid w:val="00091962"/>
    <w:rsid w:val="000934CD"/>
    <w:rsid w:val="000938B9"/>
    <w:rsid w:val="00093C9A"/>
    <w:rsid w:val="0009402E"/>
    <w:rsid w:val="000942DB"/>
    <w:rsid w:val="00094CAD"/>
    <w:rsid w:val="00095987"/>
    <w:rsid w:val="00095AE3"/>
    <w:rsid w:val="00096142"/>
    <w:rsid w:val="00096993"/>
    <w:rsid w:val="000A06B9"/>
    <w:rsid w:val="000A1C89"/>
    <w:rsid w:val="000A2445"/>
    <w:rsid w:val="000A24A5"/>
    <w:rsid w:val="000A2EF3"/>
    <w:rsid w:val="000A3B0A"/>
    <w:rsid w:val="000A3E20"/>
    <w:rsid w:val="000A3E42"/>
    <w:rsid w:val="000A3FF9"/>
    <w:rsid w:val="000A4C6F"/>
    <w:rsid w:val="000A57BC"/>
    <w:rsid w:val="000A5DED"/>
    <w:rsid w:val="000A6580"/>
    <w:rsid w:val="000A690A"/>
    <w:rsid w:val="000A752B"/>
    <w:rsid w:val="000B00B0"/>
    <w:rsid w:val="000B075E"/>
    <w:rsid w:val="000B0A68"/>
    <w:rsid w:val="000B0ED4"/>
    <w:rsid w:val="000B1113"/>
    <w:rsid w:val="000B13FA"/>
    <w:rsid w:val="000B18CF"/>
    <w:rsid w:val="000B2817"/>
    <w:rsid w:val="000B2C15"/>
    <w:rsid w:val="000B3D46"/>
    <w:rsid w:val="000B4180"/>
    <w:rsid w:val="000B4288"/>
    <w:rsid w:val="000B4452"/>
    <w:rsid w:val="000B45A7"/>
    <w:rsid w:val="000B48C0"/>
    <w:rsid w:val="000B5AFC"/>
    <w:rsid w:val="000B5E60"/>
    <w:rsid w:val="000B6318"/>
    <w:rsid w:val="000B6F35"/>
    <w:rsid w:val="000B7C82"/>
    <w:rsid w:val="000C02C9"/>
    <w:rsid w:val="000C0933"/>
    <w:rsid w:val="000C0CE9"/>
    <w:rsid w:val="000C1271"/>
    <w:rsid w:val="000C155F"/>
    <w:rsid w:val="000C1D23"/>
    <w:rsid w:val="000C1FD7"/>
    <w:rsid w:val="000C4DDB"/>
    <w:rsid w:val="000C631B"/>
    <w:rsid w:val="000C73A5"/>
    <w:rsid w:val="000C7A5F"/>
    <w:rsid w:val="000D0032"/>
    <w:rsid w:val="000D04B3"/>
    <w:rsid w:val="000D2077"/>
    <w:rsid w:val="000D2228"/>
    <w:rsid w:val="000D2590"/>
    <w:rsid w:val="000D272B"/>
    <w:rsid w:val="000D2981"/>
    <w:rsid w:val="000D3780"/>
    <w:rsid w:val="000D3914"/>
    <w:rsid w:val="000D3A04"/>
    <w:rsid w:val="000D4020"/>
    <w:rsid w:val="000D40D2"/>
    <w:rsid w:val="000D4A2D"/>
    <w:rsid w:val="000D5573"/>
    <w:rsid w:val="000D5CB1"/>
    <w:rsid w:val="000D5DA3"/>
    <w:rsid w:val="000D72CB"/>
    <w:rsid w:val="000E0DAA"/>
    <w:rsid w:val="000E1369"/>
    <w:rsid w:val="000E2C1C"/>
    <w:rsid w:val="000E3B2D"/>
    <w:rsid w:val="000E3C0C"/>
    <w:rsid w:val="000E3CDC"/>
    <w:rsid w:val="000E67C7"/>
    <w:rsid w:val="000F1873"/>
    <w:rsid w:val="000F397B"/>
    <w:rsid w:val="000F3F2B"/>
    <w:rsid w:val="000F3F76"/>
    <w:rsid w:val="000F4198"/>
    <w:rsid w:val="000F44B7"/>
    <w:rsid w:val="000F51D4"/>
    <w:rsid w:val="000F547C"/>
    <w:rsid w:val="000F65B0"/>
    <w:rsid w:val="000F67DD"/>
    <w:rsid w:val="000F69F0"/>
    <w:rsid w:val="000F6E80"/>
    <w:rsid w:val="000F76CA"/>
    <w:rsid w:val="000F7840"/>
    <w:rsid w:val="000F79EF"/>
    <w:rsid w:val="000F7E45"/>
    <w:rsid w:val="001007AF"/>
    <w:rsid w:val="001010A7"/>
    <w:rsid w:val="0010125F"/>
    <w:rsid w:val="00101887"/>
    <w:rsid w:val="001024C6"/>
    <w:rsid w:val="00102D4B"/>
    <w:rsid w:val="001068D8"/>
    <w:rsid w:val="00106E72"/>
    <w:rsid w:val="00106ED0"/>
    <w:rsid w:val="00107277"/>
    <w:rsid w:val="00110FF0"/>
    <w:rsid w:val="00111323"/>
    <w:rsid w:val="00111DAF"/>
    <w:rsid w:val="00112B7D"/>
    <w:rsid w:val="00113D9E"/>
    <w:rsid w:val="00114136"/>
    <w:rsid w:val="0011522B"/>
    <w:rsid w:val="00116256"/>
    <w:rsid w:val="0011684D"/>
    <w:rsid w:val="00116936"/>
    <w:rsid w:val="00116ADA"/>
    <w:rsid w:val="001171B2"/>
    <w:rsid w:val="00117791"/>
    <w:rsid w:val="00117CE9"/>
    <w:rsid w:val="0012010E"/>
    <w:rsid w:val="00120983"/>
    <w:rsid w:val="00120CD6"/>
    <w:rsid w:val="00120DF8"/>
    <w:rsid w:val="001210C4"/>
    <w:rsid w:val="001211D6"/>
    <w:rsid w:val="0012138E"/>
    <w:rsid w:val="00122C0A"/>
    <w:rsid w:val="001236F4"/>
    <w:rsid w:val="001244F6"/>
    <w:rsid w:val="001250E7"/>
    <w:rsid w:val="00125458"/>
    <w:rsid w:val="0012570E"/>
    <w:rsid w:val="00126329"/>
    <w:rsid w:val="00126482"/>
    <w:rsid w:val="001309C9"/>
    <w:rsid w:val="0013159A"/>
    <w:rsid w:val="00133445"/>
    <w:rsid w:val="00133A15"/>
    <w:rsid w:val="001351A0"/>
    <w:rsid w:val="0013566D"/>
    <w:rsid w:val="001364E9"/>
    <w:rsid w:val="0013678A"/>
    <w:rsid w:val="0013798C"/>
    <w:rsid w:val="00137F91"/>
    <w:rsid w:val="00140D8E"/>
    <w:rsid w:val="0014271F"/>
    <w:rsid w:val="0014328E"/>
    <w:rsid w:val="0014346A"/>
    <w:rsid w:val="0014404C"/>
    <w:rsid w:val="0014547E"/>
    <w:rsid w:val="00145DC2"/>
    <w:rsid w:val="001466AD"/>
    <w:rsid w:val="00147BBB"/>
    <w:rsid w:val="00150D95"/>
    <w:rsid w:val="00150F81"/>
    <w:rsid w:val="00151DD1"/>
    <w:rsid w:val="0015245D"/>
    <w:rsid w:val="00153F7F"/>
    <w:rsid w:val="00156F15"/>
    <w:rsid w:val="00160333"/>
    <w:rsid w:val="0016082E"/>
    <w:rsid w:val="00161179"/>
    <w:rsid w:val="001614FA"/>
    <w:rsid w:val="001624FE"/>
    <w:rsid w:val="00162602"/>
    <w:rsid w:val="00162DD5"/>
    <w:rsid w:val="00162DF6"/>
    <w:rsid w:val="00162E83"/>
    <w:rsid w:val="00163B2B"/>
    <w:rsid w:val="00164733"/>
    <w:rsid w:val="00165836"/>
    <w:rsid w:val="00165B0D"/>
    <w:rsid w:val="0016780B"/>
    <w:rsid w:val="00167DB1"/>
    <w:rsid w:val="0017021D"/>
    <w:rsid w:val="0017057C"/>
    <w:rsid w:val="00170C95"/>
    <w:rsid w:val="001710F7"/>
    <w:rsid w:val="00171979"/>
    <w:rsid w:val="00171C12"/>
    <w:rsid w:val="00172B12"/>
    <w:rsid w:val="00173131"/>
    <w:rsid w:val="0017319A"/>
    <w:rsid w:val="00174B71"/>
    <w:rsid w:val="00174DAE"/>
    <w:rsid w:val="00175C38"/>
    <w:rsid w:val="00176176"/>
    <w:rsid w:val="00176ECC"/>
    <w:rsid w:val="001772D0"/>
    <w:rsid w:val="00177C2D"/>
    <w:rsid w:val="00180351"/>
    <w:rsid w:val="001804AC"/>
    <w:rsid w:val="00180AB0"/>
    <w:rsid w:val="00180DBC"/>
    <w:rsid w:val="00181147"/>
    <w:rsid w:val="001822AC"/>
    <w:rsid w:val="00182BEB"/>
    <w:rsid w:val="00183132"/>
    <w:rsid w:val="00183B3F"/>
    <w:rsid w:val="00183E9F"/>
    <w:rsid w:val="00184402"/>
    <w:rsid w:val="00184A91"/>
    <w:rsid w:val="0018563A"/>
    <w:rsid w:val="001906B8"/>
    <w:rsid w:val="00190968"/>
    <w:rsid w:val="001914E0"/>
    <w:rsid w:val="001915BE"/>
    <w:rsid w:val="00192F67"/>
    <w:rsid w:val="00193311"/>
    <w:rsid w:val="00194C37"/>
    <w:rsid w:val="00194E5B"/>
    <w:rsid w:val="001957C1"/>
    <w:rsid w:val="001966C3"/>
    <w:rsid w:val="00196858"/>
    <w:rsid w:val="001969EE"/>
    <w:rsid w:val="00196A51"/>
    <w:rsid w:val="00196B98"/>
    <w:rsid w:val="001972A6"/>
    <w:rsid w:val="001A0328"/>
    <w:rsid w:val="001A068C"/>
    <w:rsid w:val="001A18F5"/>
    <w:rsid w:val="001A2AE5"/>
    <w:rsid w:val="001A2C43"/>
    <w:rsid w:val="001A32B4"/>
    <w:rsid w:val="001A3E4C"/>
    <w:rsid w:val="001A43EA"/>
    <w:rsid w:val="001A47B2"/>
    <w:rsid w:val="001A5006"/>
    <w:rsid w:val="001A5040"/>
    <w:rsid w:val="001A52DA"/>
    <w:rsid w:val="001A5954"/>
    <w:rsid w:val="001A5D1B"/>
    <w:rsid w:val="001A73EB"/>
    <w:rsid w:val="001B065B"/>
    <w:rsid w:val="001B0A07"/>
    <w:rsid w:val="001B1095"/>
    <w:rsid w:val="001B1CA5"/>
    <w:rsid w:val="001B2EB7"/>
    <w:rsid w:val="001B349C"/>
    <w:rsid w:val="001B4030"/>
    <w:rsid w:val="001B5318"/>
    <w:rsid w:val="001B53C3"/>
    <w:rsid w:val="001B555A"/>
    <w:rsid w:val="001B5BFD"/>
    <w:rsid w:val="001B67C2"/>
    <w:rsid w:val="001B6A4C"/>
    <w:rsid w:val="001B6B1E"/>
    <w:rsid w:val="001B6EF7"/>
    <w:rsid w:val="001B75F8"/>
    <w:rsid w:val="001C0390"/>
    <w:rsid w:val="001C04EA"/>
    <w:rsid w:val="001C0A3D"/>
    <w:rsid w:val="001C129D"/>
    <w:rsid w:val="001C4464"/>
    <w:rsid w:val="001C498C"/>
    <w:rsid w:val="001C4BC1"/>
    <w:rsid w:val="001C5AFF"/>
    <w:rsid w:val="001C5C2D"/>
    <w:rsid w:val="001C6126"/>
    <w:rsid w:val="001C6301"/>
    <w:rsid w:val="001C6FA7"/>
    <w:rsid w:val="001C78E1"/>
    <w:rsid w:val="001C7A20"/>
    <w:rsid w:val="001C7B03"/>
    <w:rsid w:val="001C7B1E"/>
    <w:rsid w:val="001D08BC"/>
    <w:rsid w:val="001D0B04"/>
    <w:rsid w:val="001D1E5C"/>
    <w:rsid w:val="001D2922"/>
    <w:rsid w:val="001D46BB"/>
    <w:rsid w:val="001D55DF"/>
    <w:rsid w:val="001D603B"/>
    <w:rsid w:val="001D6733"/>
    <w:rsid w:val="001D6A63"/>
    <w:rsid w:val="001D6C02"/>
    <w:rsid w:val="001D7222"/>
    <w:rsid w:val="001D740A"/>
    <w:rsid w:val="001D7574"/>
    <w:rsid w:val="001D7639"/>
    <w:rsid w:val="001D76CF"/>
    <w:rsid w:val="001D780E"/>
    <w:rsid w:val="001D78C5"/>
    <w:rsid w:val="001E07E6"/>
    <w:rsid w:val="001E0E3B"/>
    <w:rsid w:val="001E1173"/>
    <w:rsid w:val="001E2001"/>
    <w:rsid w:val="001E2586"/>
    <w:rsid w:val="001E3217"/>
    <w:rsid w:val="001E384E"/>
    <w:rsid w:val="001E390D"/>
    <w:rsid w:val="001E4931"/>
    <w:rsid w:val="001E650D"/>
    <w:rsid w:val="001E6FDD"/>
    <w:rsid w:val="001E791F"/>
    <w:rsid w:val="001E79FC"/>
    <w:rsid w:val="001F0292"/>
    <w:rsid w:val="001F02D5"/>
    <w:rsid w:val="001F1101"/>
    <w:rsid w:val="001F2C88"/>
    <w:rsid w:val="001F2D4C"/>
    <w:rsid w:val="001F421B"/>
    <w:rsid w:val="001F48DD"/>
    <w:rsid w:val="001F519D"/>
    <w:rsid w:val="001F5938"/>
    <w:rsid w:val="00201095"/>
    <w:rsid w:val="0020134B"/>
    <w:rsid w:val="0020152F"/>
    <w:rsid w:val="002018E6"/>
    <w:rsid w:val="00201C0E"/>
    <w:rsid w:val="00201EBB"/>
    <w:rsid w:val="002022A8"/>
    <w:rsid w:val="00202DF6"/>
    <w:rsid w:val="0020432E"/>
    <w:rsid w:val="002047B8"/>
    <w:rsid w:val="0020556D"/>
    <w:rsid w:val="00205832"/>
    <w:rsid w:val="00205AE0"/>
    <w:rsid w:val="00205F6F"/>
    <w:rsid w:val="00205F7A"/>
    <w:rsid w:val="00206836"/>
    <w:rsid w:val="00207223"/>
    <w:rsid w:val="00207DC9"/>
    <w:rsid w:val="00210687"/>
    <w:rsid w:val="002116AF"/>
    <w:rsid w:val="00212FED"/>
    <w:rsid w:val="002134A1"/>
    <w:rsid w:val="00214228"/>
    <w:rsid w:val="00220927"/>
    <w:rsid w:val="00220D09"/>
    <w:rsid w:val="002214FC"/>
    <w:rsid w:val="00221D91"/>
    <w:rsid w:val="00222856"/>
    <w:rsid w:val="00222A45"/>
    <w:rsid w:val="00222B02"/>
    <w:rsid w:val="002230CA"/>
    <w:rsid w:val="0022338D"/>
    <w:rsid w:val="00223B52"/>
    <w:rsid w:val="00223D84"/>
    <w:rsid w:val="00224B1E"/>
    <w:rsid w:val="00227263"/>
    <w:rsid w:val="00227A37"/>
    <w:rsid w:val="00227EE2"/>
    <w:rsid w:val="00230833"/>
    <w:rsid w:val="00231AFF"/>
    <w:rsid w:val="0023215A"/>
    <w:rsid w:val="002324C3"/>
    <w:rsid w:val="002329D1"/>
    <w:rsid w:val="00232DD8"/>
    <w:rsid w:val="00233461"/>
    <w:rsid w:val="00233A6F"/>
    <w:rsid w:val="00233ECF"/>
    <w:rsid w:val="002344F9"/>
    <w:rsid w:val="0023493A"/>
    <w:rsid w:val="00234B1A"/>
    <w:rsid w:val="00234BF7"/>
    <w:rsid w:val="00235330"/>
    <w:rsid w:val="00235AB4"/>
    <w:rsid w:val="002361FE"/>
    <w:rsid w:val="00236B51"/>
    <w:rsid w:val="00240471"/>
    <w:rsid w:val="00240D8A"/>
    <w:rsid w:val="00240F14"/>
    <w:rsid w:val="002413E1"/>
    <w:rsid w:val="002413FA"/>
    <w:rsid w:val="00243BCC"/>
    <w:rsid w:val="002440B9"/>
    <w:rsid w:val="0024479E"/>
    <w:rsid w:val="00244F96"/>
    <w:rsid w:val="00245C97"/>
    <w:rsid w:val="002460D8"/>
    <w:rsid w:val="002461B2"/>
    <w:rsid w:val="00247072"/>
    <w:rsid w:val="002472AE"/>
    <w:rsid w:val="002475AE"/>
    <w:rsid w:val="00247ACA"/>
    <w:rsid w:val="0025108D"/>
    <w:rsid w:val="0025147D"/>
    <w:rsid w:val="002515E0"/>
    <w:rsid w:val="0025259C"/>
    <w:rsid w:val="002538F7"/>
    <w:rsid w:val="002556CB"/>
    <w:rsid w:val="00255A35"/>
    <w:rsid w:val="00257D40"/>
    <w:rsid w:val="00261AC4"/>
    <w:rsid w:val="00261BDF"/>
    <w:rsid w:val="00261CDE"/>
    <w:rsid w:val="00263536"/>
    <w:rsid w:val="00263FC3"/>
    <w:rsid w:val="00265337"/>
    <w:rsid w:val="00265550"/>
    <w:rsid w:val="0026607E"/>
    <w:rsid w:val="002662F2"/>
    <w:rsid w:val="0026658B"/>
    <w:rsid w:val="002675AB"/>
    <w:rsid w:val="0027048A"/>
    <w:rsid w:val="00270508"/>
    <w:rsid w:val="00270BE2"/>
    <w:rsid w:val="00270BF7"/>
    <w:rsid w:val="00270D36"/>
    <w:rsid w:val="002713BC"/>
    <w:rsid w:val="002728D6"/>
    <w:rsid w:val="00273CB3"/>
    <w:rsid w:val="00274806"/>
    <w:rsid w:val="002750F0"/>
    <w:rsid w:val="00276234"/>
    <w:rsid w:val="00276DF8"/>
    <w:rsid w:val="00277252"/>
    <w:rsid w:val="002800CE"/>
    <w:rsid w:val="00280D4D"/>
    <w:rsid w:val="0028107B"/>
    <w:rsid w:val="00281431"/>
    <w:rsid w:val="00281820"/>
    <w:rsid w:val="00282A75"/>
    <w:rsid w:val="00282AC0"/>
    <w:rsid w:val="002841EE"/>
    <w:rsid w:val="00284F8A"/>
    <w:rsid w:val="00285653"/>
    <w:rsid w:val="00287D38"/>
    <w:rsid w:val="00290046"/>
    <w:rsid w:val="002908A3"/>
    <w:rsid w:val="00291337"/>
    <w:rsid w:val="00292D0C"/>
    <w:rsid w:val="002936A4"/>
    <w:rsid w:val="00293B05"/>
    <w:rsid w:val="00293D42"/>
    <w:rsid w:val="0029419E"/>
    <w:rsid w:val="00294807"/>
    <w:rsid w:val="002950E4"/>
    <w:rsid w:val="002952D8"/>
    <w:rsid w:val="002957C8"/>
    <w:rsid w:val="002958D9"/>
    <w:rsid w:val="00295DED"/>
    <w:rsid w:val="00296A7C"/>
    <w:rsid w:val="002972E7"/>
    <w:rsid w:val="00297340"/>
    <w:rsid w:val="002974CF"/>
    <w:rsid w:val="00297CA8"/>
    <w:rsid w:val="002A0D50"/>
    <w:rsid w:val="002A1B4F"/>
    <w:rsid w:val="002A36AE"/>
    <w:rsid w:val="002A3A44"/>
    <w:rsid w:val="002A3EBC"/>
    <w:rsid w:val="002A459E"/>
    <w:rsid w:val="002A56D2"/>
    <w:rsid w:val="002A5C61"/>
    <w:rsid w:val="002A5D8E"/>
    <w:rsid w:val="002A6674"/>
    <w:rsid w:val="002A6926"/>
    <w:rsid w:val="002A6958"/>
    <w:rsid w:val="002A76B3"/>
    <w:rsid w:val="002A7782"/>
    <w:rsid w:val="002A79C7"/>
    <w:rsid w:val="002A7DE9"/>
    <w:rsid w:val="002B02A3"/>
    <w:rsid w:val="002B14BD"/>
    <w:rsid w:val="002B2956"/>
    <w:rsid w:val="002B3379"/>
    <w:rsid w:val="002B3A0F"/>
    <w:rsid w:val="002B4A21"/>
    <w:rsid w:val="002B4AFD"/>
    <w:rsid w:val="002B4F79"/>
    <w:rsid w:val="002B520C"/>
    <w:rsid w:val="002B78CE"/>
    <w:rsid w:val="002B7E4D"/>
    <w:rsid w:val="002C0A2A"/>
    <w:rsid w:val="002C1A47"/>
    <w:rsid w:val="002C2970"/>
    <w:rsid w:val="002C2D5F"/>
    <w:rsid w:val="002C3072"/>
    <w:rsid w:val="002C3A22"/>
    <w:rsid w:val="002C5BAF"/>
    <w:rsid w:val="002C649B"/>
    <w:rsid w:val="002C64AC"/>
    <w:rsid w:val="002C6AF1"/>
    <w:rsid w:val="002C6DFD"/>
    <w:rsid w:val="002C7782"/>
    <w:rsid w:val="002C7DB4"/>
    <w:rsid w:val="002D020A"/>
    <w:rsid w:val="002D070D"/>
    <w:rsid w:val="002D1018"/>
    <w:rsid w:val="002D14FA"/>
    <w:rsid w:val="002D2EEB"/>
    <w:rsid w:val="002D3D73"/>
    <w:rsid w:val="002D4268"/>
    <w:rsid w:val="002D46F4"/>
    <w:rsid w:val="002D57E7"/>
    <w:rsid w:val="002D639F"/>
    <w:rsid w:val="002D6544"/>
    <w:rsid w:val="002D6686"/>
    <w:rsid w:val="002D67AC"/>
    <w:rsid w:val="002D7D63"/>
    <w:rsid w:val="002E183B"/>
    <w:rsid w:val="002E1BB4"/>
    <w:rsid w:val="002E212A"/>
    <w:rsid w:val="002E23BD"/>
    <w:rsid w:val="002E2C80"/>
    <w:rsid w:val="002E3231"/>
    <w:rsid w:val="002E45CD"/>
    <w:rsid w:val="002E47A3"/>
    <w:rsid w:val="002E4BD4"/>
    <w:rsid w:val="002E7D22"/>
    <w:rsid w:val="002E7ECE"/>
    <w:rsid w:val="002F059B"/>
    <w:rsid w:val="002F0E2C"/>
    <w:rsid w:val="002F196C"/>
    <w:rsid w:val="002F20C6"/>
    <w:rsid w:val="002F3205"/>
    <w:rsid w:val="002F3EB0"/>
    <w:rsid w:val="002F3F40"/>
    <w:rsid w:val="002F40B2"/>
    <w:rsid w:val="002F4251"/>
    <w:rsid w:val="002F4986"/>
    <w:rsid w:val="002F4ED8"/>
    <w:rsid w:val="002F50DC"/>
    <w:rsid w:val="002F58DA"/>
    <w:rsid w:val="002F5B02"/>
    <w:rsid w:val="002F6813"/>
    <w:rsid w:val="002F6F88"/>
    <w:rsid w:val="002F76E7"/>
    <w:rsid w:val="003001CD"/>
    <w:rsid w:val="0030070E"/>
    <w:rsid w:val="00300D86"/>
    <w:rsid w:val="00301D07"/>
    <w:rsid w:val="00302392"/>
    <w:rsid w:val="0030353E"/>
    <w:rsid w:val="00304594"/>
    <w:rsid w:val="0030494B"/>
    <w:rsid w:val="00304DB0"/>
    <w:rsid w:val="00305060"/>
    <w:rsid w:val="003053E0"/>
    <w:rsid w:val="0030546C"/>
    <w:rsid w:val="00307CA5"/>
    <w:rsid w:val="00311A59"/>
    <w:rsid w:val="003120DF"/>
    <w:rsid w:val="00312833"/>
    <w:rsid w:val="0031374B"/>
    <w:rsid w:val="003144EF"/>
    <w:rsid w:val="00315962"/>
    <w:rsid w:val="003162EC"/>
    <w:rsid w:val="00316697"/>
    <w:rsid w:val="003171EB"/>
    <w:rsid w:val="003174CC"/>
    <w:rsid w:val="00317521"/>
    <w:rsid w:val="003177A6"/>
    <w:rsid w:val="00321574"/>
    <w:rsid w:val="00321C63"/>
    <w:rsid w:val="00321EA1"/>
    <w:rsid w:val="003231C4"/>
    <w:rsid w:val="00323E90"/>
    <w:rsid w:val="00324270"/>
    <w:rsid w:val="00324AC6"/>
    <w:rsid w:val="00325A60"/>
    <w:rsid w:val="003268C1"/>
    <w:rsid w:val="00326B0E"/>
    <w:rsid w:val="003275F6"/>
    <w:rsid w:val="00327C98"/>
    <w:rsid w:val="0033102F"/>
    <w:rsid w:val="00331663"/>
    <w:rsid w:val="00331DE9"/>
    <w:rsid w:val="00331EC0"/>
    <w:rsid w:val="003321A0"/>
    <w:rsid w:val="00332FE2"/>
    <w:rsid w:val="003344FC"/>
    <w:rsid w:val="00334A84"/>
    <w:rsid w:val="00336559"/>
    <w:rsid w:val="00336EAE"/>
    <w:rsid w:val="00336F9B"/>
    <w:rsid w:val="0033746B"/>
    <w:rsid w:val="003377D8"/>
    <w:rsid w:val="0034100B"/>
    <w:rsid w:val="00341136"/>
    <w:rsid w:val="00341A1E"/>
    <w:rsid w:val="003420E4"/>
    <w:rsid w:val="00342296"/>
    <w:rsid w:val="003431E8"/>
    <w:rsid w:val="00343849"/>
    <w:rsid w:val="00343FB2"/>
    <w:rsid w:val="0034472C"/>
    <w:rsid w:val="00346099"/>
    <w:rsid w:val="00347264"/>
    <w:rsid w:val="003501D4"/>
    <w:rsid w:val="0035066F"/>
    <w:rsid w:val="00351987"/>
    <w:rsid w:val="00351E55"/>
    <w:rsid w:val="0035254B"/>
    <w:rsid w:val="00352BC2"/>
    <w:rsid w:val="00352D83"/>
    <w:rsid w:val="0035345C"/>
    <w:rsid w:val="00353726"/>
    <w:rsid w:val="003548F7"/>
    <w:rsid w:val="00354D76"/>
    <w:rsid w:val="0035519A"/>
    <w:rsid w:val="00355354"/>
    <w:rsid w:val="003553B2"/>
    <w:rsid w:val="00355442"/>
    <w:rsid w:val="0035614B"/>
    <w:rsid w:val="0035625D"/>
    <w:rsid w:val="0036051C"/>
    <w:rsid w:val="00360E4E"/>
    <w:rsid w:val="00361C66"/>
    <w:rsid w:val="003622FE"/>
    <w:rsid w:val="0036304C"/>
    <w:rsid w:val="00363411"/>
    <w:rsid w:val="00363430"/>
    <w:rsid w:val="003636E1"/>
    <w:rsid w:val="003637DF"/>
    <w:rsid w:val="00363CE2"/>
    <w:rsid w:val="00363D15"/>
    <w:rsid w:val="00366154"/>
    <w:rsid w:val="00366177"/>
    <w:rsid w:val="00367779"/>
    <w:rsid w:val="00367ECE"/>
    <w:rsid w:val="0037027E"/>
    <w:rsid w:val="00370A99"/>
    <w:rsid w:val="00370BC3"/>
    <w:rsid w:val="00370F88"/>
    <w:rsid w:val="003725A7"/>
    <w:rsid w:val="00372AFA"/>
    <w:rsid w:val="00373FD2"/>
    <w:rsid w:val="00375C2B"/>
    <w:rsid w:val="00375EC4"/>
    <w:rsid w:val="00376242"/>
    <w:rsid w:val="00376541"/>
    <w:rsid w:val="00380695"/>
    <w:rsid w:val="003806FE"/>
    <w:rsid w:val="00380859"/>
    <w:rsid w:val="00380C70"/>
    <w:rsid w:val="0038153E"/>
    <w:rsid w:val="00381704"/>
    <w:rsid w:val="00381B2A"/>
    <w:rsid w:val="00382239"/>
    <w:rsid w:val="003830A6"/>
    <w:rsid w:val="003834B4"/>
    <w:rsid w:val="00383A91"/>
    <w:rsid w:val="00383D6D"/>
    <w:rsid w:val="00383E74"/>
    <w:rsid w:val="00384D20"/>
    <w:rsid w:val="003855DE"/>
    <w:rsid w:val="00385717"/>
    <w:rsid w:val="0038572A"/>
    <w:rsid w:val="00385D96"/>
    <w:rsid w:val="00385FA1"/>
    <w:rsid w:val="0038684F"/>
    <w:rsid w:val="00387B32"/>
    <w:rsid w:val="00387DBD"/>
    <w:rsid w:val="0039067B"/>
    <w:rsid w:val="00390A09"/>
    <w:rsid w:val="00390EDE"/>
    <w:rsid w:val="003912AE"/>
    <w:rsid w:val="003912B1"/>
    <w:rsid w:val="00391362"/>
    <w:rsid w:val="00391A8D"/>
    <w:rsid w:val="003923F6"/>
    <w:rsid w:val="003927E4"/>
    <w:rsid w:val="00393EB3"/>
    <w:rsid w:val="00393F60"/>
    <w:rsid w:val="003947A2"/>
    <w:rsid w:val="00394890"/>
    <w:rsid w:val="00394B5B"/>
    <w:rsid w:val="0039515D"/>
    <w:rsid w:val="00395990"/>
    <w:rsid w:val="00395E54"/>
    <w:rsid w:val="00396480"/>
    <w:rsid w:val="003967BB"/>
    <w:rsid w:val="00396BC5"/>
    <w:rsid w:val="0039745F"/>
    <w:rsid w:val="00397D07"/>
    <w:rsid w:val="003A0A71"/>
    <w:rsid w:val="003A0CEB"/>
    <w:rsid w:val="003A1E4A"/>
    <w:rsid w:val="003A1EAC"/>
    <w:rsid w:val="003A1F63"/>
    <w:rsid w:val="003A224F"/>
    <w:rsid w:val="003A2267"/>
    <w:rsid w:val="003A32AC"/>
    <w:rsid w:val="003A4960"/>
    <w:rsid w:val="003A4C22"/>
    <w:rsid w:val="003A5910"/>
    <w:rsid w:val="003A5DD8"/>
    <w:rsid w:val="003A6148"/>
    <w:rsid w:val="003A7EE2"/>
    <w:rsid w:val="003B0086"/>
    <w:rsid w:val="003B1559"/>
    <w:rsid w:val="003B1A44"/>
    <w:rsid w:val="003B4058"/>
    <w:rsid w:val="003B40CD"/>
    <w:rsid w:val="003B4227"/>
    <w:rsid w:val="003B54BE"/>
    <w:rsid w:val="003B5FA6"/>
    <w:rsid w:val="003B658E"/>
    <w:rsid w:val="003B6816"/>
    <w:rsid w:val="003B6D5F"/>
    <w:rsid w:val="003B722F"/>
    <w:rsid w:val="003B7A61"/>
    <w:rsid w:val="003B7BDB"/>
    <w:rsid w:val="003C14FD"/>
    <w:rsid w:val="003C1DEF"/>
    <w:rsid w:val="003C35BD"/>
    <w:rsid w:val="003C394C"/>
    <w:rsid w:val="003C3C20"/>
    <w:rsid w:val="003C58B4"/>
    <w:rsid w:val="003C5A91"/>
    <w:rsid w:val="003C6377"/>
    <w:rsid w:val="003C6587"/>
    <w:rsid w:val="003C65FF"/>
    <w:rsid w:val="003C6866"/>
    <w:rsid w:val="003C70B8"/>
    <w:rsid w:val="003D0A52"/>
    <w:rsid w:val="003D1B86"/>
    <w:rsid w:val="003D1FF7"/>
    <w:rsid w:val="003D2B2E"/>
    <w:rsid w:val="003D2E0E"/>
    <w:rsid w:val="003D3377"/>
    <w:rsid w:val="003D3AE8"/>
    <w:rsid w:val="003D4490"/>
    <w:rsid w:val="003D4C49"/>
    <w:rsid w:val="003D6031"/>
    <w:rsid w:val="003D6337"/>
    <w:rsid w:val="003D75BF"/>
    <w:rsid w:val="003D75CF"/>
    <w:rsid w:val="003E02A7"/>
    <w:rsid w:val="003E0D13"/>
    <w:rsid w:val="003E134E"/>
    <w:rsid w:val="003E1734"/>
    <w:rsid w:val="003E19E9"/>
    <w:rsid w:val="003E2309"/>
    <w:rsid w:val="003E335C"/>
    <w:rsid w:val="003E58A7"/>
    <w:rsid w:val="003E62C7"/>
    <w:rsid w:val="003E691F"/>
    <w:rsid w:val="003E6CAB"/>
    <w:rsid w:val="003F03BC"/>
    <w:rsid w:val="003F05B2"/>
    <w:rsid w:val="003F10C2"/>
    <w:rsid w:val="003F1553"/>
    <w:rsid w:val="003F2C0E"/>
    <w:rsid w:val="003F3250"/>
    <w:rsid w:val="003F3710"/>
    <w:rsid w:val="003F44CE"/>
    <w:rsid w:val="003F4C8D"/>
    <w:rsid w:val="003F4E9C"/>
    <w:rsid w:val="003F7E13"/>
    <w:rsid w:val="00400247"/>
    <w:rsid w:val="004006EF"/>
    <w:rsid w:val="00400858"/>
    <w:rsid w:val="00400C82"/>
    <w:rsid w:val="00401842"/>
    <w:rsid w:val="00401A04"/>
    <w:rsid w:val="00403DA5"/>
    <w:rsid w:val="00405777"/>
    <w:rsid w:val="0040579C"/>
    <w:rsid w:val="00405BFD"/>
    <w:rsid w:val="00406375"/>
    <w:rsid w:val="004063A4"/>
    <w:rsid w:val="00406F50"/>
    <w:rsid w:val="00406FFB"/>
    <w:rsid w:val="004071BD"/>
    <w:rsid w:val="00407E86"/>
    <w:rsid w:val="00411D6E"/>
    <w:rsid w:val="0041271F"/>
    <w:rsid w:val="004128F6"/>
    <w:rsid w:val="00413D5C"/>
    <w:rsid w:val="00413FF0"/>
    <w:rsid w:val="00414C96"/>
    <w:rsid w:val="004157D7"/>
    <w:rsid w:val="004162AC"/>
    <w:rsid w:val="00416805"/>
    <w:rsid w:val="00416B42"/>
    <w:rsid w:val="00416F5C"/>
    <w:rsid w:val="0041716E"/>
    <w:rsid w:val="00417EDC"/>
    <w:rsid w:val="00420737"/>
    <w:rsid w:val="00420E59"/>
    <w:rsid w:val="00420EE9"/>
    <w:rsid w:val="00421075"/>
    <w:rsid w:val="004225E3"/>
    <w:rsid w:val="004233E0"/>
    <w:rsid w:val="00423E3E"/>
    <w:rsid w:val="004246BD"/>
    <w:rsid w:val="00425204"/>
    <w:rsid w:val="0042584F"/>
    <w:rsid w:val="004266C3"/>
    <w:rsid w:val="00426B09"/>
    <w:rsid w:val="00430E9B"/>
    <w:rsid w:val="00431004"/>
    <w:rsid w:val="00431052"/>
    <w:rsid w:val="00431A1D"/>
    <w:rsid w:val="004323E2"/>
    <w:rsid w:val="004338F5"/>
    <w:rsid w:val="00434081"/>
    <w:rsid w:val="0043414D"/>
    <w:rsid w:val="00434906"/>
    <w:rsid w:val="00434D96"/>
    <w:rsid w:val="004359B4"/>
    <w:rsid w:val="00435B02"/>
    <w:rsid w:val="004361CA"/>
    <w:rsid w:val="004362C3"/>
    <w:rsid w:val="00437B57"/>
    <w:rsid w:val="004423F0"/>
    <w:rsid w:val="004425BC"/>
    <w:rsid w:val="004430C0"/>
    <w:rsid w:val="004435B3"/>
    <w:rsid w:val="004435E9"/>
    <w:rsid w:val="00444197"/>
    <w:rsid w:val="00444E0F"/>
    <w:rsid w:val="0044515F"/>
    <w:rsid w:val="00445A25"/>
    <w:rsid w:val="00446D07"/>
    <w:rsid w:val="004477C8"/>
    <w:rsid w:val="00447DF5"/>
    <w:rsid w:val="00452812"/>
    <w:rsid w:val="00452854"/>
    <w:rsid w:val="0045309B"/>
    <w:rsid w:val="0045357A"/>
    <w:rsid w:val="00453C40"/>
    <w:rsid w:val="00453E92"/>
    <w:rsid w:val="0045482F"/>
    <w:rsid w:val="00454CC9"/>
    <w:rsid w:val="004557E3"/>
    <w:rsid w:val="0045624F"/>
    <w:rsid w:val="00456C7B"/>
    <w:rsid w:val="00462238"/>
    <w:rsid w:val="00462F8E"/>
    <w:rsid w:val="00464513"/>
    <w:rsid w:val="00465329"/>
    <w:rsid w:val="0046616F"/>
    <w:rsid w:val="0046650C"/>
    <w:rsid w:val="00467587"/>
    <w:rsid w:val="00470ECE"/>
    <w:rsid w:val="00471851"/>
    <w:rsid w:val="00471B23"/>
    <w:rsid w:val="00472074"/>
    <w:rsid w:val="0047271C"/>
    <w:rsid w:val="004727E8"/>
    <w:rsid w:val="00472913"/>
    <w:rsid w:val="004765FF"/>
    <w:rsid w:val="004768A3"/>
    <w:rsid w:val="0047762B"/>
    <w:rsid w:val="00477B43"/>
    <w:rsid w:val="00477BC4"/>
    <w:rsid w:val="00480F00"/>
    <w:rsid w:val="0048135A"/>
    <w:rsid w:val="00481C1E"/>
    <w:rsid w:val="00481E0A"/>
    <w:rsid w:val="00481E81"/>
    <w:rsid w:val="00481FA1"/>
    <w:rsid w:val="0048282D"/>
    <w:rsid w:val="00482CBE"/>
    <w:rsid w:val="004841BD"/>
    <w:rsid w:val="00484FCB"/>
    <w:rsid w:val="0048640D"/>
    <w:rsid w:val="0048656B"/>
    <w:rsid w:val="00487533"/>
    <w:rsid w:val="0048790C"/>
    <w:rsid w:val="00487D43"/>
    <w:rsid w:val="0049016E"/>
    <w:rsid w:val="00491967"/>
    <w:rsid w:val="00492AF6"/>
    <w:rsid w:val="004939E1"/>
    <w:rsid w:val="004947D0"/>
    <w:rsid w:val="00494F44"/>
    <w:rsid w:val="0049504E"/>
    <w:rsid w:val="00495999"/>
    <w:rsid w:val="00495A64"/>
    <w:rsid w:val="004967CE"/>
    <w:rsid w:val="00496B11"/>
    <w:rsid w:val="004970B7"/>
    <w:rsid w:val="00497E46"/>
    <w:rsid w:val="004A037E"/>
    <w:rsid w:val="004A21F1"/>
    <w:rsid w:val="004A24C3"/>
    <w:rsid w:val="004A292F"/>
    <w:rsid w:val="004A2BF6"/>
    <w:rsid w:val="004A3315"/>
    <w:rsid w:val="004A3367"/>
    <w:rsid w:val="004A361A"/>
    <w:rsid w:val="004A3BCB"/>
    <w:rsid w:val="004A5627"/>
    <w:rsid w:val="004A5857"/>
    <w:rsid w:val="004A5AED"/>
    <w:rsid w:val="004B088A"/>
    <w:rsid w:val="004B1039"/>
    <w:rsid w:val="004B2010"/>
    <w:rsid w:val="004B24BB"/>
    <w:rsid w:val="004B279A"/>
    <w:rsid w:val="004B281D"/>
    <w:rsid w:val="004B2C0C"/>
    <w:rsid w:val="004B383E"/>
    <w:rsid w:val="004B4040"/>
    <w:rsid w:val="004B46B3"/>
    <w:rsid w:val="004B4C05"/>
    <w:rsid w:val="004B59CA"/>
    <w:rsid w:val="004B5DC1"/>
    <w:rsid w:val="004B66CC"/>
    <w:rsid w:val="004B7131"/>
    <w:rsid w:val="004B7407"/>
    <w:rsid w:val="004B7A79"/>
    <w:rsid w:val="004C082F"/>
    <w:rsid w:val="004C0F0A"/>
    <w:rsid w:val="004C2381"/>
    <w:rsid w:val="004C2647"/>
    <w:rsid w:val="004C27B3"/>
    <w:rsid w:val="004C33C9"/>
    <w:rsid w:val="004C4220"/>
    <w:rsid w:val="004C5535"/>
    <w:rsid w:val="004C583A"/>
    <w:rsid w:val="004C768C"/>
    <w:rsid w:val="004C7D5D"/>
    <w:rsid w:val="004D058A"/>
    <w:rsid w:val="004D0A32"/>
    <w:rsid w:val="004D0AD8"/>
    <w:rsid w:val="004D173D"/>
    <w:rsid w:val="004D1869"/>
    <w:rsid w:val="004D25BE"/>
    <w:rsid w:val="004D3136"/>
    <w:rsid w:val="004D3B26"/>
    <w:rsid w:val="004D4EFF"/>
    <w:rsid w:val="004D4FA5"/>
    <w:rsid w:val="004D56E8"/>
    <w:rsid w:val="004D63FE"/>
    <w:rsid w:val="004D6D90"/>
    <w:rsid w:val="004D7122"/>
    <w:rsid w:val="004E1C5C"/>
    <w:rsid w:val="004E25EA"/>
    <w:rsid w:val="004E2DC3"/>
    <w:rsid w:val="004E4FF3"/>
    <w:rsid w:val="004E5DA1"/>
    <w:rsid w:val="004E6B70"/>
    <w:rsid w:val="004E6CE4"/>
    <w:rsid w:val="004E7A9C"/>
    <w:rsid w:val="004F0B8B"/>
    <w:rsid w:val="004F0BF3"/>
    <w:rsid w:val="004F18DB"/>
    <w:rsid w:val="004F1B2C"/>
    <w:rsid w:val="004F1D54"/>
    <w:rsid w:val="004F215E"/>
    <w:rsid w:val="004F26F2"/>
    <w:rsid w:val="004F2FA9"/>
    <w:rsid w:val="004F3690"/>
    <w:rsid w:val="004F390B"/>
    <w:rsid w:val="004F3C23"/>
    <w:rsid w:val="004F3D67"/>
    <w:rsid w:val="004F3E70"/>
    <w:rsid w:val="004F51C6"/>
    <w:rsid w:val="004F5714"/>
    <w:rsid w:val="004F5B92"/>
    <w:rsid w:val="004F67FE"/>
    <w:rsid w:val="004F7810"/>
    <w:rsid w:val="004F7DC8"/>
    <w:rsid w:val="0050065F"/>
    <w:rsid w:val="005007E8"/>
    <w:rsid w:val="00502327"/>
    <w:rsid w:val="00502ADD"/>
    <w:rsid w:val="00502DD5"/>
    <w:rsid w:val="0050310D"/>
    <w:rsid w:val="00503494"/>
    <w:rsid w:val="005049AF"/>
    <w:rsid w:val="00504CC4"/>
    <w:rsid w:val="00505AFC"/>
    <w:rsid w:val="00506484"/>
    <w:rsid w:val="0050705C"/>
    <w:rsid w:val="00507B29"/>
    <w:rsid w:val="00507CAA"/>
    <w:rsid w:val="00510365"/>
    <w:rsid w:val="00510E67"/>
    <w:rsid w:val="005110F6"/>
    <w:rsid w:val="005112EC"/>
    <w:rsid w:val="00511760"/>
    <w:rsid w:val="00511C8F"/>
    <w:rsid w:val="00512D31"/>
    <w:rsid w:val="00513727"/>
    <w:rsid w:val="00513D20"/>
    <w:rsid w:val="00514A01"/>
    <w:rsid w:val="00515D7C"/>
    <w:rsid w:val="00515FA5"/>
    <w:rsid w:val="00516020"/>
    <w:rsid w:val="00516073"/>
    <w:rsid w:val="0051642A"/>
    <w:rsid w:val="005168C2"/>
    <w:rsid w:val="00517D7C"/>
    <w:rsid w:val="005205F6"/>
    <w:rsid w:val="00520A1A"/>
    <w:rsid w:val="00520DE2"/>
    <w:rsid w:val="00520EE4"/>
    <w:rsid w:val="005214D0"/>
    <w:rsid w:val="0052151A"/>
    <w:rsid w:val="00521D81"/>
    <w:rsid w:val="00523D72"/>
    <w:rsid w:val="0052482B"/>
    <w:rsid w:val="00524930"/>
    <w:rsid w:val="00525585"/>
    <w:rsid w:val="00525CBD"/>
    <w:rsid w:val="00526538"/>
    <w:rsid w:val="005267AD"/>
    <w:rsid w:val="005271EB"/>
    <w:rsid w:val="005272E1"/>
    <w:rsid w:val="005279E8"/>
    <w:rsid w:val="00527BBA"/>
    <w:rsid w:val="00527FBE"/>
    <w:rsid w:val="00530CC2"/>
    <w:rsid w:val="00530F34"/>
    <w:rsid w:val="0053133C"/>
    <w:rsid w:val="00531995"/>
    <w:rsid w:val="00532BB1"/>
    <w:rsid w:val="005342B9"/>
    <w:rsid w:val="005352E3"/>
    <w:rsid w:val="00536116"/>
    <w:rsid w:val="0053620A"/>
    <w:rsid w:val="00536590"/>
    <w:rsid w:val="00536C1F"/>
    <w:rsid w:val="0053706B"/>
    <w:rsid w:val="0053732D"/>
    <w:rsid w:val="0054127C"/>
    <w:rsid w:val="005413A2"/>
    <w:rsid w:val="005419B8"/>
    <w:rsid w:val="005427A9"/>
    <w:rsid w:val="00543C80"/>
    <w:rsid w:val="00544B86"/>
    <w:rsid w:val="005454B8"/>
    <w:rsid w:val="00546757"/>
    <w:rsid w:val="00546D98"/>
    <w:rsid w:val="005475D0"/>
    <w:rsid w:val="00547901"/>
    <w:rsid w:val="0055049F"/>
    <w:rsid w:val="005518DB"/>
    <w:rsid w:val="005522EE"/>
    <w:rsid w:val="00552C4B"/>
    <w:rsid w:val="00554558"/>
    <w:rsid w:val="00554822"/>
    <w:rsid w:val="005549EB"/>
    <w:rsid w:val="00555312"/>
    <w:rsid w:val="005554B6"/>
    <w:rsid w:val="00556797"/>
    <w:rsid w:val="00556F1B"/>
    <w:rsid w:val="00560948"/>
    <w:rsid w:val="0056119E"/>
    <w:rsid w:val="005612EC"/>
    <w:rsid w:val="005639DE"/>
    <w:rsid w:val="00564619"/>
    <w:rsid w:val="0056553F"/>
    <w:rsid w:val="00565CB0"/>
    <w:rsid w:val="005660BC"/>
    <w:rsid w:val="005661C6"/>
    <w:rsid w:val="0056667D"/>
    <w:rsid w:val="005670EA"/>
    <w:rsid w:val="00567513"/>
    <w:rsid w:val="00567794"/>
    <w:rsid w:val="005709B5"/>
    <w:rsid w:val="00570E27"/>
    <w:rsid w:val="00571163"/>
    <w:rsid w:val="00572C17"/>
    <w:rsid w:val="0057308D"/>
    <w:rsid w:val="005734B4"/>
    <w:rsid w:val="00574153"/>
    <w:rsid w:val="0057442D"/>
    <w:rsid w:val="00574DA1"/>
    <w:rsid w:val="00575389"/>
    <w:rsid w:val="00575E55"/>
    <w:rsid w:val="0057759E"/>
    <w:rsid w:val="00580DE2"/>
    <w:rsid w:val="00581146"/>
    <w:rsid w:val="00581596"/>
    <w:rsid w:val="00581995"/>
    <w:rsid w:val="00581F79"/>
    <w:rsid w:val="00582450"/>
    <w:rsid w:val="00582BD8"/>
    <w:rsid w:val="00583B58"/>
    <w:rsid w:val="00583E9B"/>
    <w:rsid w:val="00583F62"/>
    <w:rsid w:val="0058416A"/>
    <w:rsid w:val="005843ED"/>
    <w:rsid w:val="00584513"/>
    <w:rsid w:val="00584F9B"/>
    <w:rsid w:val="0058501A"/>
    <w:rsid w:val="00585C01"/>
    <w:rsid w:val="00585E4F"/>
    <w:rsid w:val="00585EA6"/>
    <w:rsid w:val="00585F10"/>
    <w:rsid w:val="005869E4"/>
    <w:rsid w:val="00591B62"/>
    <w:rsid w:val="005934A8"/>
    <w:rsid w:val="00593D09"/>
    <w:rsid w:val="00594842"/>
    <w:rsid w:val="00595A86"/>
    <w:rsid w:val="0059664D"/>
    <w:rsid w:val="00596A7C"/>
    <w:rsid w:val="00596E7B"/>
    <w:rsid w:val="00597121"/>
    <w:rsid w:val="00597B9F"/>
    <w:rsid w:val="005A1E4C"/>
    <w:rsid w:val="005A2735"/>
    <w:rsid w:val="005A4361"/>
    <w:rsid w:val="005A46CD"/>
    <w:rsid w:val="005A4719"/>
    <w:rsid w:val="005A47AF"/>
    <w:rsid w:val="005A5790"/>
    <w:rsid w:val="005A6A4A"/>
    <w:rsid w:val="005A6AD9"/>
    <w:rsid w:val="005A7BBC"/>
    <w:rsid w:val="005A7D6B"/>
    <w:rsid w:val="005B081A"/>
    <w:rsid w:val="005B1205"/>
    <w:rsid w:val="005B1375"/>
    <w:rsid w:val="005B1A20"/>
    <w:rsid w:val="005B1F22"/>
    <w:rsid w:val="005B438A"/>
    <w:rsid w:val="005B4427"/>
    <w:rsid w:val="005B583C"/>
    <w:rsid w:val="005B66A0"/>
    <w:rsid w:val="005B6D78"/>
    <w:rsid w:val="005B75C2"/>
    <w:rsid w:val="005C0185"/>
    <w:rsid w:val="005C07F4"/>
    <w:rsid w:val="005C08AD"/>
    <w:rsid w:val="005C0EA9"/>
    <w:rsid w:val="005C110F"/>
    <w:rsid w:val="005C11D7"/>
    <w:rsid w:val="005C14D3"/>
    <w:rsid w:val="005C15A0"/>
    <w:rsid w:val="005C17A1"/>
    <w:rsid w:val="005C20D9"/>
    <w:rsid w:val="005C3DB3"/>
    <w:rsid w:val="005C4408"/>
    <w:rsid w:val="005C5173"/>
    <w:rsid w:val="005C5592"/>
    <w:rsid w:val="005C5D02"/>
    <w:rsid w:val="005C5E93"/>
    <w:rsid w:val="005C61FC"/>
    <w:rsid w:val="005D010C"/>
    <w:rsid w:val="005D0B2F"/>
    <w:rsid w:val="005D1244"/>
    <w:rsid w:val="005D1D8F"/>
    <w:rsid w:val="005D3366"/>
    <w:rsid w:val="005D4131"/>
    <w:rsid w:val="005D4494"/>
    <w:rsid w:val="005D49FB"/>
    <w:rsid w:val="005D4F12"/>
    <w:rsid w:val="005D50AA"/>
    <w:rsid w:val="005D5757"/>
    <w:rsid w:val="005D5E7E"/>
    <w:rsid w:val="005E02CE"/>
    <w:rsid w:val="005E0886"/>
    <w:rsid w:val="005E08E6"/>
    <w:rsid w:val="005E0F40"/>
    <w:rsid w:val="005E168D"/>
    <w:rsid w:val="005E2670"/>
    <w:rsid w:val="005E2A14"/>
    <w:rsid w:val="005E376F"/>
    <w:rsid w:val="005E3B25"/>
    <w:rsid w:val="005E4CD0"/>
    <w:rsid w:val="005E4DE3"/>
    <w:rsid w:val="005E71AA"/>
    <w:rsid w:val="005F0BBA"/>
    <w:rsid w:val="005F1464"/>
    <w:rsid w:val="005F14F5"/>
    <w:rsid w:val="005F1755"/>
    <w:rsid w:val="005F17F7"/>
    <w:rsid w:val="005F1FBA"/>
    <w:rsid w:val="005F3ED9"/>
    <w:rsid w:val="005F4EAF"/>
    <w:rsid w:val="005F515D"/>
    <w:rsid w:val="005F6BBA"/>
    <w:rsid w:val="005F6E5E"/>
    <w:rsid w:val="00600EAF"/>
    <w:rsid w:val="00601EEF"/>
    <w:rsid w:val="00602C4A"/>
    <w:rsid w:val="00602D23"/>
    <w:rsid w:val="00603277"/>
    <w:rsid w:val="006033E1"/>
    <w:rsid w:val="00603916"/>
    <w:rsid w:val="00603A32"/>
    <w:rsid w:val="00603B94"/>
    <w:rsid w:val="00603BDE"/>
    <w:rsid w:val="00603C62"/>
    <w:rsid w:val="00604B86"/>
    <w:rsid w:val="00604C38"/>
    <w:rsid w:val="00604D66"/>
    <w:rsid w:val="00605011"/>
    <w:rsid w:val="006055C9"/>
    <w:rsid w:val="0060573C"/>
    <w:rsid w:val="0060605F"/>
    <w:rsid w:val="00606145"/>
    <w:rsid w:val="00606670"/>
    <w:rsid w:val="00606770"/>
    <w:rsid w:val="00606BD6"/>
    <w:rsid w:val="00606E59"/>
    <w:rsid w:val="006071CA"/>
    <w:rsid w:val="006106F9"/>
    <w:rsid w:val="00610ECB"/>
    <w:rsid w:val="00611F85"/>
    <w:rsid w:val="00613632"/>
    <w:rsid w:val="00613F23"/>
    <w:rsid w:val="00614079"/>
    <w:rsid w:val="00614313"/>
    <w:rsid w:val="006163E1"/>
    <w:rsid w:val="0061696C"/>
    <w:rsid w:val="00616EDA"/>
    <w:rsid w:val="006174B2"/>
    <w:rsid w:val="00620125"/>
    <w:rsid w:val="00621762"/>
    <w:rsid w:val="006218FD"/>
    <w:rsid w:val="00621FDD"/>
    <w:rsid w:val="006226EB"/>
    <w:rsid w:val="0062273D"/>
    <w:rsid w:val="00623239"/>
    <w:rsid w:val="006232FE"/>
    <w:rsid w:val="00623A33"/>
    <w:rsid w:val="00623BC5"/>
    <w:rsid w:val="00623CB2"/>
    <w:rsid w:val="00624142"/>
    <w:rsid w:val="00624767"/>
    <w:rsid w:val="00626F50"/>
    <w:rsid w:val="0062738C"/>
    <w:rsid w:val="00627739"/>
    <w:rsid w:val="00630038"/>
    <w:rsid w:val="00630198"/>
    <w:rsid w:val="00630DFE"/>
    <w:rsid w:val="0063206A"/>
    <w:rsid w:val="00632170"/>
    <w:rsid w:val="006323E8"/>
    <w:rsid w:val="006343D4"/>
    <w:rsid w:val="0063472D"/>
    <w:rsid w:val="00634929"/>
    <w:rsid w:val="006351B3"/>
    <w:rsid w:val="00635658"/>
    <w:rsid w:val="00636883"/>
    <w:rsid w:val="0063693E"/>
    <w:rsid w:val="00637EFD"/>
    <w:rsid w:val="0064010D"/>
    <w:rsid w:val="00640237"/>
    <w:rsid w:val="006406F7"/>
    <w:rsid w:val="00642764"/>
    <w:rsid w:val="00642F17"/>
    <w:rsid w:val="0064322B"/>
    <w:rsid w:val="00643899"/>
    <w:rsid w:val="00644DEC"/>
    <w:rsid w:val="006452BF"/>
    <w:rsid w:val="00645545"/>
    <w:rsid w:val="00647105"/>
    <w:rsid w:val="006472B6"/>
    <w:rsid w:val="00647AA7"/>
    <w:rsid w:val="00650B31"/>
    <w:rsid w:val="00650CB0"/>
    <w:rsid w:val="0065186A"/>
    <w:rsid w:val="00652D2D"/>
    <w:rsid w:val="006535BA"/>
    <w:rsid w:val="006541F5"/>
    <w:rsid w:val="006543A9"/>
    <w:rsid w:val="006552F4"/>
    <w:rsid w:val="00657667"/>
    <w:rsid w:val="0066172E"/>
    <w:rsid w:val="00661880"/>
    <w:rsid w:val="00661F72"/>
    <w:rsid w:val="00662000"/>
    <w:rsid w:val="00662067"/>
    <w:rsid w:val="006625EE"/>
    <w:rsid w:val="00663E86"/>
    <w:rsid w:val="00664619"/>
    <w:rsid w:val="00665426"/>
    <w:rsid w:val="00665709"/>
    <w:rsid w:val="00665B9A"/>
    <w:rsid w:val="00665F9F"/>
    <w:rsid w:val="0066600C"/>
    <w:rsid w:val="00667521"/>
    <w:rsid w:val="0067051E"/>
    <w:rsid w:val="00670F07"/>
    <w:rsid w:val="0067153C"/>
    <w:rsid w:val="00671804"/>
    <w:rsid w:val="0067196A"/>
    <w:rsid w:val="00671DBE"/>
    <w:rsid w:val="00671F75"/>
    <w:rsid w:val="00671FD4"/>
    <w:rsid w:val="006722CA"/>
    <w:rsid w:val="006722FC"/>
    <w:rsid w:val="0067292C"/>
    <w:rsid w:val="00672B4C"/>
    <w:rsid w:val="00673524"/>
    <w:rsid w:val="006737BF"/>
    <w:rsid w:val="006746A9"/>
    <w:rsid w:val="00674DA8"/>
    <w:rsid w:val="00674F01"/>
    <w:rsid w:val="00675EFF"/>
    <w:rsid w:val="006760EA"/>
    <w:rsid w:val="00676F44"/>
    <w:rsid w:val="006772CE"/>
    <w:rsid w:val="00677604"/>
    <w:rsid w:val="00677BCA"/>
    <w:rsid w:val="0068094F"/>
    <w:rsid w:val="0068159C"/>
    <w:rsid w:val="00681B50"/>
    <w:rsid w:val="006825B9"/>
    <w:rsid w:val="00683F86"/>
    <w:rsid w:val="00684287"/>
    <w:rsid w:val="00684B38"/>
    <w:rsid w:val="006855AF"/>
    <w:rsid w:val="0068659C"/>
    <w:rsid w:val="006868A9"/>
    <w:rsid w:val="0068728A"/>
    <w:rsid w:val="00687D3C"/>
    <w:rsid w:val="00690053"/>
    <w:rsid w:val="00690BEC"/>
    <w:rsid w:val="006914B3"/>
    <w:rsid w:val="006916F8"/>
    <w:rsid w:val="00692669"/>
    <w:rsid w:val="006927B0"/>
    <w:rsid w:val="00692BF5"/>
    <w:rsid w:val="00692D81"/>
    <w:rsid w:val="0069331E"/>
    <w:rsid w:val="00693687"/>
    <w:rsid w:val="006940AF"/>
    <w:rsid w:val="00694617"/>
    <w:rsid w:val="0069482B"/>
    <w:rsid w:val="00694ABB"/>
    <w:rsid w:val="00694B7D"/>
    <w:rsid w:val="00694E52"/>
    <w:rsid w:val="006950FC"/>
    <w:rsid w:val="0069585F"/>
    <w:rsid w:val="00695D22"/>
    <w:rsid w:val="00695E45"/>
    <w:rsid w:val="00696849"/>
    <w:rsid w:val="00696EE9"/>
    <w:rsid w:val="006A086A"/>
    <w:rsid w:val="006A0A57"/>
    <w:rsid w:val="006A0CFC"/>
    <w:rsid w:val="006A0DD0"/>
    <w:rsid w:val="006A21D0"/>
    <w:rsid w:val="006A3206"/>
    <w:rsid w:val="006A3CB1"/>
    <w:rsid w:val="006A43C3"/>
    <w:rsid w:val="006A51FE"/>
    <w:rsid w:val="006A5639"/>
    <w:rsid w:val="006A584F"/>
    <w:rsid w:val="006A7BCE"/>
    <w:rsid w:val="006A7F4E"/>
    <w:rsid w:val="006B0712"/>
    <w:rsid w:val="006B114C"/>
    <w:rsid w:val="006B1EA8"/>
    <w:rsid w:val="006B24E4"/>
    <w:rsid w:val="006B2E6A"/>
    <w:rsid w:val="006B3054"/>
    <w:rsid w:val="006B3119"/>
    <w:rsid w:val="006B3D7C"/>
    <w:rsid w:val="006B406B"/>
    <w:rsid w:val="006B412E"/>
    <w:rsid w:val="006B4943"/>
    <w:rsid w:val="006B75FA"/>
    <w:rsid w:val="006C0ABE"/>
    <w:rsid w:val="006C1475"/>
    <w:rsid w:val="006C1E2C"/>
    <w:rsid w:val="006C2F22"/>
    <w:rsid w:val="006C3C8D"/>
    <w:rsid w:val="006C468B"/>
    <w:rsid w:val="006C4B0C"/>
    <w:rsid w:val="006C4B8C"/>
    <w:rsid w:val="006C5308"/>
    <w:rsid w:val="006C5578"/>
    <w:rsid w:val="006C5F4A"/>
    <w:rsid w:val="006C62F8"/>
    <w:rsid w:val="006C6480"/>
    <w:rsid w:val="006C6A54"/>
    <w:rsid w:val="006C6CE2"/>
    <w:rsid w:val="006C7841"/>
    <w:rsid w:val="006C79CF"/>
    <w:rsid w:val="006C7A3D"/>
    <w:rsid w:val="006D1411"/>
    <w:rsid w:val="006D191A"/>
    <w:rsid w:val="006D1F23"/>
    <w:rsid w:val="006D53E9"/>
    <w:rsid w:val="006D5625"/>
    <w:rsid w:val="006D6594"/>
    <w:rsid w:val="006D791A"/>
    <w:rsid w:val="006D7A5D"/>
    <w:rsid w:val="006E0181"/>
    <w:rsid w:val="006E175E"/>
    <w:rsid w:val="006E1CDF"/>
    <w:rsid w:val="006E3F96"/>
    <w:rsid w:val="006E4DB8"/>
    <w:rsid w:val="006E53D7"/>
    <w:rsid w:val="006E5762"/>
    <w:rsid w:val="006E5C69"/>
    <w:rsid w:val="006E6FCB"/>
    <w:rsid w:val="006F04A5"/>
    <w:rsid w:val="006F0C4E"/>
    <w:rsid w:val="006F11FD"/>
    <w:rsid w:val="006F2BB3"/>
    <w:rsid w:val="006F2EED"/>
    <w:rsid w:val="006F2F55"/>
    <w:rsid w:val="006F31D7"/>
    <w:rsid w:val="006F324E"/>
    <w:rsid w:val="006F35C9"/>
    <w:rsid w:val="006F4BCB"/>
    <w:rsid w:val="006F500F"/>
    <w:rsid w:val="006F5E58"/>
    <w:rsid w:val="006F61C9"/>
    <w:rsid w:val="006F631C"/>
    <w:rsid w:val="006F6332"/>
    <w:rsid w:val="006F789F"/>
    <w:rsid w:val="00700721"/>
    <w:rsid w:val="00702355"/>
    <w:rsid w:val="007042DB"/>
    <w:rsid w:val="0070493E"/>
    <w:rsid w:val="00704A87"/>
    <w:rsid w:val="00704B8D"/>
    <w:rsid w:val="007060C9"/>
    <w:rsid w:val="00706353"/>
    <w:rsid w:val="00706D98"/>
    <w:rsid w:val="00706E25"/>
    <w:rsid w:val="00707CE0"/>
    <w:rsid w:val="007119FA"/>
    <w:rsid w:val="00711B57"/>
    <w:rsid w:val="00711B5C"/>
    <w:rsid w:val="007120E9"/>
    <w:rsid w:val="0071247E"/>
    <w:rsid w:val="00712BCC"/>
    <w:rsid w:val="00712F3E"/>
    <w:rsid w:val="00713993"/>
    <w:rsid w:val="00714FCB"/>
    <w:rsid w:val="00715E4A"/>
    <w:rsid w:val="00715F9C"/>
    <w:rsid w:val="00716775"/>
    <w:rsid w:val="007169C5"/>
    <w:rsid w:val="00716E6A"/>
    <w:rsid w:val="00717FCA"/>
    <w:rsid w:val="00720610"/>
    <w:rsid w:val="007215CA"/>
    <w:rsid w:val="00721AF1"/>
    <w:rsid w:val="00721E90"/>
    <w:rsid w:val="0072214C"/>
    <w:rsid w:val="00723620"/>
    <w:rsid w:val="00723A9A"/>
    <w:rsid w:val="00724094"/>
    <w:rsid w:val="007247F5"/>
    <w:rsid w:val="0072548A"/>
    <w:rsid w:val="0072591D"/>
    <w:rsid w:val="00725EED"/>
    <w:rsid w:val="00725F29"/>
    <w:rsid w:val="007266E4"/>
    <w:rsid w:val="0072728C"/>
    <w:rsid w:val="00727B3D"/>
    <w:rsid w:val="00727F9C"/>
    <w:rsid w:val="007305BB"/>
    <w:rsid w:val="007306D1"/>
    <w:rsid w:val="00731955"/>
    <w:rsid w:val="00731C9E"/>
    <w:rsid w:val="00731F7C"/>
    <w:rsid w:val="00732047"/>
    <w:rsid w:val="0073210D"/>
    <w:rsid w:val="007322E8"/>
    <w:rsid w:val="007339D3"/>
    <w:rsid w:val="0073489A"/>
    <w:rsid w:val="0073541C"/>
    <w:rsid w:val="00736620"/>
    <w:rsid w:val="00736726"/>
    <w:rsid w:val="0073672A"/>
    <w:rsid w:val="00736F8E"/>
    <w:rsid w:val="007370A7"/>
    <w:rsid w:val="007376B0"/>
    <w:rsid w:val="007376B3"/>
    <w:rsid w:val="00737BF6"/>
    <w:rsid w:val="007402B3"/>
    <w:rsid w:val="00742A63"/>
    <w:rsid w:val="00743555"/>
    <w:rsid w:val="0074363C"/>
    <w:rsid w:val="007437E2"/>
    <w:rsid w:val="00744588"/>
    <w:rsid w:val="00744BCF"/>
    <w:rsid w:val="007457EB"/>
    <w:rsid w:val="00746113"/>
    <w:rsid w:val="00746508"/>
    <w:rsid w:val="00746CB6"/>
    <w:rsid w:val="00747C02"/>
    <w:rsid w:val="0075014C"/>
    <w:rsid w:val="007514E5"/>
    <w:rsid w:val="00751D63"/>
    <w:rsid w:val="00753075"/>
    <w:rsid w:val="00753CD7"/>
    <w:rsid w:val="00753FC8"/>
    <w:rsid w:val="0075497A"/>
    <w:rsid w:val="00754DC7"/>
    <w:rsid w:val="00756296"/>
    <w:rsid w:val="007566C6"/>
    <w:rsid w:val="007568D9"/>
    <w:rsid w:val="00756977"/>
    <w:rsid w:val="00756DA5"/>
    <w:rsid w:val="00757660"/>
    <w:rsid w:val="00760549"/>
    <w:rsid w:val="007615AE"/>
    <w:rsid w:val="00761704"/>
    <w:rsid w:val="00761CE6"/>
    <w:rsid w:val="0076224C"/>
    <w:rsid w:val="00762D0C"/>
    <w:rsid w:val="00762FD7"/>
    <w:rsid w:val="00763D07"/>
    <w:rsid w:val="007645C2"/>
    <w:rsid w:val="00764774"/>
    <w:rsid w:val="00764FCD"/>
    <w:rsid w:val="00765257"/>
    <w:rsid w:val="007655DB"/>
    <w:rsid w:val="00765935"/>
    <w:rsid w:val="007660DB"/>
    <w:rsid w:val="00766217"/>
    <w:rsid w:val="00766339"/>
    <w:rsid w:val="00766555"/>
    <w:rsid w:val="00766626"/>
    <w:rsid w:val="00766ED4"/>
    <w:rsid w:val="00767742"/>
    <w:rsid w:val="00767D2A"/>
    <w:rsid w:val="007701CA"/>
    <w:rsid w:val="0077022B"/>
    <w:rsid w:val="007706E5"/>
    <w:rsid w:val="007709B3"/>
    <w:rsid w:val="00771149"/>
    <w:rsid w:val="00771321"/>
    <w:rsid w:val="00771545"/>
    <w:rsid w:val="00772660"/>
    <w:rsid w:val="007730CE"/>
    <w:rsid w:val="00773583"/>
    <w:rsid w:val="00773814"/>
    <w:rsid w:val="0077396D"/>
    <w:rsid w:val="00773B53"/>
    <w:rsid w:val="007743C2"/>
    <w:rsid w:val="0077484D"/>
    <w:rsid w:val="00777C9A"/>
    <w:rsid w:val="007805EA"/>
    <w:rsid w:val="007805EE"/>
    <w:rsid w:val="00780673"/>
    <w:rsid w:val="007808D3"/>
    <w:rsid w:val="007808D9"/>
    <w:rsid w:val="00780A32"/>
    <w:rsid w:val="00781F0C"/>
    <w:rsid w:val="0078277D"/>
    <w:rsid w:val="00783708"/>
    <w:rsid w:val="0078571E"/>
    <w:rsid w:val="00786CF2"/>
    <w:rsid w:val="00787F71"/>
    <w:rsid w:val="00790004"/>
    <w:rsid w:val="00790019"/>
    <w:rsid w:val="0079058D"/>
    <w:rsid w:val="00792171"/>
    <w:rsid w:val="00792BD5"/>
    <w:rsid w:val="00793E94"/>
    <w:rsid w:val="00795DEB"/>
    <w:rsid w:val="0079661D"/>
    <w:rsid w:val="00796806"/>
    <w:rsid w:val="00796E16"/>
    <w:rsid w:val="00796E17"/>
    <w:rsid w:val="00797A4A"/>
    <w:rsid w:val="007A02A1"/>
    <w:rsid w:val="007A15D7"/>
    <w:rsid w:val="007A1779"/>
    <w:rsid w:val="007A17C6"/>
    <w:rsid w:val="007A298A"/>
    <w:rsid w:val="007A2AB8"/>
    <w:rsid w:val="007A2F38"/>
    <w:rsid w:val="007A3EF5"/>
    <w:rsid w:val="007A4046"/>
    <w:rsid w:val="007A41CE"/>
    <w:rsid w:val="007A4DE9"/>
    <w:rsid w:val="007A5412"/>
    <w:rsid w:val="007A5D8A"/>
    <w:rsid w:val="007A6448"/>
    <w:rsid w:val="007A6964"/>
    <w:rsid w:val="007B0980"/>
    <w:rsid w:val="007B10DD"/>
    <w:rsid w:val="007B3158"/>
    <w:rsid w:val="007B47F2"/>
    <w:rsid w:val="007B4C7D"/>
    <w:rsid w:val="007B56C9"/>
    <w:rsid w:val="007B7432"/>
    <w:rsid w:val="007C1038"/>
    <w:rsid w:val="007C1220"/>
    <w:rsid w:val="007C126A"/>
    <w:rsid w:val="007C20FE"/>
    <w:rsid w:val="007C2C64"/>
    <w:rsid w:val="007C3384"/>
    <w:rsid w:val="007C33CF"/>
    <w:rsid w:val="007C38B5"/>
    <w:rsid w:val="007C4354"/>
    <w:rsid w:val="007C43DD"/>
    <w:rsid w:val="007C5239"/>
    <w:rsid w:val="007C5E28"/>
    <w:rsid w:val="007C6011"/>
    <w:rsid w:val="007C78A8"/>
    <w:rsid w:val="007D08C2"/>
    <w:rsid w:val="007D0F2F"/>
    <w:rsid w:val="007D1392"/>
    <w:rsid w:val="007D2F79"/>
    <w:rsid w:val="007D4932"/>
    <w:rsid w:val="007D4B37"/>
    <w:rsid w:val="007D5394"/>
    <w:rsid w:val="007D6048"/>
    <w:rsid w:val="007D60CB"/>
    <w:rsid w:val="007D6854"/>
    <w:rsid w:val="007D70A0"/>
    <w:rsid w:val="007D75DC"/>
    <w:rsid w:val="007E0506"/>
    <w:rsid w:val="007E0555"/>
    <w:rsid w:val="007E05F4"/>
    <w:rsid w:val="007E0A51"/>
    <w:rsid w:val="007E2906"/>
    <w:rsid w:val="007E2D4E"/>
    <w:rsid w:val="007E3EE1"/>
    <w:rsid w:val="007E41ED"/>
    <w:rsid w:val="007E439C"/>
    <w:rsid w:val="007E63DA"/>
    <w:rsid w:val="007E69C7"/>
    <w:rsid w:val="007E6D82"/>
    <w:rsid w:val="007E70FE"/>
    <w:rsid w:val="007E762D"/>
    <w:rsid w:val="007E7A4A"/>
    <w:rsid w:val="007F0E37"/>
    <w:rsid w:val="007F14A7"/>
    <w:rsid w:val="007F1AE4"/>
    <w:rsid w:val="007F2DD5"/>
    <w:rsid w:val="007F38F7"/>
    <w:rsid w:val="007F39A7"/>
    <w:rsid w:val="007F3EB4"/>
    <w:rsid w:val="007F4BF2"/>
    <w:rsid w:val="007F59ED"/>
    <w:rsid w:val="007F6383"/>
    <w:rsid w:val="007F6A96"/>
    <w:rsid w:val="00800272"/>
    <w:rsid w:val="008014B4"/>
    <w:rsid w:val="008015E8"/>
    <w:rsid w:val="00801823"/>
    <w:rsid w:val="00801FB6"/>
    <w:rsid w:val="0080255C"/>
    <w:rsid w:val="00802D07"/>
    <w:rsid w:val="00803160"/>
    <w:rsid w:val="00803574"/>
    <w:rsid w:val="0080417B"/>
    <w:rsid w:val="008041D1"/>
    <w:rsid w:val="008047F6"/>
    <w:rsid w:val="00805074"/>
    <w:rsid w:val="00805090"/>
    <w:rsid w:val="00805DE7"/>
    <w:rsid w:val="00807FDF"/>
    <w:rsid w:val="0081038E"/>
    <w:rsid w:val="00811D5E"/>
    <w:rsid w:val="008132D6"/>
    <w:rsid w:val="0081346B"/>
    <w:rsid w:val="00814062"/>
    <w:rsid w:val="00815F27"/>
    <w:rsid w:val="00816043"/>
    <w:rsid w:val="00816819"/>
    <w:rsid w:val="00816CB5"/>
    <w:rsid w:val="00817933"/>
    <w:rsid w:val="0082001E"/>
    <w:rsid w:val="00820546"/>
    <w:rsid w:val="0082081C"/>
    <w:rsid w:val="00820EA8"/>
    <w:rsid w:val="008212B7"/>
    <w:rsid w:val="0082185B"/>
    <w:rsid w:val="00821A60"/>
    <w:rsid w:val="008222B0"/>
    <w:rsid w:val="008234FD"/>
    <w:rsid w:val="00823D26"/>
    <w:rsid w:val="008248EF"/>
    <w:rsid w:val="00831425"/>
    <w:rsid w:val="008317B8"/>
    <w:rsid w:val="00833796"/>
    <w:rsid w:val="00833A12"/>
    <w:rsid w:val="00833F6A"/>
    <w:rsid w:val="00833FB6"/>
    <w:rsid w:val="00833FBE"/>
    <w:rsid w:val="008343AA"/>
    <w:rsid w:val="00835CCA"/>
    <w:rsid w:val="0083616F"/>
    <w:rsid w:val="00840A54"/>
    <w:rsid w:val="00840C50"/>
    <w:rsid w:val="0084131F"/>
    <w:rsid w:val="00842644"/>
    <w:rsid w:val="00844DBE"/>
    <w:rsid w:val="00844DF2"/>
    <w:rsid w:val="00845E53"/>
    <w:rsid w:val="00850C4B"/>
    <w:rsid w:val="00851677"/>
    <w:rsid w:val="00851D43"/>
    <w:rsid w:val="00851E97"/>
    <w:rsid w:val="00853E74"/>
    <w:rsid w:val="00853EB4"/>
    <w:rsid w:val="008552E7"/>
    <w:rsid w:val="0085547A"/>
    <w:rsid w:val="0085591B"/>
    <w:rsid w:val="00855E4B"/>
    <w:rsid w:val="00856954"/>
    <w:rsid w:val="00857088"/>
    <w:rsid w:val="00857333"/>
    <w:rsid w:val="0085761C"/>
    <w:rsid w:val="00861098"/>
    <w:rsid w:val="0086223D"/>
    <w:rsid w:val="00862A2A"/>
    <w:rsid w:val="00862BE6"/>
    <w:rsid w:val="00863192"/>
    <w:rsid w:val="00863466"/>
    <w:rsid w:val="00863AC6"/>
    <w:rsid w:val="008649C3"/>
    <w:rsid w:val="0086525E"/>
    <w:rsid w:val="00865BA3"/>
    <w:rsid w:val="00867813"/>
    <w:rsid w:val="00870C7A"/>
    <w:rsid w:val="00870DE9"/>
    <w:rsid w:val="008724A3"/>
    <w:rsid w:val="00872A14"/>
    <w:rsid w:val="00872AE4"/>
    <w:rsid w:val="00872D49"/>
    <w:rsid w:val="008731C8"/>
    <w:rsid w:val="00873422"/>
    <w:rsid w:val="00874315"/>
    <w:rsid w:val="00874806"/>
    <w:rsid w:val="008759EC"/>
    <w:rsid w:val="0087656A"/>
    <w:rsid w:val="008766FF"/>
    <w:rsid w:val="008767E9"/>
    <w:rsid w:val="00876FE4"/>
    <w:rsid w:val="00881BC0"/>
    <w:rsid w:val="008823A8"/>
    <w:rsid w:val="0088270C"/>
    <w:rsid w:val="008828CC"/>
    <w:rsid w:val="00883290"/>
    <w:rsid w:val="00883E1E"/>
    <w:rsid w:val="00883E2F"/>
    <w:rsid w:val="00883EFD"/>
    <w:rsid w:val="00884A0A"/>
    <w:rsid w:val="00884E72"/>
    <w:rsid w:val="00885166"/>
    <w:rsid w:val="0088692B"/>
    <w:rsid w:val="00886DF9"/>
    <w:rsid w:val="0088743A"/>
    <w:rsid w:val="00887BBF"/>
    <w:rsid w:val="00890068"/>
    <w:rsid w:val="00890EC4"/>
    <w:rsid w:val="00891613"/>
    <w:rsid w:val="0089185F"/>
    <w:rsid w:val="00891F4B"/>
    <w:rsid w:val="0089230B"/>
    <w:rsid w:val="008927DD"/>
    <w:rsid w:val="00892B1D"/>
    <w:rsid w:val="00892C2F"/>
    <w:rsid w:val="008930C4"/>
    <w:rsid w:val="00893BFC"/>
    <w:rsid w:val="00893F09"/>
    <w:rsid w:val="00893F7E"/>
    <w:rsid w:val="008946D4"/>
    <w:rsid w:val="008961F8"/>
    <w:rsid w:val="00897068"/>
    <w:rsid w:val="00897978"/>
    <w:rsid w:val="00897D6D"/>
    <w:rsid w:val="00897EBD"/>
    <w:rsid w:val="008A0064"/>
    <w:rsid w:val="008A073A"/>
    <w:rsid w:val="008A0781"/>
    <w:rsid w:val="008A1283"/>
    <w:rsid w:val="008A12D7"/>
    <w:rsid w:val="008A15CC"/>
    <w:rsid w:val="008A177E"/>
    <w:rsid w:val="008A17B7"/>
    <w:rsid w:val="008A3F85"/>
    <w:rsid w:val="008A519A"/>
    <w:rsid w:val="008A624A"/>
    <w:rsid w:val="008A6960"/>
    <w:rsid w:val="008A6FF4"/>
    <w:rsid w:val="008B04E6"/>
    <w:rsid w:val="008B2D77"/>
    <w:rsid w:val="008B350C"/>
    <w:rsid w:val="008B40AA"/>
    <w:rsid w:val="008B4253"/>
    <w:rsid w:val="008B4D7D"/>
    <w:rsid w:val="008B57A3"/>
    <w:rsid w:val="008B6023"/>
    <w:rsid w:val="008B6222"/>
    <w:rsid w:val="008B623A"/>
    <w:rsid w:val="008B7644"/>
    <w:rsid w:val="008C02FB"/>
    <w:rsid w:val="008C0343"/>
    <w:rsid w:val="008C0E84"/>
    <w:rsid w:val="008C1223"/>
    <w:rsid w:val="008C1813"/>
    <w:rsid w:val="008C2027"/>
    <w:rsid w:val="008C224A"/>
    <w:rsid w:val="008C380A"/>
    <w:rsid w:val="008C5C8A"/>
    <w:rsid w:val="008C6691"/>
    <w:rsid w:val="008C68B3"/>
    <w:rsid w:val="008D0843"/>
    <w:rsid w:val="008D124F"/>
    <w:rsid w:val="008D1535"/>
    <w:rsid w:val="008D16F3"/>
    <w:rsid w:val="008D238A"/>
    <w:rsid w:val="008D2B3F"/>
    <w:rsid w:val="008D3794"/>
    <w:rsid w:val="008D4A16"/>
    <w:rsid w:val="008D4E13"/>
    <w:rsid w:val="008D6616"/>
    <w:rsid w:val="008D7D70"/>
    <w:rsid w:val="008E065A"/>
    <w:rsid w:val="008E0934"/>
    <w:rsid w:val="008E0BF8"/>
    <w:rsid w:val="008E2B9A"/>
    <w:rsid w:val="008E3724"/>
    <w:rsid w:val="008E454A"/>
    <w:rsid w:val="008E4D9E"/>
    <w:rsid w:val="008E7664"/>
    <w:rsid w:val="008E7E16"/>
    <w:rsid w:val="008F06D8"/>
    <w:rsid w:val="008F1859"/>
    <w:rsid w:val="008F1D6B"/>
    <w:rsid w:val="008F1F77"/>
    <w:rsid w:val="008F20FB"/>
    <w:rsid w:val="008F2CEA"/>
    <w:rsid w:val="008F2D16"/>
    <w:rsid w:val="008F2FF5"/>
    <w:rsid w:val="008F3E23"/>
    <w:rsid w:val="008F4794"/>
    <w:rsid w:val="008F581A"/>
    <w:rsid w:val="008F5B74"/>
    <w:rsid w:val="008F5DE0"/>
    <w:rsid w:val="008F6B0B"/>
    <w:rsid w:val="008F6EF6"/>
    <w:rsid w:val="008F7395"/>
    <w:rsid w:val="008F793D"/>
    <w:rsid w:val="008F7C46"/>
    <w:rsid w:val="00902004"/>
    <w:rsid w:val="00902F7B"/>
    <w:rsid w:val="00905582"/>
    <w:rsid w:val="00905F0A"/>
    <w:rsid w:val="009061BF"/>
    <w:rsid w:val="00906706"/>
    <w:rsid w:val="00906B95"/>
    <w:rsid w:val="00906C14"/>
    <w:rsid w:val="00906FBB"/>
    <w:rsid w:val="009074CD"/>
    <w:rsid w:val="00907BBE"/>
    <w:rsid w:val="009114F7"/>
    <w:rsid w:val="009117B8"/>
    <w:rsid w:val="00912980"/>
    <w:rsid w:val="00912C2E"/>
    <w:rsid w:val="0091326B"/>
    <w:rsid w:val="00913C92"/>
    <w:rsid w:val="009143E6"/>
    <w:rsid w:val="00914E6E"/>
    <w:rsid w:val="0091670F"/>
    <w:rsid w:val="00916E39"/>
    <w:rsid w:val="00917427"/>
    <w:rsid w:val="009178AF"/>
    <w:rsid w:val="00917ED2"/>
    <w:rsid w:val="0092046F"/>
    <w:rsid w:val="0092055D"/>
    <w:rsid w:val="00920830"/>
    <w:rsid w:val="00921DBF"/>
    <w:rsid w:val="00921EBC"/>
    <w:rsid w:val="0092226A"/>
    <w:rsid w:val="0092226D"/>
    <w:rsid w:val="0092249C"/>
    <w:rsid w:val="00922654"/>
    <w:rsid w:val="009226E3"/>
    <w:rsid w:val="009232B7"/>
    <w:rsid w:val="00923FF8"/>
    <w:rsid w:val="009249AE"/>
    <w:rsid w:val="009268DE"/>
    <w:rsid w:val="0092726F"/>
    <w:rsid w:val="0092779E"/>
    <w:rsid w:val="00927B8A"/>
    <w:rsid w:val="00930356"/>
    <w:rsid w:val="00930395"/>
    <w:rsid w:val="009315E9"/>
    <w:rsid w:val="00933A19"/>
    <w:rsid w:val="00933D43"/>
    <w:rsid w:val="00934833"/>
    <w:rsid w:val="0093492C"/>
    <w:rsid w:val="00934A13"/>
    <w:rsid w:val="0093572D"/>
    <w:rsid w:val="00935DC4"/>
    <w:rsid w:val="0093695D"/>
    <w:rsid w:val="00936E4A"/>
    <w:rsid w:val="00936EEC"/>
    <w:rsid w:val="009373CD"/>
    <w:rsid w:val="009400A2"/>
    <w:rsid w:val="00940148"/>
    <w:rsid w:val="00940BB5"/>
    <w:rsid w:val="00940C99"/>
    <w:rsid w:val="00940F34"/>
    <w:rsid w:val="009413DD"/>
    <w:rsid w:val="00941F2D"/>
    <w:rsid w:val="009425C3"/>
    <w:rsid w:val="00943B7D"/>
    <w:rsid w:val="00944941"/>
    <w:rsid w:val="00944A8D"/>
    <w:rsid w:val="00945A3B"/>
    <w:rsid w:val="00945E80"/>
    <w:rsid w:val="00945EDA"/>
    <w:rsid w:val="0094659F"/>
    <w:rsid w:val="00946FA7"/>
    <w:rsid w:val="00947463"/>
    <w:rsid w:val="00950CD8"/>
    <w:rsid w:val="009511AE"/>
    <w:rsid w:val="00951A5A"/>
    <w:rsid w:val="00951CA9"/>
    <w:rsid w:val="009527D4"/>
    <w:rsid w:val="00952E00"/>
    <w:rsid w:val="00953DCD"/>
    <w:rsid w:val="0095455C"/>
    <w:rsid w:val="00954C29"/>
    <w:rsid w:val="0095517E"/>
    <w:rsid w:val="00956251"/>
    <w:rsid w:val="0095665B"/>
    <w:rsid w:val="00956DCA"/>
    <w:rsid w:val="00957A9F"/>
    <w:rsid w:val="00960F2C"/>
    <w:rsid w:val="009611FB"/>
    <w:rsid w:val="0096263A"/>
    <w:rsid w:val="009630E1"/>
    <w:rsid w:val="00963223"/>
    <w:rsid w:val="00963C23"/>
    <w:rsid w:val="0096467A"/>
    <w:rsid w:val="00964D56"/>
    <w:rsid w:val="00964FC4"/>
    <w:rsid w:val="00966147"/>
    <w:rsid w:val="0096656A"/>
    <w:rsid w:val="009677DA"/>
    <w:rsid w:val="00967B46"/>
    <w:rsid w:val="009703F8"/>
    <w:rsid w:val="0097141B"/>
    <w:rsid w:val="00971EE7"/>
    <w:rsid w:val="0097237D"/>
    <w:rsid w:val="0097274C"/>
    <w:rsid w:val="00972DDC"/>
    <w:rsid w:val="009730D1"/>
    <w:rsid w:val="009732CD"/>
    <w:rsid w:val="00973420"/>
    <w:rsid w:val="00973E11"/>
    <w:rsid w:val="00974634"/>
    <w:rsid w:val="00974914"/>
    <w:rsid w:val="00974A96"/>
    <w:rsid w:val="00974E7E"/>
    <w:rsid w:val="00974EB4"/>
    <w:rsid w:val="00975191"/>
    <w:rsid w:val="009751EB"/>
    <w:rsid w:val="00975364"/>
    <w:rsid w:val="0097550C"/>
    <w:rsid w:val="0097589E"/>
    <w:rsid w:val="0097623B"/>
    <w:rsid w:val="009772C5"/>
    <w:rsid w:val="00977C25"/>
    <w:rsid w:val="00977DFC"/>
    <w:rsid w:val="00981015"/>
    <w:rsid w:val="00981407"/>
    <w:rsid w:val="009818B4"/>
    <w:rsid w:val="00982CF6"/>
    <w:rsid w:val="009834B9"/>
    <w:rsid w:val="009840AD"/>
    <w:rsid w:val="00984522"/>
    <w:rsid w:val="009847F0"/>
    <w:rsid w:val="00984E48"/>
    <w:rsid w:val="009850C5"/>
    <w:rsid w:val="00985F1D"/>
    <w:rsid w:val="009877B2"/>
    <w:rsid w:val="009901C1"/>
    <w:rsid w:val="009905CE"/>
    <w:rsid w:val="00990676"/>
    <w:rsid w:val="00990C36"/>
    <w:rsid w:val="00990F67"/>
    <w:rsid w:val="009911E1"/>
    <w:rsid w:val="00991245"/>
    <w:rsid w:val="00991EB5"/>
    <w:rsid w:val="00992D72"/>
    <w:rsid w:val="00993A64"/>
    <w:rsid w:val="00993B68"/>
    <w:rsid w:val="009941F7"/>
    <w:rsid w:val="00994A89"/>
    <w:rsid w:val="00996029"/>
    <w:rsid w:val="00996103"/>
    <w:rsid w:val="00996757"/>
    <w:rsid w:val="00996BC9"/>
    <w:rsid w:val="00996F22"/>
    <w:rsid w:val="00997496"/>
    <w:rsid w:val="0099778E"/>
    <w:rsid w:val="009A0CF8"/>
    <w:rsid w:val="009A1AC0"/>
    <w:rsid w:val="009A21F1"/>
    <w:rsid w:val="009A23BE"/>
    <w:rsid w:val="009A288F"/>
    <w:rsid w:val="009A2A41"/>
    <w:rsid w:val="009A2E03"/>
    <w:rsid w:val="009A6170"/>
    <w:rsid w:val="009A78FC"/>
    <w:rsid w:val="009A7F21"/>
    <w:rsid w:val="009B179D"/>
    <w:rsid w:val="009B182C"/>
    <w:rsid w:val="009B1DFD"/>
    <w:rsid w:val="009B1EEB"/>
    <w:rsid w:val="009B3382"/>
    <w:rsid w:val="009B3E0F"/>
    <w:rsid w:val="009B4584"/>
    <w:rsid w:val="009B4CE0"/>
    <w:rsid w:val="009B5243"/>
    <w:rsid w:val="009B5FDA"/>
    <w:rsid w:val="009B649D"/>
    <w:rsid w:val="009B6E5C"/>
    <w:rsid w:val="009B6FD5"/>
    <w:rsid w:val="009B6FFF"/>
    <w:rsid w:val="009B7141"/>
    <w:rsid w:val="009B7A42"/>
    <w:rsid w:val="009B7A59"/>
    <w:rsid w:val="009C0376"/>
    <w:rsid w:val="009C04F3"/>
    <w:rsid w:val="009C0CE0"/>
    <w:rsid w:val="009C1907"/>
    <w:rsid w:val="009C3312"/>
    <w:rsid w:val="009C37FE"/>
    <w:rsid w:val="009C3E4E"/>
    <w:rsid w:val="009C55BB"/>
    <w:rsid w:val="009C5619"/>
    <w:rsid w:val="009C5A38"/>
    <w:rsid w:val="009C5DAE"/>
    <w:rsid w:val="009D00C5"/>
    <w:rsid w:val="009D00EA"/>
    <w:rsid w:val="009D09BC"/>
    <w:rsid w:val="009D0ABC"/>
    <w:rsid w:val="009D29EF"/>
    <w:rsid w:val="009D3A2E"/>
    <w:rsid w:val="009D4AA1"/>
    <w:rsid w:val="009D4AC4"/>
    <w:rsid w:val="009D5644"/>
    <w:rsid w:val="009D5813"/>
    <w:rsid w:val="009D5ACD"/>
    <w:rsid w:val="009D5F1E"/>
    <w:rsid w:val="009D6AA8"/>
    <w:rsid w:val="009D76E3"/>
    <w:rsid w:val="009E0A37"/>
    <w:rsid w:val="009E0D9D"/>
    <w:rsid w:val="009E1363"/>
    <w:rsid w:val="009E223D"/>
    <w:rsid w:val="009E2962"/>
    <w:rsid w:val="009E3336"/>
    <w:rsid w:val="009E3816"/>
    <w:rsid w:val="009E3A41"/>
    <w:rsid w:val="009E4BED"/>
    <w:rsid w:val="009E4E31"/>
    <w:rsid w:val="009E5266"/>
    <w:rsid w:val="009E5A63"/>
    <w:rsid w:val="009E5E0A"/>
    <w:rsid w:val="009E6C66"/>
    <w:rsid w:val="009E77DB"/>
    <w:rsid w:val="009F1511"/>
    <w:rsid w:val="009F2014"/>
    <w:rsid w:val="009F30FE"/>
    <w:rsid w:val="009F4291"/>
    <w:rsid w:val="009F4343"/>
    <w:rsid w:val="009F4695"/>
    <w:rsid w:val="009F4DDB"/>
    <w:rsid w:val="009F52C7"/>
    <w:rsid w:val="009F655D"/>
    <w:rsid w:val="009F6886"/>
    <w:rsid w:val="009F6BBC"/>
    <w:rsid w:val="009F7E7C"/>
    <w:rsid w:val="00A00144"/>
    <w:rsid w:val="00A00346"/>
    <w:rsid w:val="00A00B1D"/>
    <w:rsid w:val="00A023AC"/>
    <w:rsid w:val="00A02733"/>
    <w:rsid w:val="00A029E9"/>
    <w:rsid w:val="00A032DF"/>
    <w:rsid w:val="00A0345D"/>
    <w:rsid w:val="00A04880"/>
    <w:rsid w:val="00A05507"/>
    <w:rsid w:val="00A056B1"/>
    <w:rsid w:val="00A05BA2"/>
    <w:rsid w:val="00A06812"/>
    <w:rsid w:val="00A06A33"/>
    <w:rsid w:val="00A06D68"/>
    <w:rsid w:val="00A101BF"/>
    <w:rsid w:val="00A104E0"/>
    <w:rsid w:val="00A106E6"/>
    <w:rsid w:val="00A108D2"/>
    <w:rsid w:val="00A11114"/>
    <w:rsid w:val="00A1245D"/>
    <w:rsid w:val="00A1287A"/>
    <w:rsid w:val="00A12C97"/>
    <w:rsid w:val="00A12D88"/>
    <w:rsid w:val="00A12E00"/>
    <w:rsid w:val="00A13CD5"/>
    <w:rsid w:val="00A14930"/>
    <w:rsid w:val="00A15A53"/>
    <w:rsid w:val="00A16572"/>
    <w:rsid w:val="00A1702A"/>
    <w:rsid w:val="00A174BD"/>
    <w:rsid w:val="00A17C46"/>
    <w:rsid w:val="00A207BE"/>
    <w:rsid w:val="00A22AF0"/>
    <w:rsid w:val="00A22D5D"/>
    <w:rsid w:val="00A22D76"/>
    <w:rsid w:val="00A23018"/>
    <w:rsid w:val="00A232E3"/>
    <w:rsid w:val="00A237A8"/>
    <w:rsid w:val="00A260A2"/>
    <w:rsid w:val="00A2661E"/>
    <w:rsid w:val="00A275B0"/>
    <w:rsid w:val="00A27E3A"/>
    <w:rsid w:val="00A30431"/>
    <w:rsid w:val="00A3128E"/>
    <w:rsid w:val="00A32011"/>
    <w:rsid w:val="00A330CC"/>
    <w:rsid w:val="00A3312C"/>
    <w:rsid w:val="00A334E6"/>
    <w:rsid w:val="00A33AF4"/>
    <w:rsid w:val="00A34A05"/>
    <w:rsid w:val="00A35366"/>
    <w:rsid w:val="00A35C02"/>
    <w:rsid w:val="00A36037"/>
    <w:rsid w:val="00A375D8"/>
    <w:rsid w:val="00A37F94"/>
    <w:rsid w:val="00A4041D"/>
    <w:rsid w:val="00A40A7C"/>
    <w:rsid w:val="00A4189F"/>
    <w:rsid w:val="00A41BA4"/>
    <w:rsid w:val="00A42A42"/>
    <w:rsid w:val="00A42C17"/>
    <w:rsid w:val="00A42C28"/>
    <w:rsid w:val="00A4302A"/>
    <w:rsid w:val="00A430CA"/>
    <w:rsid w:val="00A43AB1"/>
    <w:rsid w:val="00A43CE5"/>
    <w:rsid w:val="00A43D01"/>
    <w:rsid w:val="00A43DA1"/>
    <w:rsid w:val="00A43F7F"/>
    <w:rsid w:val="00A44102"/>
    <w:rsid w:val="00A44F01"/>
    <w:rsid w:val="00A45E39"/>
    <w:rsid w:val="00A50950"/>
    <w:rsid w:val="00A50C43"/>
    <w:rsid w:val="00A522F9"/>
    <w:rsid w:val="00A544DA"/>
    <w:rsid w:val="00A54D98"/>
    <w:rsid w:val="00A550E7"/>
    <w:rsid w:val="00A55200"/>
    <w:rsid w:val="00A564F9"/>
    <w:rsid w:val="00A567E0"/>
    <w:rsid w:val="00A575A5"/>
    <w:rsid w:val="00A57B36"/>
    <w:rsid w:val="00A606FF"/>
    <w:rsid w:val="00A60B60"/>
    <w:rsid w:val="00A614F0"/>
    <w:rsid w:val="00A62306"/>
    <w:rsid w:val="00A6237F"/>
    <w:rsid w:val="00A627DF"/>
    <w:rsid w:val="00A63410"/>
    <w:rsid w:val="00A636E4"/>
    <w:rsid w:val="00A63873"/>
    <w:rsid w:val="00A63A1E"/>
    <w:rsid w:val="00A643A6"/>
    <w:rsid w:val="00A64954"/>
    <w:rsid w:val="00A6550C"/>
    <w:rsid w:val="00A659BC"/>
    <w:rsid w:val="00A66471"/>
    <w:rsid w:val="00A679D6"/>
    <w:rsid w:val="00A7010A"/>
    <w:rsid w:val="00A704FD"/>
    <w:rsid w:val="00A71019"/>
    <w:rsid w:val="00A7123B"/>
    <w:rsid w:val="00A73B66"/>
    <w:rsid w:val="00A74186"/>
    <w:rsid w:val="00A7599B"/>
    <w:rsid w:val="00A75A59"/>
    <w:rsid w:val="00A76709"/>
    <w:rsid w:val="00A7687F"/>
    <w:rsid w:val="00A77043"/>
    <w:rsid w:val="00A77416"/>
    <w:rsid w:val="00A77C09"/>
    <w:rsid w:val="00A77DD5"/>
    <w:rsid w:val="00A77F91"/>
    <w:rsid w:val="00A80721"/>
    <w:rsid w:val="00A823CC"/>
    <w:rsid w:val="00A840D4"/>
    <w:rsid w:val="00A841CF"/>
    <w:rsid w:val="00A86AC0"/>
    <w:rsid w:val="00A86F75"/>
    <w:rsid w:val="00A87FDC"/>
    <w:rsid w:val="00A90586"/>
    <w:rsid w:val="00A92108"/>
    <w:rsid w:val="00A921CB"/>
    <w:rsid w:val="00A9220D"/>
    <w:rsid w:val="00A93046"/>
    <w:rsid w:val="00A93607"/>
    <w:rsid w:val="00A93BCC"/>
    <w:rsid w:val="00A942A8"/>
    <w:rsid w:val="00A94840"/>
    <w:rsid w:val="00A94CEA"/>
    <w:rsid w:val="00A97075"/>
    <w:rsid w:val="00A977D6"/>
    <w:rsid w:val="00A97D75"/>
    <w:rsid w:val="00A97DB4"/>
    <w:rsid w:val="00AA07F3"/>
    <w:rsid w:val="00AA098F"/>
    <w:rsid w:val="00AA14CB"/>
    <w:rsid w:val="00AA1561"/>
    <w:rsid w:val="00AA18AC"/>
    <w:rsid w:val="00AA1F54"/>
    <w:rsid w:val="00AA3D77"/>
    <w:rsid w:val="00AA4549"/>
    <w:rsid w:val="00AA4CA4"/>
    <w:rsid w:val="00AA63EB"/>
    <w:rsid w:val="00AA7160"/>
    <w:rsid w:val="00AB1326"/>
    <w:rsid w:val="00AB1D81"/>
    <w:rsid w:val="00AB1F41"/>
    <w:rsid w:val="00AB20C3"/>
    <w:rsid w:val="00AB2998"/>
    <w:rsid w:val="00AB2A3C"/>
    <w:rsid w:val="00AB37E5"/>
    <w:rsid w:val="00AB37F6"/>
    <w:rsid w:val="00AB419E"/>
    <w:rsid w:val="00AB4667"/>
    <w:rsid w:val="00AB528C"/>
    <w:rsid w:val="00AB638F"/>
    <w:rsid w:val="00AB694E"/>
    <w:rsid w:val="00AB6C52"/>
    <w:rsid w:val="00AB7DA5"/>
    <w:rsid w:val="00AC0266"/>
    <w:rsid w:val="00AC076D"/>
    <w:rsid w:val="00AC1D7A"/>
    <w:rsid w:val="00AC3843"/>
    <w:rsid w:val="00AC3C31"/>
    <w:rsid w:val="00AC3CEE"/>
    <w:rsid w:val="00AC4496"/>
    <w:rsid w:val="00AC4702"/>
    <w:rsid w:val="00AC4F0B"/>
    <w:rsid w:val="00AC5C16"/>
    <w:rsid w:val="00AC5C97"/>
    <w:rsid w:val="00AC5F27"/>
    <w:rsid w:val="00AC6036"/>
    <w:rsid w:val="00AC613A"/>
    <w:rsid w:val="00AC61C8"/>
    <w:rsid w:val="00AC6874"/>
    <w:rsid w:val="00AC6C70"/>
    <w:rsid w:val="00AC74AE"/>
    <w:rsid w:val="00AC7655"/>
    <w:rsid w:val="00AD1A5E"/>
    <w:rsid w:val="00AD1F3A"/>
    <w:rsid w:val="00AD266E"/>
    <w:rsid w:val="00AD28FD"/>
    <w:rsid w:val="00AD2F9A"/>
    <w:rsid w:val="00AD3555"/>
    <w:rsid w:val="00AD3BBE"/>
    <w:rsid w:val="00AD4F40"/>
    <w:rsid w:val="00AD59E9"/>
    <w:rsid w:val="00AD5F26"/>
    <w:rsid w:val="00AD6F80"/>
    <w:rsid w:val="00AD7981"/>
    <w:rsid w:val="00AE062D"/>
    <w:rsid w:val="00AE0665"/>
    <w:rsid w:val="00AE100F"/>
    <w:rsid w:val="00AE4EB1"/>
    <w:rsid w:val="00AE5CAB"/>
    <w:rsid w:val="00AE5EDB"/>
    <w:rsid w:val="00AE67EF"/>
    <w:rsid w:val="00AE6877"/>
    <w:rsid w:val="00AE7A3C"/>
    <w:rsid w:val="00AE7BE3"/>
    <w:rsid w:val="00AF0427"/>
    <w:rsid w:val="00AF178C"/>
    <w:rsid w:val="00AF27C6"/>
    <w:rsid w:val="00AF3487"/>
    <w:rsid w:val="00AF3BD3"/>
    <w:rsid w:val="00AF458C"/>
    <w:rsid w:val="00AF48EF"/>
    <w:rsid w:val="00AF4ABA"/>
    <w:rsid w:val="00AF5B13"/>
    <w:rsid w:val="00AF7106"/>
    <w:rsid w:val="00B000DA"/>
    <w:rsid w:val="00B00392"/>
    <w:rsid w:val="00B010F2"/>
    <w:rsid w:val="00B02409"/>
    <w:rsid w:val="00B044F5"/>
    <w:rsid w:val="00B0461E"/>
    <w:rsid w:val="00B04D34"/>
    <w:rsid w:val="00B04D8A"/>
    <w:rsid w:val="00B04E37"/>
    <w:rsid w:val="00B0516E"/>
    <w:rsid w:val="00B06B82"/>
    <w:rsid w:val="00B06BF0"/>
    <w:rsid w:val="00B07594"/>
    <w:rsid w:val="00B1116D"/>
    <w:rsid w:val="00B11313"/>
    <w:rsid w:val="00B12D68"/>
    <w:rsid w:val="00B13038"/>
    <w:rsid w:val="00B130F6"/>
    <w:rsid w:val="00B1344D"/>
    <w:rsid w:val="00B13464"/>
    <w:rsid w:val="00B13AE8"/>
    <w:rsid w:val="00B14371"/>
    <w:rsid w:val="00B151FE"/>
    <w:rsid w:val="00B167B3"/>
    <w:rsid w:val="00B16BB4"/>
    <w:rsid w:val="00B17495"/>
    <w:rsid w:val="00B1776C"/>
    <w:rsid w:val="00B17A39"/>
    <w:rsid w:val="00B204E6"/>
    <w:rsid w:val="00B20C5D"/>
    <w:rsid w:val="00B21FA8"/>
    <w:rsid w:val="00B221AB"/>
    <w:rsid w:val="00B230F6"/>
    <w:rsid w:val="00B2350B"/>
    <w:rsid w:val="00B238FF"/>
    <w:rsid w:val="00B24835"/>
    <w:rsid w:val="00B24C78"/>
    <w:rsid w:val="00B24E5D"/>
    <w:rsid w:val="00B25F58"/>
    <w:rsid w:val="00B25F60"/>
    <w:rsid w:val="00B27AEE"/>
    <w:rsid w:val="00B309A1"/>
    <w:rsid w:val="00B31217"/>
    <w:rsid w:val="00B31A4C"/>
    <w:rsid w:val="00B33BB5"/>
    <w:rsid w:val="00B34DA4"/>
    <w:rsid w:val="00B350C2"/>
    <w:rsid w:val="00B357F8"/>
    <w:rsid w:val="00B3595F"/>
    <w:rsid w:val="00B37B57"/>
    <w:rsid w:val="00B40300"/>
    <w:rsid w:val="00B41606"/>
    <w:rsid w:val="00B42936"/>
    <w:rsid w:val="00B42F37"/>
    <w:rsid w:val="00B44BC1"/>
    <w:rsid w:val="00B45512"/>
    <w:rsid w:val="00B45765"/>
    <w:rsid w:val="00B45D3D"/>
    <w:rsid w:val="00B46482"/>
    <w:rsid w:val="00B46F1F"/>
    <w:rsid w:val="00B46F92"/>
    <w:rsid w:val="00B471C1"/>
    <w:rsid w:val="00B47425"/>
    <w:rsid w:val="00B47D0E"/>
    <w:rsid w:val="00B51C00"/>
    <w:rsid w:val="00B51C22"/>
    <w:rsid w:val="00B51D1F"/>
    <w:rsid w:val="00B5317F"/>
    <w:rsid w:val="00B53378"/>
    <w:rsid w:val="00B53E0E"/>
    <w:rsid w:val="00B543F4"/>
    <w:rsid w:val="00B54C18"/>
    <w:rsid w:val="00B5666B"/>
    <w:rsid w:val="00B56763"/>
    <w:rsid w:val="00B57DE7"/>
    <w:rsid w:val="00B57E68"/>
    <w:rsid w:val="00B6014C"/>
    <w:rsid w:val="00B604A6"/>
    <w:rsid w:val="00B604D8"/>
    <w:rsid w:val="00B60E63"/>
    <w:rsid w:val="00B60F62"/>
    <w:rsid w:val="00B621F2"/>
    <w:rsid w:val="00B62A78"/>
    <w:rsid w:val="00B63976"/>
    <w:rsid w:val="00B63AFB"/>
    <w:rsid w:val="00B63C71"/>
    <w:rsid w:val="00B659E8"/>
    <w:rsid w:val="00B65EB4"/>
    <w:rsid w:val="00B663B0"/>
    <w:rsid w:val="00B66E13"/>
    <w:rsid w:val="00B66FA7"/>
    <w:rsid w:val="00B67858"/>
    <w:rsid w:val="00B70AFC"/>
    <w:rsid w:val="00B70E33"/>
    <w:rsid w:val="00B71398"/>
    <w:rsid w:val="00B71623"/>
    <w:rsid w:val="00B71DB2"/>
    <w:rsid w:val="00B7375C"/>
    <w:rsid w:val="00B74289"/>
    <w:rsid w:val="00B74DF7"/>
    <w:rsid w:val="00B759F2"/>
    <w:rsid w:val="00B779A5"/>
    <w:rsid w:val="00B77A9B"/>
    <w:rsid w:val="00B80EAE"/>
    <w:rsid w:val="00B8142B"/>
    <w:rsid w:val="00B81555"/>
    <w:rsid w:val="00B82A1F"/>
    <w:rsid w:val="00B82C76"/>
    <w:rsid w:val="00B82F5A"/>
    <w:rsid w:val="00B84C2C"/>
    <w:rsid w:val="00B8550F"/>
    <w:rsid w:val="00B85605"/>
    <w:rsid w:val="00B85747"/>
    <w:rsid w:val="00B85D29"/>
    <w:rsid w:val="00B85F4F"/>
    <w:rsid w:val="00B90BE8"/>
    <w:rsid w:val="00B9188A"/>
    <w:rsid w:val="00B91A5A"/>
    <w:rsid w:val="00B92A6D"/>
    <w:rsid w:val="00B92FD1"/>
    <w:rsid w:val="00B93590"/>
    <w:rsid w:val="00B9382C"/>
    <w:rsid w:val="00B93A41"/>
    <w:rsid w:val="00B93A4A"/>
    <w:rsid w:val="00B949E7"/>
    <w:rsid w:val="00B95102"/>
    <w:rsid w:val="00B95978"/>
    <w:rsid w:val="00B95D6F"/>
    <w:rsid w:val="00B95F6B"/>
    <w:rsid w:val="00B964F3"/>
    <w:rsid w:val="00B974A4"/>
    <w:rsid w:val="00BA15B1"/>
    <w:rsid w:val="00BA22F1"/>
    <w:rsid w:val="00BA30A9"/>
    <w:rsid w:val="00BA3C63"/>
    <w:rsid w:val="00BA3E74"/>
    <w:rsid w:val="00BA4064"/>
    <w:rsid w:val="00BA4CC8"/>
    <w:rsid w:val="00BA547A"/>
    <w:rsid w:val="00BA58BB"/>
    <w:rsid w:val="00BA5F77"/>
    <w:rsid w:val="00BA6765"/>
    <w:rsid w:val="00BA6EA5"/>
    <w:rsid w:val="00BA71E0"/>
    <w:rsid w:val="00BA76EA"/>
    <w:rsid w:val="00BB0299"/>
    <w:rsid w:val="00BB169B"/>
    <w:rsid w:val="00BB2D24"/>
    <w:rsid w:val="00BB322B"/>
    <w:rsid w:val="00BB4E99"/>
    <w:rsid w:val="00BB51E9"/>
    <w:rsid w:val="00BB526D"/>
    <w:rsid w:val="00BB6B82"/>
    <w:rsid w:val="00BB78BF"/>
    <w:rsid w:val="00BC1BA0"/>
    <w:rsid w:val="00BC2610"/>
    <w:rsid w:val="00BC2743"/>
    <w:rsid w:val="00BC27FD"/>
    <w:rsid w:val="00BC29F7"/>
    <w:rsid w:val="00BC2BEE"/>
    <w:rsid w:val="00BC3A89"/>
    <w:rsid w:val="00BC3C11"/>
    <w:rsid w:val="00BC3E32"/>
    <w:rsid w:val="00BC4B4B"/>
    <w:rsid w:val="00BC5E40"/>
    <w:rsid w:val="00BC6765"/>
    <w:rsid w:val="00BC749D"/>
    <w:rsid w:val="00BC755E"/>
    <w:rsid w:val="00BC76A4"/>
    <w:rsid w:val="00BD0281"/>
    <w:rsid w:val="00BD0460"/>
    <w:rsid w:val="00BD05C4"/>
    <w:rsid w:val="00BD0A0F"/>
    <w:rsid w:val="00BD0ACF"/>
    <w:rsid w:val="00BD15CA"/>
    <w:rsid w:val="00BD18EC"/>
    <w:rsid w:val="00BD235B"/>
    <w:rsid w:val="00BD2741"/>
    <w:rsid w:val="00BD2AD1"/>
    <w:rsid w:val="00BD4DE2"/>
    <w:rsid w:val="00BD630E"/>
    <w:rsid w:val="00BD6991"/>
    <w:rsid w:val="00BD774C"/>
    <w:rsid w:val="00BD7A86"/>
    <w:rsid w:val="00BE056B"/>
    <w:rsid w:val="00BE0BBA"/>
    <w:rsid w:val="00BE0EBC"/>
    <w:rsid w:val="00BE1431"/>
    <w:rsid w:val="00BE1BCE"/>
    <w:rsid w:val="00BE1FA4"/>
    <w:rsid w:val="00BE29F5"/>
    <w:rsid w:val="00BE2A83"/>
    <w:rsid w:val="00BE303B"/>
    <w:rsid w:val="00BE30E4"/>
    <w:rsid w:val="00BE3274"/>
    <w:rsid w:val="00BE3C47"/>
    <w:rsid w:val="00BE3C6E"/>
    <w:rsid w:val="00BE3E0E"/>
    <w:rsid w:val="00BE49C1"/>
    <w:rsid w:val="00BE6530"/>
    <w:rsid w:val="00BE7409"/>
    <w:rsid w:val="00BE7C5A"/>
    <w:rsid w:val="00BF0F02"/>
    <w:rsid w:val="00BF12A2"/>
    <w:rsid w:val="00BF17D1"/>
    <w:rsid w:val="00BF1924"/>
    <w:rsid w:val="00BF1F9D"/>
    <w:rsid w:val="00BF3471"/>
    <w:rsid w:val="00BF36B9"/>
    <w:rsid w:val="00BF381A"/>
    <w:rsid w:val="00BF4714"/>
    <w:rsid w:val="00BF505E"/>
    <w:rsid w:val="00BF5A72"/>
    <w:rsid w:val="00BF5A93"/>
    <w:rsid w:val="00BF5B90"/>
    <w:rsid w:val="00BF6111"/>
    <w:rsid w:val="00BF620D"/>
    <w:rsid w:val="00BF683C"/>
    <w:rsid w:val="00BF6BC6"/>
    <w:rsid w:val="00BF7BA1"/>
    <w:rsid w:val="00C0025B"/>
    <w:rsid w:val="00C008D2"/>
    <w:rsid w:val="00C00CB3"/>
    <w:rsid w:val="00C00DC4"/>
    <w:rsid w:val="00C01726"/>
    <w:rsid w:val="00C01DF2"/>
    <w:rsid w:val="00C02FF3"/>
    <w:rsid w:val="00C03303"/>
    <w:rsid w:val="00C0364C"/>
    <w:rsid w:val="00C0379D"/>
    <w:rsid w:val="00C0382E"/>
    <w:rsid w:val="00C03AA1"/>
    <w:rsid w:val="00C03D3A"/>
    <w:rsid w:val="00C04554"/>
    <w:rsid w:val="00C04603"/>
    <w:rsid w:val="00C04A4C"/>
    <w:rsid w:val="00C04C04"/>
    <w:rsid w:val="00C050F6"/>
    <w:rsid w:val="00C05D5B"/>
    <w:rsid w:val="00C06508"/>
    <w:rsid w:val="00C06CE4"/>
    <w:rsid w:val="00C070CF"/>
    <w:rsid w:val="00C07834"/>
    <w:rsid w:val="00C10414"/>
    <w:rsid w:val="00C108E4"/>
    <w:rsid w:val="00C11851"/>
    <w:rsid w:val="00C11B30"/>
    <w:rsid w:val="00C11D95"/>
    <w:rsid w:val="00C11E21"/>
    <w:rsid w:val="00C136A6"/>
    <w:rsid w:val="00C13A30"/>
    <w:rsid w:val="00C13C42"/>
    <w:rsid w:val="00C13EF8"/>
    <w:rsid w:val="00C14028"/>
    <w:rsid w:val="00C1426D"/>
    <w:rsid w:val="00C14E7A"/>
    <w:rsid w:val="00C15505"/>
    <w:rsid w:val="00C15AE7"/>
    <w:rsid w:val="00C15E0C"/>
    <w:rsid w:val="00C1684C"/>
    <w:rsid w:val="00C170F6"/>
    <w:rsid w:val="00C17826"/>
    <w:rsid w:val="00C17A19"/>
    <w:rsid w:val="00C17B73"/>
    <w:rsid w:val="00C17BC6"/>
    <w:rsid w:val="00C17E84"/>
    <w:rsid w:val="00C207FC"/>
    <w:rsid w:val="00C21299"/>
    <w:rsid w:val="00C21B2A"/>
    <w:rsid w:val="00C22789"/>
    <w:rsid w:val="00C22E4B"/>
    <w:rsid w:val="00C22EBB"/>
    <w:rsid w:val="00C24B05"/>
    <w:rsid w:val="00C24B21"/>
    <w:rsid w:val="00C24F18"/>
    <w:rsid w:val="00C25332"/>
    <w:rsid w:val="00C259DA"/>
    <w:rsid w:val="00C2647F"/>
    <w:rsid w:val="00C266E2"/>
    <w:rsid w:val="00C26F27"/>
    <w:rsid w:val="00C271E2"/>
    <w:rsid w:val="00C30BF8"/>
    <w:rsid w:val="00C312DD"/>
    <w:rsid w:val="00C31A39"/>
    <w:rsid w:val="00C331B1"/>
    <w:rsid w:val="00C33C12"/>
    <w:rsid w:val="00C349B0"/>
    <w:rsid w:val="00C34DA8"/>
    <w:rsid w:val="00C358A1"/>
    <w:rsid w:val="00C3612C"/>
    <w:rsid w:val="00C36246"/>
    <w:rsid w:val="00C36D2E"/>
    <w:rsid w:val="00C3716E"/>
    <w:rsid w:val="00C37C17"/>
    <w:rsid w:val="00C37E4F"/>
    <w:rsid w:val="00C40997"/>
    <w:rsid w:val="00C41C1C"/>
    <w:rsid w:val="00C421D7"/>
    <w:rsid w:val="00C43542"/>
    <w:rsid w:val="00C443C9"/>
    <w:rsid w:val="00C45260"/>
    <w:rsid w:val="00C45537"/>
    <w:rsid w:val="00C45986"/>
    <w:rsid w:val="00C45A90"/>
    <w:rsid w:val="00C46F12"/>
    <w:rsid w:val="00C47788"/>
    <w:rsid w:val="00C47A81"/>
    <w:rsid w:val="00C47C02"/>
    <w:rsid w:val="00C50011"/>
    <w:rsid w:val="00C505D6"/>
    <w:rsid w:val="00C50764"/>
    <w:rsid w:val="00C51D88"/>
    <w:rsid w:val="00C521E8"/>
    <w:rsid w:val="00C52612"/>
    <w:rsid w:val="00C53687"/>
    <w:rsid w:val="00C53B9C"/>
    <w:rsid w:val="00C53DDA"/>
    <w:rsid w:val="00C54090"/>
    <w:rsid w:val="00C54217"/>
    <w:rsid w:val="00C5427A"/>
    <w:rsid w:val="00C54995"/>
    <w:rsid w:val="00C54A9A"/>
    <w:rsid w:val="00C55529"/>
    <w:rsid w:val="00C55A54"/>
    <w:rsid w:val="00C56132"/>
    <w:rsid w:val="00C5724D"/>
    <w:rsid w:val="00C57638"/>
    <w:rsid w:val="00C57EDD"/>
    <w:rsid w:val="00C60656"/>
    <w:rsid w:val="00C60678"/>
    <w:rsid w:val="00C607FC"/>
    <w:rsid w:val="00C60DCA"/>
    <w:rsid w:val="00C613FE"/>
    <w:rsid w:val="00C61722"/>
    <w:rsid w:val="00C627F5"/>
    <w:rsid w:val="00C63C4D"/>
    <w:rsid w:val="00C63D48"/>
    <w:rsid w:val="00C64AF0"/>
    <w:rsid w:val="00C64B75"/>
    <w:rsid w:val="00C64DFD"/>
    <w:rsid w:val="00C65E41"/>
    <w:rsid w:val="00C6617F"/>
    <w:rsid w:val="00C665D0"/>
    <w:rsid w:val="00C67AD9"/>
    <w:rsid w:val="00C703E4"/>
    <w:rsid w:val="00C706E1"/>
    <w:rsid w:val="00C7079E"/>
    <w:rsid w:val="00C70A1A"/>
    <w:rsid w:val="00C7475A"/>
    <w:rsid w:val="00C7506E"/>
    <w:rsid w:val="00C750DD"/>
    <w:rsid w:val="00C7528E"/>
    <w:rsid w:val="00C752CB"/>
    <w:rsid w:val="00C7583B"/>
    <w:rsid w:val="00C75860"/>
    <w:rsid w:val="00C76460"/>
    <w:rsid w:val="00C765B0"/>
    <w:rsid w:val="00C767CC"/>
    <w:rsid w:val="00C77BD3"/>
    <w:rsid w:val="00C8027C"/>
    <w:rsid w:val="00C80936"/>
    <w:rsid w:val="00C80A6C"/>
    <w:rsid w:val="00C80ED0"/>
    <w:rsid w:val="00C82B12"/>
    <w:rsid w:val="00C82FBF"/>
    <w:rsid w:val="00C834C8"/>
    <w:rsid w:val="00C837EE"/>
    <w:rsid w:val="00C83CD4"/>
    <w:rsid w:val="00C85EF9"/>
    <w:rsid w:val="00C86016"/>
    <w:rsid w:val="00C86FE4"/>
    <w:rsid w:val="00C871A7"/>
    <w:rsid w:val="00C873F7"/>
    <w:rsid w:val="00C876FA"/>
    <w:rsid w:val="00C879BD"/>
    <w:rsid w:val="00C87E4B"/>
    <w:rsid w:val="00C90092"/>
    <w:rsid w:val="00C905F9"/>
    <w:rsid w:val="00C906DD"/>
    <w:rsid w:val="00C914B6"/>
    <w:rsid w:val="00C9313A"/>
    <w:rsid w:val="00C9341D"/>
    <w:rsid w:val="00C9360C"/>
    <w:rsid w:val="00C93CB2"/>
    <w:rsid w:val="00C93FFB"/>
    <w:rsid w:val="00C94867"/>
    <w:rsid w:val="00C94D61"/>
    <w:rsid w:val="00C95837"/>
    <w:rsid w:val="00C95E17"/>
    <w:rsid w:val="00C960E6"/>
    <w:rsid w:val="00C96611"/>
    <w:rsid w:val="00C979D7"/>
    <w:rsid w:val="00C97A1D"/>
    <w:rsid w:val="00CA0646"/>
    <w:rsid w:val="00CA0B03"/>
    <w:rsid w:val="00CA0B54"/>
    <w:rsid w:val="00CA12D8"/>
    <w:rsid w:val="00CA1638"/>
    <w:rsid w:val="00CA2911"/>
    <w:rsid w:val="00CA2972"/>
    <w:rsid w:val="00CA34C4"/>
    <w:rsid w:val="00CA3567"/>
    <w:rsid w:val="00CA39B8"/>
    <w:rsid w:val="00CA3F16"/>
    <w:rsid w:val="00CA4CA2"/>
    <w:rsid w:val="00CA74CB"/>
    <w:rsid w:val="00CA79F5"/>
    <w:rsid w:val="00CB1B35"/>
    <w:rsid w:val="00CB1F13"/>
    <w:rsid w:val="00CB2100"/>
    <w:rsid w:val="00CB22BC"/>
    <w:rsid w:val="00CB2BEC"/>
    <w:rsid w:val="00CB445F"/>
    <w:rsid w:val="00CB45E5"/>
    <w:rsid w:val="00CB47B5"/>
    <w:rsid w:val="00CB5359"/>
    <w:rsid w:val="00CB53D5"/>
    <w:rsid w:val="00CB6B21"/>
    <w:rsid w:val="00CB6CB5"/>
    <w:rsid w:val="00CB71C8"/>
    <w:rsid w:val="00CB76A6"/>
    <w:rsid w:val="00CB7928"/>
    <w:rsid w:val="00CB79B5"/>
    <w:rsid w:val="00CC0464"/>
    <w:rsid w:val="00CC08EC"/>
    <w:rsid w:val="00CC13D3"/>
    <w:rsid w:val="00CC1BFC"/>
    <w:rsid w:val="00CC2054"/>
    <w:rsid w:val="00CC2096"/>
    <w:rsid w:val="00CC2976"/>
    <w:rsid w:val="00CC4180"/>
    <w:rsid w:val="00CC5B3B"/>
    <w:rsid w:val="00CC7085"/>
    <w:rsid w:val="00CD04D0"/>
    <w:rsid w:val="00CD11D2"/>
    <w:rsid w:val="00CD3028"/>
    <w:rsid w:val="00CD354B"/>
    <w:rsid w:val="00CD361F"/>
    <w:rsid w:val="00CD3854"/>
    <w:rsid w:val="00CD3CFE"/>
    <w:rsid w:val="00CD3DA0"/>
    <w:rsid w:val="00CD3FF6"/>
    <w:rsid w:val="00CD597D"/>
    <w:rsid w:val="00CD6460"/>
    <w:rsid w:val="00CD73E2"/>
    <w:rsid w:val="00CE0DE0"/>
    <w:rsid w:val="00CE0FF5"/>
    <w:rsid w:val="00CE11FC"/>
    <w:rsid w:val="00CE26DB"/>
    <w:rsid w:val="00CE2B02"/>
    <w:rsid w:val="00CE2DDB"/>
    <w:rsid w:val="00CE3604"/>
    <w:rsid w:val="00CE3813"/>
    <w:rsid w:val="00CE3DA7"/>
    <w:rsid w:val="00CE41F3"/>
    <w:rsid w:val="00CE5204"/>
    <w:rsid w:val="00CE6F1F"/>
    <w:rsid w:val="00CE75CA"/>
    <w:rsid w:val="00CE77EF"/>
    <w:rsid w:val="00CF02A5"/>
    <w:rsid w:val="00CF1C0C"/>
    <w:rsid w:val="00CF31B3"/>
    <w:rsid w:val="00CF382A"/>
    <w:rsid w:val="00CF535F"/>
    <w:rsid w:val="00CF53D5"/>
    <w:rsid w:val="00CF67E1"/>
    <w:rsid w:val="00CF7083"/>
    <w:rsid w:val="00CF78A2"/>
    <w:rsid w:val="00D0033A"/>
    <w:rsid w:val="00D02DEC"/>
    <w:rsid w:val="00D031E7"/>
    <w:rsid w:val="00D0389D"/>
    <w:rsid w:val="00D042F6"/>
    <w:rsid w:val="00D04898"/>
    <w:rsid w:val="00D04D88"/>
    <w:rsid w:val="00D0661E"/>
    <w:rsid w:val="00D068C2"/>
    <w:rsid w:val="00D06953"/>
    <w:rsid w:val="00D06F14"/>
    <w:rsid w:val="00D070F7"/>
    <w:rsid w:val="00D07516"/>
    <w:rsid w:val="00D10C10"/>
    <w:rsid w:val="00D11719"/>
    <w:rsid w:val="00D1389E"/>
    <w:rsid w:val="00D14236"/>
    <w:rsid w:val="00D1537A"/>
    <w:rsid w:val="00D15FE7"/>
    <w:rsid w:val="00D1673D"/>
    <w:rsid w:val="00D203CA"/>
    <w:rsid w:val="00D20D04"/>
    <w:rsid w:val="00D20F5C"/>
    <w:rsid w:val="00D211CC"/>
    <w:rsid w:val="00D2291D"/>
    <w:rsid w:val="00D22AA7"/>
    <w:rsid w:val="00D22BFA"/>
    <w:rsid w:val="00D231E6"/>
    <w:rsid w:val="00D23ECC"/>
    <w:rsid w:val="00D24A5F"/>
    <w:rsid w:val="00D25507"/>
    <w:rsid w:val="00D2555A"/>
    <w:rsid w:val="00D26022"/>
    <w:rsid w:val="00D26534"/>
    <w:rsid w:val="00D302B6"/>
    <w:rsid w:val="00D31798"/>
    <w:rsid w:val="00D31A26"/>
    <w:rsid w:val="00D32AF3"/>
    <w:rsid w:val="00D3415B"/>
    <w:rsid w:val="00D35724"/>
    <w:rsid w:val="00D35C2C"/>
    <w:rsid w:val="00D35EFD"/>
    <w:rsid w:val="00D3661E"/>
    <w:rsid w:val="00D374B7"/>
    <w:rsid w:val="00D37795"/>
    <w:rsid w:val="00D40230"/>
    <w:rsid w:val="00D407F8"/>
    <w:rsid w:val="00D41082"/>
    <w:rsid w:val="00D41FDC"/>
    <w:rsid w:val="00D427BF"/>
    <w:rsid w:val="00D428C6"/>
    <w:rsid w:val="00D430CF"/>
    <w:rsid w:val="00D45893"/>
    <w:rsid w:val="00D45A48"/>
    <w:rsid w:val="00D45C19"/>
    <w:rsid w:val="00D45F6C"/>
    <w:rsid w:val="00D46702"/>
    <w:rsid w:val="00D46BF9"/>
    <w:rsid w:val="00D50B3B"/>
    <w:rsid w:val="00D526D8"/>
    <w:rsid w:val="00D52B26"/>
    <w:rsid w:val="00D53505"/>
    <w:rsid w:val="00D53A8E"/>
    <w:rsid w:val="00D54016"/>
    <w:rsid w:val="00D54577"/>
    <w:rsid w:val="00D550BA"/>
    <w:rsid w:val="00D567A6"/>
    <w:rsid w:val="00D56D6E"/>
    <w:rsid w:val="00D56E43"/>
    <w:rsid w:val="00D56F7F"/>
    <w:rsid w:val="00D57602"/>
    <w:rsid w:val="00D579ED"/>
    <w:rsid w:val="00D57C3D"/>
    <w:rsid w:val="00D60229"/>
    <w:rsid w:val="00D60AFC"/>
    <w:rsid w:val="00D611C3"/>
    <w:rsid w:val="00D62B58"/>
    <w:rsid w:val="00D64027"/>
    <w:rsid w:val="00D65375"/>
    <w:rsid w:val="00D65CDA"/>
    <w:rsid w:val="00D65E05"/>
    <w:rsid w:val="00D65F2B"/>
    <w:rsid w:val="00D66506"/>
    <w:rsid w:val="00D67360"/>
    <w:rsid w:val="00D6764C"/>
    <w:rsid w:val="00D67E8D"/>
    <w:rsid w:val="00D71118"/>
    <w:rsid w:val="00D71B95"/>
    <w:rsid w:val="00D71BD1"/>
    <w:rsid w:val="00D72094"/>
    <w:rsid w:val="00D74141"/>
    <w:rsid w:val="00D74E41"/>
    <w:rsid w:val="00D74E67"/>
    <w:rsid w:val="00D76379"/>
    <w:rsid w:val="00D76DED"/>
    <w:rsid w:val="00D772E0"/>
    <w:rsid w:val="00D77C62"/>
    <w:rsid w:val="00D77CB1"/>
    <w:rsid w:val="00D80151"/>
    <w:rsid w:val="00D80606"/>
    <w:rsid w:val="00D81C1F"/>
    <w:rsid w:val="00D84925"/>
    <w:rsid w:val="00D859F6"/>
    <w:rsid w:val="00D85C9F"/>
    <w:rsid w:val="00D85F3F"/>
    <w:rsid w:val="00D866AA"/>
    <w:rsid w:val="00D8725B"/>
    <w:rsid w:val="00D87A8B"/>
    <w:rsid w:val="00D90368"/>
    <w:rsid w:val="00D91434"/>
    <w:rsid w:val="00D9270F"/>
    <w:rsid w:val="00D92B96"/>
    <w:rsid w:val="00D92C60"/>
    <w:rsid w:val="00D92DE1"/>
    <w:rsid w:val="00D934AF"/>
    <w:rsid w:val="00D94B54"/>
    <w:rsid w:val="00D95A33"/>
    <w:rsid w:val="00D9623B"/>
    <w:rsid w:val="00D96284"/>
    <w:rsid w:val="00D96D87"/>
    <w:rsid w:val="00D96ECF"/>
    <w:rsid w:val="00D96F22"/>
    <w:rsid w:val="00D97355"/>
    <w:rsid w:val="00D97D98"/>
    <w:rsid w:val="00DA0A29"/>
    <w:rsid w:val="00DA0C5C"/>
    <w:rsid w:val="00DA1F77"/>
    <w:rsid w:val="00DA35F6"/>
    <w:rsid w:val="00DA3F03"/>
    <w:rsid w:val="00DA55F8"/>
    <w:rsid w:val="00DA67DB"/>
    <w:rsid w:val="00DA68E7"/>
    <w:rsid w:val="00DA6E89"/>
    <w:rsid w:val="00DA7133"/>
    <w:rsid w:val="00DA718B"/>
    <w:rsid w:val="00DB06E7"/>
    <w:rsid w:val="00DB0910"/>
    <w:rsid w:val="00DB0D40"/>
    <w:rsid w:val="00DB1717"/>
    <w:rsid w:val="00DB1B20"/>
    <w:rsid w:val="00DB24FD"/>
    <w:rsid w:val="00DB2AA5"/>
    <w:rsid w:val="00DB2F8F"/>
    <w:rsid w:val="00DB3B0A"/>
    <w:rsid w:val="00DB5EDA"/>
    <w:rsid w:val="00DB5F75"/>
    <w:rsid w:val="00DB600A"/>
    <w:rsid w:val="00DB70B8"/>
    <w:rsid w:val="00DC05C8"/>
    <w:rsid w:val="00DC0617"/>
    <w:rsid w:val="00DC10C1"/>
    <w:rsid w:val="00DC2C9B"/>
    <w:rsid w:val="00DC30E8"/>
    <w:rsid w:val="00DC32C3"/>
    <w:rsid w:val="00DC37E3"/>
    <w:rsid w:val="00DC4C6E"/>
    <w:rsid w:val="00DC5444"/>
    <w:rsid w:val="00DC5873"/>
    <w:rsid w:val="00DC6B75"/>
    <w:rsid w:val="00DC6F1B"/>
    <w:rsid w:val="00DD091F"/>
    <w:rsid w:val="00DD17DD"/>
    <w:rsid w:val="00DD1A60"/>
    <w:rsid w:val="00DD2127"/>
    <w:rsid w:val="00DD2140"/>
    <w:rsid w:val="00DD3161"/>
    <w:rsid w:val="00DD4C98"/>
    <w:rsid w:val="00DD58E9"/>
    <w:rsid w:val="00DD5AD8"/>
    <w:rsid w:val="00DD5DFE"/>
    <w:rsid w:val="00DD61C0"/>
    <w:rsid w:val="00DD655C"/>
    <w:rsid w:val="00DD69A5"/>
    <w:rsid w:val="00DD7385"/>
    <w:rsid w:val="00DE0495"/>
    <w:rsid w:val="00DE0551"/>
    <w:rsid w:val="00DE0975"/>
    <w:rsid w:val="00DE1D80"/>
    <w:rsid w:val="00DE1F2C"/>
    <w:rsid w:val="00DE2108"/>
    <w:rsid w:val="00DE2927"/>
    <w:rsid w:val="00DE2DD0"/>
    <w:rsid w:val="00DE4D11"/>
    <w:rsid w:val="00DF0383"/>
    <w:rsid w:val="00DF0630"/>
    <w:rsid w:val="00DF0AB3"/>
    <w:rsid w:val="00DF10D0"/>
    <w:rsid w:val="00DF15D2"/>
    <w:rsid w:val="00DF1D84"/>
    <w:rsid w:val="00DF2470"/>
    <w:rsid w:val="00DF3821"/>
    <w:rsid w:val="00DF42C7"/>
    <w:rsid w:val="00DF4E56"/>
    <w:rsid w:val="00DF53D4"/>
    <w:rsid w:val="00DF610B"/>
    <w:rsid w:val="00DF647B"/>
    <w:rsid w:val="00DF6817"/>
    <w:rsid w:val="00DF6C66"/>
    <w:rsid w:val="00DF759D"/>
    <w:rsid w:val="00E00639"/>
    <w:rsid w:val="00E00AA6"/>
    <w:rsid w:val="00E03339"/>
    <w:rsid w:val="00E0361D"/>
    <w:rsid w:val="00E03F7A"/>
    <w:rsid w:val="00E04D3C"/>
    <w:rsid w:val="00E05800"/>
    <w:rsid w:val="00E06554"/>
    <w:rsid w:val="00E07134"/>
    <w:rsid w:val="00E0772D"/>
    <w:rsid w:val="00E11BE5"/>
    <w:rsid w:val="00E141C4"/>
    <w:rsid w:val="00E15A5C"/>
    <w:rsid w:val="00E161BF"/>
    <w:rsid w:val="00E16DF4"/>
    <w:rsid w:val="00E1715F"/>
    <w:rsid w:val="00E179B9"/>
    <w:rsid w:val="00E17C50"/>
    <w:rsid w:val="00E202B5"/>
    <w:rsid w:val="00E21013"/>
    <w:rsid w:val="00E219A5"/>
    <w:rsid w:val="00E21CEC"/>
    <w:rsid w:val="00E22032"/>
    <w:rsid w:val="00E2207F"/>
    <w:rsid w:val="00E223E6"/>
    <w:rsid w:val="00E23265"/>
    <w:rsid w:val="00E24410"/>
    <w:rsid w:val="00E2536D"/>
    <w:rsid w:val="00E25888"/>
    <w:rsid w:val="00E25DF7"/>
    <w:rsid w:val="00E25FF4"/>
    <w:rsid w:val="00E26472"/>
    <w:rsid w:val="00E27535"/>
    <w:rsid w:val="00E276B8"/>
    <w:rsid w:val="00E304E6"/>
    <w:rsid w:val="00E30D2F"/>
    <w:rsid w:val="00E32B59"/>
    <w:rsid w:val="00E32E29"/>
    <w:rsid w:val="00E3339C"/>
    <w:rsid w:val="00E3365B"/>
    <w:rsid w:val="00E33732"/>
    <w:rsid w:val="00E34858"/>
    <w:rsid w:val="00E3494D"/>
    <w:rsid w:val="00E34A9F"/>
    <w:rsid w:val="00E34ACC"/>
    <w:rsid w:val="00E360AD"/>
    <w:rsid w:val="00E36862"/>
    <w:rsid w:val="00E37D24"/>
    <w:rsid w:val="00E40DE3"/>
    <w:rsid w:val="00E40DED"/>
    <w:rsid w:val="00E40E2A"/>
    <w:rsid w:val="00E41F36"/>
    <w:rsid w:val="00E426EF"/>
    <w:rsid w:val="00E426FD"/>
    <w:rsid w:val="00E448E8"/>
    <w:rsid w:val="00E44D5E"/>
    <w:rsid w:val="00E45B52"/>
    <w:rsid w:val="00E46957"/>
    <w:rsid w:val="00E47FEC"/>
    <w:rsid w:val="00E508F2"/>
    <w:rsid w:val="00E50C5B"/>
    <w:rsid w:val="00E50E40"/>
    <w:rsid w:val="00E526F9"/>
    <w:rsid w:val="00E53623"/>
    <w:rsid w:val="00E53E98"/>
    <w:rsid w:val="00E54095"/>
    <w:rsid w:val="00E541F8"/>
    <w:rsid w:val="00E543B7"/>
    <w:rsid w:val="00E543E8"/>
    <w:rsid w:val="00E5465D"/>
    <w:rsid w:val="00E5472B"/>
    <w:rsid w:val="00E54D9A"/>
    <w:rsid w:val="00E55C0F"/>
    <w:rsid w:val="00E55D59"/>
    <w:rsid w:val="00E56330"/>
    <w:rsid w:val="00E5637D"/>
    <w:rsid w:val="00E5685B"/>
    <w:rsid w:val="00E57280"/>
    <w:rsid w:val="00E5792B"/>
    <w:rsid w:val="00E616B3"/>
    <w:rsid w:val="00E6289D"/>
    <w:rsid w:val="00E6323C"/>
    <w:rsid w:val="00E63ADF"/>
    <w:rsid w:val="00E646A4"/>
    <w:rsid w:val="00E64B76"/>
    <w:rsid w:val="00E65CBB"/>
    <w:rsid w:val="00E661F1"/>
    <w:rsid w:val="00E66529"/>
    <w:rsid w:val="00E6691C"/>
    <w:rsid w:val="00E675AC"/>
    <w:rsid w:val="00E675EA"/>
    <w:rsid w:val="00E71273"/>
    <w:rsid w:val="00E71E08"/>
    <w:rsid w:val="00E7276F"/>
    <w:rsid w:val="00E73051"/>
    <w:rsid w:val="00E730F1"/>
    <w:rsid w:val="00E73183"/>
    <w:rsid w:val="00E73AFE"/>
    <w:rsid w:val="00E73C1A"/>
    <w:rsid w:val="00E74127"/>
    <w:rsid w:val="00E74D4A"/>
    <w:rsid w:val="00E751BE"/>
    <w:rsid w:val="00E76793"/>
    <w:rsid w:val="00E7699D"/>
    <w:rsid w:val="00E76E34"/>
    <w:rsid w:val="00E777F0"/>
    <w:rsid w:val="00E81057"/>
    <w:rsid w:val="00E82266"/>
    <w:rsid w:val="00E82C8B"/>
    <w:rsid w:val="00E843E1"/>
    <w:rsid w:val="00E845E2"/>
    <w:rsid w:val="00E84E07"/>
    <w:rsid w:val="00E8569F"/>
    <w:rsid w:val="00E865EA"/>
    <w:rsid w:val="00E86817"/>
    <w:rsid w:val="00E86E08"/>
    <w:rsid w:val="00E87B36"/>
    <w:rsid w:val="00E90312"/>
    <w:rsid w:val="00E90662"/>
    <w:rsid w:val="00E91C39"/>
    <w:rsid w:val="00E923EC"/>
    <w:rsid w:val="00E9455A"/>
    <w:rsid w:val="00E959BC"/>
    <w:rsid w:val="00E95AE3"/>
    <w:rsid w:val="00E95D22"/>
    <w:rsid w:val="00E96213"/>
    <w:rsid w:val="00E96AA2"/>
    <w:rsid w:val="00E96BD0"/>
    <w:rsid w:val="00E97006"/>
    <w:rsid w:val="00E97604"/>
    <w:rsid w:val="00E97AA0"/>
    <w:rsid w:val="00EA0FDF"/>
    <w:rsid w:val="00EA1745"/>
    <w:rsid w:val="00EA27AF"/>
    <w:rsid w:val="00EA28B1"/>
    <w:rsid w:val="00EA2AE6"/>
    <w:rsid w:val="00EA3482"/>
    <w:rsid w:val="00EA388A"/>
    <w:rsid w:val="00EA391D"/>
    <w:rsid w:val="00EA3E2A"/>
    <w:rsid w:val="00EA4386"/>
    <w:rsid w:val="00EA7576"/>
    <w:rsid w:val="00EA7DAB"/>
    <w:rsid w:val="00EB121C"/>
    <w:rsid w:val="00EB1368"/>
    <w:rsid w:val="00EB2307"/>
    <w:rsid w:val="00EB28F9"/>
    <w:rsid w:val="00EB336D"/>
    <w:rsid w:val="00EB3CC9"/>
    <w:rsid w:val="00EB4288"/>
    <w:rsid w:val="00EB5A98"/>
    <w:rsid w:val="00EB5E60"/>
    <w:rsid w:val="00EB671E"/>
    <w:rsid w:val="00EB6D0E"/>
    <w:rsid w:val="00EB7258"/>
    <w:rsid w:val="00EB7C91"/>
    <w:rsid w:val="00EC1A77"/>
    <w:rsid w:val="00EC1E09"/>
    <w:rsid w:val="00EC20A1"/>
    <w:rsid w:val="00EC3AF9"/>
    <w:rsid w:val="00EC4AC2"/>
    <w:rsid w:val="00EC4CE5"/>
    <w:rsid w:val="00EC5635"/>
    <w:rsid w:val="00EC65F8"/>
    <w:rsid w:val="00EC7FD6"/>
    <w:rsid w:val="00ED0A60"/>
    <w:rsid w:val="00ED1097"/>
    <w:rsid w:val="00ED18CB"/>
    <w:rsid w:val="00ED2A7B"/>
    <w:rsid w:val="00ED420C"/>
    <w:rsid w:val="00ED44A5"/>
    <w:rsid w:val="00ED499E"/>
    <w:rsid w:val="00ED4E6F"/>
    <w:rsid w:val="00ED4F43"/>
    <w:rsid w:val="00ED5B59"/>
    <w:rsid w:val="00ED5E43"/>
    <w:rsid w:val="00ED65F5"/>
    <w:rsid w:val="00ED6780"/>
    <w:rsid w:val="00ED7607"/>
    <w:rsid w:val="00ED7841"/>
    <w:rsid w:val="00EE0414"/>
    <w:rsid w:val="00EE1155"/>
    <w:rsid w:val="00EE1E15"/>
    <w:rsid w:val="00EE1F62"/>
    <w:rsid w:val="00EE25AE"/>
    <w:rsid w:val="00EE29EA"/>
    <w:rsid w:val="00EE2DB1"/>
    <w:rsid w:val="00EE34D0"/>
    <w:rsid w:val="00EE4CFC"/>
    <w:rsid w:val="00EE57B1"/>
    <w:rsid w:val="00EE5B51"/>
    <w:rsid w:val="00EE6B36"/>
    <w:rsid w:val="00EE6D52"/>
    <w:rsid w:val="00EE6DE7"/>
    <w:rsid w:val="00EE78A7"/>
    <w:rsid w:val="00EF02EB"/>
    <w:rsid w:val="00EF1A14"/>
    <w:rsid w:val="00EF2C19"/>
    <w:rsid w:val="00EF2F49"/>
    <w:rsid w:val="00EF471E"/>
    <w:rsid w:val="00EF474F"/>
    <w:rsid w:val="00EF4777"/>
    <w:rsid w:val="00EF4B63"/>
    <w:rsid w:val="00EF53D7"/>
    <w:rsid w:val="00EF5A49"/>
    <w:rsid w:val="00EF67FA"/>
    <w:rsid w:val="00F00765"/>
    <w:rsid w:val="00F01B4B"/>
    <w:rsid w:val="00F01D71"/>
    <w:rsid w:val="00F01E1A"/>
    <w:rsid w:val="00F01FBB"/>
    <w:rsid w:val="00F0224B"/>
    <w:rsid w:val="00F03D34"/>
    <w:rsid w:val="00F04063"/>
    <w:rsid w:val="00F04800"/>
    <w:rsid w:val="00F04849"/>
    <w:rsid w:val="00F0655D"/>
    <w:rsid w:val="00F07986"/>
    <w:rsid w:val="00F07D16"/>
    <w:rsid w:val="00F103D0"/>
    <w:rsid w:val="00F10D2C"/>
    <w:rsid w:val="00F10DF6"/>
    <w:rsid w:val="00F118D0"/>
    <w:rsid w:val="00F11BAF"/>
    <w:rsid w:val="00F1349D"/>
    <w:rsid w:val="00F13E52"/>
    <w:rsid w:val="00F143DB"/>
    <w:rsid w:val="00F145A1"/>
    <w:rsid w:val="00F14FDF"/>
    <w:rsid w:val="00F15B80"/>
    <w:rsid w:val="00F1666A"/>
    <w:rsid w:val="00F178D4"/>
    <w:rsid w:val="00F17FE6"/>
    <w:rsid w:val="00F200A2"/>
    <w:rsid w:val="00F20514"/>
    <w:rsid w:val="00F21B18"/>
    <w:rsid w:val="00F21EBD"/>
    <w:rsid w:val="00F22106"/>
    <w:rsid w:val="00F23EF5"/>
    <w:rsid w:val="00F24254"/>
    <w:rsid w:val="00F25AC5"/>
    <w:rsid w:val="00F26F73"/>
    <w:rsid w:val="00F27874"/>
    <w:rsid w:val="00F31145"/>
    <w:rsid w:val="00F314E1"/>
    <w:rsid w:val="00F32E9A"/>
    <w:rsid w:val="00F32FB4"/>
    <w:rsid w:val="00F33584"/>
    <w:rsid w:val="00F33606"/>
    <w:rsid w:val="00F33A8A"/>
    <w:rsid w:val="00F33AB9"/>
    <w:rsid w:val="00F33B6D"/>
    <w:rsid w:val="00F33D2A"/>
    <w:rsid w:val="00F3436D"/>
    <w:rsid w:val="00F349D4"/>
    <w:rsid w:val="00F34A56"/>
    <w:rsid w:val="00F34C2A"/>
    <w:rsid w:val="00F35CD2"/>
    <w:rsid w:val="00F36E29"/>
    <w:rsid w:val="00F37589"/>
    <w:rsid w:val="00F379D7"/>
    <w:rsid w:val="00F408F1"/>
    <w:rsid w:val="00F4093E"/>
    <w:rsid w:val="00F40D77"/>
    <w:rsid w:val="00F40DAE"/>
    <w:rsid w:val="00F4175F"/>
    <w:rsid w:val="00F4255C"/>
    <w:rsid w:val="00F453D5"/>
    <w:rsid w:val="00F4567E"/>
    <w:rsid w:val="00F460EA"/>
    <w:rsid w:val="00F463F6"/>
    <w:rsid w:val="00F4688D"/>
    <w:rsid w:val="00F47528"/>
    <w:rsid w:val="00F478FC"/>
    <w:rsid w:val="00F4795C"/>
    <w:rsid w:val="00F5060E"/>
    <w:rsid w:val="00F50615"/>
    <w:rsid w:val="00F506B4"/>
    <w:rsid w:val="00F50784"/>
    <w:rsid w:val="00F50954"/>
    <w:rsid w:val="00F50C85"/>
    <w:rsid w:val="00F50E83"/>
    <w:rsid w:val="00F514D1"/>
    <w:rsid w:val="00F52003"/>
    <w:rsid w:val="00F52137"/>
    <w:rsid w:val="00F528C9"/>
    <w:rsid w:val="00F52A7E"/>
    <w:rsid w:val="00F52B9E"/>
    <w:rsid w:val="00F52D2E"/>
    <w:rsid w:val="00F52FE9"/>
    <w:rsid w:val="00F53343"/>
    <w:rsid w:val="00F543D7"/>
    <w:rsid w:val="00F54433"/>
    <w:rsid w:val="00F54DAC"/>
    <w:rsid w:val="00F55A38"/>
    <w:rsid w:val="00F56B80"/>
    <w:rsid w:val="00F57695"/>
    <w:rsid w:val="00F5799B"/>
    <w:rsid w:val="00F60B52"/>
    <w:rsid w:val="00F60DBF"/>
    <w:rsid w:val="00F60DE5"/>
    <w:rsid w:val="00F60F3E"/>
    <w:rsid w:val="00F61439"/>
    <w:rsid w:val="00F63B4F"/>
    <w:rsid w:val="00F63E6F"/>
    <w:rsid w:val="00F64816"/>
    <w:rsid w:val="00F64AD2"/>
    <w:rsid w:val="00F64C3E"/>
    <w:rsid w:val="00F64CD8"/>
    <w:rsid w:val="00F64D93"/>
    <w:rsid w:val="00F65334"/>
    <w:rsid w:val="00F65A3B"/>
    <w:rsid w:val="00F6601E"/>
    <w:rsid w:val="00F664D0"/>
    <w:rsid w:val="00F66B1F"/>
    <w:rsid w:val="00F66BC0"/>
    <w:rsid w:val="00F66E80"/>
    <w:rsid w:val="00F6760A"/>
    <w:rsid w:val="00F67B4A"/>
    <w:rsid w:val="00F67EFD"/>
    <w:rsid w:val="00F70135"/>
    <w:rsid w:val="00F710D2"/>
    <w:rsid w:val="00F7298F"/>
    <w:rsid w:val="00F72BC4"/>
    <w:rsid w:val="00F72CD0"/>
    <w:rsid w:val="00F72F71"/>
    <w:rsid w:val="00F73560"/>
    <w:rsid w:val="00F7395E"/>
    <w:rsid w:val="00F74CB0"/>
    <w:rsid w:val="00F753DC"/>
    <w:rsid w:val="00F75457"/>
    <w:rsid w:val="00F75888"/>
    <w:rsid w:val="00F76B37"/>
    <w:rsid w:val="00F77610"/>
    <w:rsid w:val="00F80BF4"/>
    <w:rsid w:val="00F80C39"/>
    <w:rsid w:val="00F81808"/>
    <w:rsid w:val="00F81D44"/>
    <w:rsid w:val="00F82F11"/>
    <w:rsid w:val="00F8321F"/>
    <w:rsid w:val="00F83564"/>
    <w:rsid w:val="00F8427A"/>
    <w:rsid w:val="00F85584"/>
    <w:rsid w:val="00F857FA"/>
    <w:rsid w:val="00F85E39"/>
    <w:rsid w:val="00F87998"/>
    <w:rsid w:val="00F87AEE"/>
    <w:rsid w:val="00F90494"/>
    <w:rsid w:val="00F90B40"/>
    <w:rsid w:val="00F924CB"/>
    <w:rsid w:val="00F936DB"/>
    <w:rsid w:val="00F943EC"/>
    <w:rsid w:val="00F94496"/>
    <w:rsid w:val="00F94688"/>
    <w:rsid w:val="00F949BC"/>
    <w:rsid w:val="00F94CFE"/>
    <w:rsid w:val="00F956C1"/>
    <w:rsid w:val="00F958C4"/>
    <w:rsid w:val="00F965A0"/>
    <w:rsid w:val="00F96C5F"/>
    <w:rsid w:val="00F97D10"/>
    <w:rsid w:val="00F97F0E"/>
    <w:rsid w:val="00F97F8F"/>
    <w:rsid w:val="00FA0001"/>
    <w:rsid w:val="00FA0061"/>
    <w:rsid w:val="00FA0D6B"/>
    <w:rsid w:val="00FA1159"/>
    <w:rsid w:val="00FA1305"/>
    <w:rsid w:val="00FA195E"/>
    <w:rsid w:val="00FA1E07"/>
    <w:rsid w:val="00FA1F7A"/>
    <w:rsid w:val="00FA235A"/>
    <w:rsid w:val="00FA3616"/>
    <w:rsid w:val="00FA38F0"/>
    <w:rsid w:val="00FA3E90"/>
    <w:rsid w:val="00FA4295"/>
    <w:rsid w:val="00FA5252"/>
    <w:rsid w:val="00FA5EC1"/>
    <w:rsid w:val="00FA6072"/>
    <w:rsid w:val="00FA691B"/>
    <w:rsid w:val="00FA6BD1"/>
    <w:rsid w:val="00FA6E88"/>
    <w:rsid w:val="00FA7050"/>
    <w:rsid w:val="00FA77EF"/>
    <w:rsid w:val="00FA799D"/>
    <w:rsid w:val="00FA7E28"/>
    <w:rsid w:val="00FB054C"/>
    <w:rsid w:val="00FB172C"/>
    <w:rsid w:val="00FB24D7"/>
    <w:rsid w:val="00FB24F0"/>
    <w:rsid w:val="00FB260B"/>
    <w:rsid w:val="00FB26FC"/>
    <w:rsid w:val="00FB2D2B"/>
    <w:rsid w:val="00FB2DC3"/>
    <w:rsid w:val="00FB2DE1"/>
    <w:rsid w:val="00FB457A"/>
    <w:rsid w:val="00FB4AA3"/>
    <w:rsid w:val="00FB4B11"/>
    <w:rsid w:val="00FB50D6"/>
    <w:rsid w:val="00FB5319"/>
    <w:rsid w:val="00FB7236"/>
    <w:rsid w:val="00FB7C6E"/>
    <w:rsid w:val="00FC0004"/>
    <w:rsid w:val="00FC2D8F"/>
    <w:rsid w:val="00FC45F5"/>
    <w:rsid w:val="00FC491A"/>
    <w:rsid w:val="00FC5AF8"/>
    <w:rsid w:val="00FC5C0C"/>
    <w:rsid w:val="00FC6562"/>
    <w:rsid w:val="00FC6720"/>
    <w:rsid w:val="00FC697A"/>
    <w:rsid w:val="00FC7878"/>
    <w:rsid w:val="00FC7D9A"/>
    <w:rsid w:val="00FD1122"/>
    <w:rsid w:val="00FD1603"/>
    <w:rsid w:val="00FD1C9C"/>
    <w:rsid w:val="00FD23E6"/>
    <w:rsid w:val="00FD420E"/>
    <w:rsid w:val="00FD42DB"/>
    <w:rsid w:val="00FD4957"/>
    <w:rsid w:val="00FD4FD2"/>
    <w:rsid w:val="00FD52C8"/>
    <w:rsid w:val="00FD61C6"/>
    <w:rsid w:val="00FD7B82"/>
    <w:rsid w:val="00FE03CE"/>
    <w:rsid w:val="00FE1D29"/>
    <w:rsid w:val="00FE1E24"/>
    <w:rsid w:val="00FE28E2"/>
    <w:rsid w:val="00FE2CD6"/>
    <w:rsid w:val="00FE3C2D"/>
    <w:rsid w:val="00FE402D"/>
    <w:rsid w:val="00FE478C"/>
    <w:rsid w:val="00FE47C9"/>
    <w:rsid w:val="00FE4FB5"/>
    <w:rsid w:val="00FE5AE3"/>
    <w:rsid w:val="00FE5CDA"/>
    <w:rsid w:val="00FE6A4A"/>
    <w:rsid w:val="00FE7091"/>
    <w:rsid w:val="00FF063D"/>
    <w:rsid w:val="00FF123E"/>
    <w:rsid w:val="00FF205D"/>
    <w:rsid w:val="00FF408C"/>
    <w:rsid w:val="00FF4242"/>
    <w:rsid w:val="00FF448B"/>
    <w:rsid w:val="00FF4878"/>
    <w:rsid w:val="00FF4FCB"/>
    <w:rsid w:val="00FF6551"/>
    <w:rsid w:val="00FF6617"/>
    <w:rsid w:val="00FF699B"/>
    <w:rsid w:val="00FF7312"/>
    <w:rsid w:val="00FF774E"/>
    <w:rsid w:val="00FF79D2"/>
    <w:rsid w:val="00FF7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563EAC"/>
  <w15:docId w15:val="{BA94DB71-82E3-4A6F-9E68-9AAEDF8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0C1"/>
    <w:pPr>
      <w:spacing w:after="200" w:line="276" w:lineRule="auto"/>
    </w:pPr>
    <w:rPr>
      <w:rFonts w:ascii="Georgia" w:hAnsi="Georgia"/>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F59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ferences,Grille claire - Accent 31,Liste couleur - Accent 111,List Paragraph1,Liste couleur - Accent 11,Liste couleur - Accent 112,Bullets,List Paragraph nowy,Numbered List Paragraph,List Paragraph (numbered (a)),Paragraphe de liste1"/>
    <w:basedOn w:val="Normal"/>
    <w:link w:val="ListParagraphChar"/>
    <w:uiPriority w:val="99"/>
    <w:qFormat/>
    <w:rsid w:val="00536116"/>
    <w:pPr>
      <w:ind w:left="720"/>
      <w:contextualSpacing/>
    </w:pPr>
  </w:style>
  <w:style w:type="paragraph" w:styleId="Header">
    <w:name w:val="header"/>
    <w:basedOn w:val="Normal"/>
    <w:link w:val="HeaderChar"/>
    <w:uiPriority w:val="99"/>
    <w:rsid w:val="005D49F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D49FB"/>
    <w:rPr>
      <w:rFonts w:ascii="Georgia" w:hAnsi="Georgia" w:cs="Arial"/>
      <w:b/>
    </w:rPr>
  </w:style>
  <w:style w:type="paragraph" w:styleId="Footer">
    <w:name w:val="footer"/>
    <w:basedOn w:val="Normal"/>
    <w:link w:val="FooterChar"/>
    <w:uiPriority w:val="99"/>
    <w:rsid w:val="005D49F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D49FB"/>
    <w:rPr>
      <w:rFonts w:ascii="Georgia" w:hAnsi="Georgia" w:cs="Arial"/>
      <w:b/>
    </w:rPr>
  </w:style>
  <w:style w:type="character" w:styleId="PlaceholderText">
    <w:name w:val="Placeholder Text"/>
    <w:basedOn w:val="DefaultParagraphFont"/>
    <w:uiPriority w:val="99"/>
    <w:semiHidden/>
    <w:rsid w:val="007B10DD"/>
    <w:rPr>
      <w:rFonts w:cs="Times New Roman"/>
      <w:color w:val="808080"/>
    </w:rPr>
  </w:style>
  <w:style w:type="paragraph" w:styleId="BalloonText">
    <w:name w:val="Balloon Text"/>
    <w:basedOn w:val="Normal"/>
    <w:link w:val="BalloonTextChar"/>
    <w:uiPriority w:val="99"/>
    <w:semiHidden/>
    <w:rsid w:val="007B1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10DD"/>
    <w:rPr>
      <w:rFonts w:ascii="Tahoma" w:hAnsi="Tahoma" w:cs="Tahoma"/>
      <w:b/>
      <w:sz w:val="16"/>
      <w:szCs w:val="16"/>
    </w:rPr>
  </w:style>
  <w:style w:type="character" w:styleId="Hyperlink">
    <w:name w:val="Hyperlink"/>
    <w:basedOn w:val="DefaultParagraphFont"/>
    <w:uiPriority w:val="99"/>
    <w:rsid w:val="004F26F2"/>
    <w:rPr>
      <w:rFonts w:cs="Times New Roman"/>
      <w:color w:val="0000FF"/>
      <w:u w:val="single"/>
    </w:rPr>
  </w:style>
  <w:style w:type="character" w:styleId="FollowedHyperlink">
    <w:name w:val="FollowedHyperlink"/>
    <w:basedOn w:val="DefaultParagraphFont"/>
    <w:uiPriority w:val="99"/>
    <w:semiHidden/>
    <w:rsid w:val="00E6691C"/>
    <w:rPr>
      <w:rFonts w:cs="Times New Roman"/>
      <w:color w:val="800080"/>
      <w:u w:val="single"/>
    </w:rPr>
  </w:style>
  <w:style w:type="character" w:styleId="CommentReference">
    <w:name w:val="annotation reference"/>
    <w:basedOn w:val="DefaultParagraphFont"/>
    <w:uiPriority w:val="99"/>
    <w:semiHidden/>
    <w:rsid w:val="00E9455A"/>
    <w:rPr>
      <w:rFonts w:cs="Times New Roman"/>
      <w:sz w:val="16"/>
      <w:szCs w:val="16"/>
    </w:rPr>
  </w:style>
  <w:style w:type="paragraph" w:styleId="CommentText">
    <w:name w:val="annotation text"/>
    <w:basedOn w:val="Normal"/>
    <w:link w:val="CommentTextChar"/>
    <w:uiPriority w:val="99"/>
    <w:rsid w:val="00E9455A"/>
    <w:pPr>
      <w:spacing w:line="240" w:lineRule="auto"/>
    </w:pPr>
    <w:rPr>
      <w:sz w:val="20"/>
      <w:szCs w:val="20"/>
    </w:rPr>
  </w:style>
  <w:style w:type="character" w:customStyle="1" w:styleId="CommentTextChar">
    <w:name w:val="Comment Text Char"/>
    <w:basedOn w:val="DefaultParagraphFont"/>
    <w:link w:val="CommentText"/>
    <w:uiPriority w:val="99"/>
    <w:locked/>
    <w:rsid w:val="00E9455A"/>
    <w:rPr>
      <w:rFonts w:ascii="Georgia" w:hAnsi="Georgia" w:cs="Arial"/>
      <w:b/>
      <w:sz w:val="20"/>
      <w:szCs w:val="20"/>
    </w:rPr>
  </w:style>
  <w:style w:type="paragraph" w:styleId="CommentSubject">
    <w:name w:val="annotation subject"/>
    <w:basedOn w:val="CommentText"/>
    <w:next w:val="CommentText"/>
    <w:link w:val="CommentSubjectChar"/>
    <w:uiPriority w:val="99"/>
    <w:semiHidden/>
    <w:rsid w:val="00E9455A"/>
    <w:rPr>
      <w:bCs/>
    </w:rPr>
  </w:style>
  <w:style w:type="character" w:customStyle="1" w:styleId="CommentSubjectChar">
    <w:name w:val="Comment Subject Char"/>
    <w:basedOn w:val="CommentTextChar"/>
    <w:link w:val="CommentSubject"/>
    <w:uiPriority w:val="99"/>
    <w:semiHidden/>
    <w:locked/>
    <w:rsid w:val="00E9455A"/>
    <w:rPr>
      <w:rFonts w:ascii="Georgia" w:hAnsi="Georgia" w:cs="Arial"/>
      <w:b/>
      <w:bCs/>
      <w:sz w:val="20"/>
      <w:szCs w:val="20"/>
    </w:rPr>
  </w:style>
  <w:style w:type="paragraph" w:styleId="Revision">
    <w:name w:val="Revision"/>
    <w:hidden/>
    <w:uiPriority w:val="99"/>
    <w:semiHidden/>
    <w:rsid w:val="00C54995"/>
    <w:rPr>
      <w:rFonts w:ascii="Georgia" w:hAnsi="Georgia"/>
      <w:b/>
      <w:lang w:eastAsia="en-US"/>
    </w:rPr>
  </w:style>
  <w:style w:type="paragraph" w:styleId="FootnoteText">
    <w:name w:val="footnote text"/>
    <w:aliases w:val="fn,Footnote ak,fn Char,footnote text Char,Footnotes Char,Footnote ak Char,ft,fn cafc,Footnotes Char Char,Footnote Text Char Char,fn Char Char,footnote text Char Char Char Ch,footnote text,Footnote Text English,single space,FOOTNOTES"/>
    <w:basedOn w:val="Normal"/>
    <w:link w:val="FootnoteTextChar1"/>
    <w:uiPriority w:val="99"/>
    <w:rsid w:val="000A690A"/>
    <w:pPr>
      <w:spacing w:after="0" w:line="240" w:lineRule="auto"/>
    </w:pPr>
    <w:rPr>
      <w:rFonts w:ascii="Arial" w:eastAsia="SimSun" w:hAnsi="Arial" w:cs="Times New Roman"/>
      <w:b w:val="0"/>
      <w:sz w:val="20"/>
      <w:szCs w:val="20"/>
      <w:lang w:eastAsia="zh-CN"/>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Char1"/>
    <w:basedOn w:val="DefaultParagraphFont"/>
    <w:uiPriority w:val="99"/>
    <w:locked/>
    <w:rPr>
      <w:rFonts w:ascii="Georgia" w:hAnsi="Georgia" w:cs="Times New Roman"/>
      <w:b/>
      <w:sz w:val="20"/>
      <w:szCs w:val="20"/>
      <w:lang w:eastAsia="en-US"/>
    </w:r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DefaultParagraphFont"/>
    <w:link w:val="FootnoteText"/>
    <w:uiPriority w:val="99"/>
    <w:semiHidden/>
    <w:locked/>
    <w:rsid w:val="000A690A"/>
    <w:rPr>
      <w:rFonts w:ascii="Arial" w:eastAsia="SimSun" w:hAnsi="Arial" w:cs="Times New Roman"/>
      <w:sz w:val="20"/>
      <w:szCs w:val="20"/>
      <w:lang w:val="en-US" w:eastAsia="zh-CN"/>
    </w:rPr>
  </w:style>
  <w:style w:type="character" w:styleId="FootnoteReference">
    <w:name w:val="footnote reference"/>
    <w:aliases w:val="ftref,BVI fnr,16 Point,Superscript 6 Point,Fußnotenzeichen DISS,fr,(NECG) Footnote Reference,footnote ref,Char Char Char Char Car Char, BVI fnr"/>
    <w:basedOn w:val="DefaultParagraphFont"/>
    <w:uiPriority w:val="99"/>
    <w:rsid w:val="000A690A"/>
    <w:rPr>
      <w:rFonts w:cs="Times New Roman"/>
      <w:vertAlign w:val="superscript"/>
    </w:rPr>
  </w:style>
  <w:style w:type="paragraph" w:styleId="EndnoteText">
    <w:name w:val="endnote text"/>
    <w:basedOn w:val="Normal"/>
    <w:link w:val="EndnoteTextChar"/>
    <w:uiPriority w:val="99"/>
    <w:semiHidden/>
    <w:rsid w:val="003B722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B722F"/>
    <w:rPr>
      <w:rFonts w:ascii="Georgia" w:hAnsi="Georgia" w:cs="Arial"/>
      <w:b/>
      <w:sz w:val="20"/>
      <w:szCs w:val="20"/>
    </w:rPr>
  </w:style>
  <w:style w:type="character" w:styleId="EndnoteReference">
    <w:name w:val="endnote reference"/>
    <w:basedOn w:val="DefaultParagraphFont"/>
    <w:uiPriority w:val="99"/>
    <w:semiHidden/>
    <w:rsid w:val="003B722F"/>
    <w:rPr>
      <w:rFonts w:cs="Times New Roman"/>
      <w:vertAlign w:val="superscript"/>
    </w:rPr>
  </w:style>
  <w:style w:type="paragraph" w:styleId="z-TopofForm">
    <w:name w:val="HTML Top of Form"/>
    <w:basedOn w:val="Normal"/>
    <w:next w:val="Normal"/>
    <w:link w:val="z-TopofFormChar"/>
    <w:hidden/>
    <w:uiPriority w:val="99"/>
    <w:semiHidden/>
    <w:rsid w:val="0012138E"/>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12138E"/>
    <w:rPr>
      <w:rFonts w:ascii="Arial" w:hAnsi="Arial" w:cs="Arial"/>
      <w:b/>
      <w:vanish/>
      <w:sz w:val="16"/>
      <w:szCs w:val="16"/>
    </w:rPr>
  </w:style>
  <w:style w:type="paragraph" w:styleId="z-BottomofForm">
    <w:name w:val="HTML Bottom of Form"/>
    <w:basedOn w:val="Normal"/>
    <w:next w:val="Normal"/>
    <w:link w:val="z-BottomofFormChar"/>
    <w:hidden/>
    <w:uiPriority w:val="99"/>
    <w:semiHidden/>
    <w:rsid w:val="0012138E"/>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12138E"/>
    <w:rPr>
      <w:rFonts w:ascii="Arial" w:hAnsi="Arial" w:cs="Arial"/>
      <w:b/>
      <w:vanish/>
      <w:sz w:val="16"/>
      <w:szCs w:val="16"/>
    </w:rPr>
  </w:style>
  <w:style w:type="paragraph" w:customStyle="1" w:styleId="Default">
    <w:name w:val="Default"/>
    <w:uiPriority w:val="99"/>
    <w:rsid w:val="00174B71"/>
    <w:pPr>
      <w:autoSpaceDE w:val="0"/>
      <w:autoSpaceDN w:val="0"/>
      <w:adjustRightInd w:val="0"/>
    </w:pPr>
    <w:rPr>
      <w:rFonts w:ascii="Trebuchet MS" w:hAnsi="Trebuchet MS" w:cs="Trebuchet MS"/>
      <w:color w:val="000000"/>
      <w:sz w:val="24"/>
      <w:szCs w:val="24"/>
    </w:rPr>
  </w:style>
  <w:style w:type="character" w:customStyle="1" w:styleId="ListParagraphChar">
    <w:name w:val="List Paragraph Char"/>
    <w:aliases w:val="References Char,Grille claire - Accent 31 Char,Liste couleur - Accent 111 Char,List Paragraph1 Char,Liste couleur - Accent 11 Char,Liste couleur - Accent 112 Char,Bullets Char,List Paragraph nowy Char,Numbered List Paragraph Char"/>
    <w:basedOn w:val="DefaultParagraphFont"/>
    <w:link w:val="ListParagraph"/>
    <w:uiPriority w:val="99"/>
    <w:locked/>
    <w:rsid w:val="00367779"/>
    <w:rPr>
      <w:rFonts w:ascii="Georgia" w:hAnsi="Georgia"/>
      <w:b/>
      <w:lang w:eastAsia="en-US"/>
    </w:rPr>
  </w:style>
  <w:style w:type="paragraph" w:customStyle="1" w:styleId="Bullet2">
    <w:name w:val="Bullet 2"/>
    <w:basedOn w:val="Normal"/>
    <w:uiPriority w:val="99"/>
    <w:qFormat/>
    <w:rsid w:val="00367779"/>
    <w:pPr>
      <w:numPr>
        <w:numId w:val="1"/>
      </w:numPr>
      <w:tabs>
        <w:tab w:val="left" w:pos="1701"/>
        <w:tab w:val="left" w:pos="2693"/>
      </w:tabs>
      <w:spacing w:before="60" w:after="60" w:line="240" w:lineRule="auto"/>
      <w:ind w:left="1701"/>
    </w:pPr>
    <w:rPr>
      <w:rFonts w:eastAsia="Times New Roman" w:cs="Times New Roman"/>
      <w:b w:val="0"/>
      <w:szCs w:val="24"/>
      <w:lang w:eastAsia="fr-FR"/>
    </w:rPr>
  </w:style>
  <w:style w:type="paragraph" w:styleId="NormalWeb">
    <w:name w:val="Normal (Web)"/>
    <w:basedOn w:val="Normal"/>
    <w:uiPriority w:val="99"/>
    <w:semiHidden/>
    <w:unhideWhenUsed/>
    <w:rsid w:val="001A5954"/>
    <w:pPr>
      <w:spacing w:before="100" w:beforeAutospacing="1" w:after="100" w:afterAutospacing="1" w:line="240" w:lineRule="auto"/>
    </w:pPr>
    <w:rPr>
      <w:rFonts w:ascii="Times New Roman" w:eastAsiaTheme="minorHAnsi" w:hAnsi="Times New Roman" w:cs="Times New Roman"/>
      <w:b w:val="0"/>
      <w:sz w:val="24"/>
      <w:szCs w:val="24"/>
      <w:lang w:eastAsia="en-GB"/>
    </w:rPr>
  </w:style>
  <w:style w:type="table" w:customStyle="1" w:styleId="TableGrid1">
    <w:name w:val="Table Grid1"/>
    <w:basedOn w:val="TableNormal"/>
    <w:next w:val="TableGrid"/>
    <w:uiPriority w:val="39"/>
    <w:rsid w:val="008014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A5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D6F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TableNormal"/>
    <w:next w:val="TableGrid"/>
    <w:uiPriority w:val="59"/>
    <w:rsid w:val="00494F44"/>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502327"/>
    <w:pPr>
      <w:spacing w:after="0" w:line="240" w:lineRule="auto"/>
    </w:pPr>
    <w:rPr>
      <w:rFonts w:cs="Times New Roman"/>
      <w:b w:val="0"/>
      <w:sz w:val="17"/>
      <w:szCs w:val="17"/>
    </w:rPr>
  </w:style>
  <w:style w:type="paragraph" w:styleId="NoSpacing">
    <w:name w:val="No Spacing"/>
    <w:uiPriority w:val="99"/>
    <w:qFormat/>
    <w:rsid w:val="00AC6036"/>
    <w:rPr>
      <w:rFonts w:ascii="Georgia" w:hAnsi="Georgia" w:cs="Georgia"/>
      <w:b/>
      <w:bCs/>
      <w:lang w:eastAsia="en-US"/>
    </w:rPr>
  </w:style>
  <w:style w:type="character" w:customStyle="1" w:styleId="UnresolvedMention1">
    <w:name w:val="Unresolved Mention1"/>
    <w:basedOn w:val="DefaultParagraphFont"/>
    <w:uiPriority w:val="99"/>
    <w:semiHidden/>
    <w:unhideWhenUsed/>
    <w:rsid w:val="00975191"/>
    <w:rPr>
      <w:color w:val="808080"/>
      <w:shd w:val="clear" w:color="auto" w:fill="E6E6E6"/>
    </w:rPr>
  </w:style>
  <w:style w:type="character" w:customStyle="1" w:styleId="UnresolvedMention">
    <w:name w:val="Unresolved Mention"/>
    <w:basedOn w:val="DefaultParagraphFont"/>
    <w:uiPriority w:val="99"/>
    <w:semiHidden/>
    <w:unhideWhenUsed/>
    <w:rsid w:val="00DB09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03">
      <w:bodyDiv w:val="1"/>
      <w:marLeft w:val="0"/>
      <w:marRight w:val="0"/>
      <w:marTop w:val="0"/>
      <w:marBottom w:val="0"/>
      <w:divBdr>
        <w:top w:val="none" w:sz="0" w:space="0" w:color="auto"/>
        <w:left w:val="none" w:sz="0" w:space="0" w:color="auto"/>
        <w:bottom w:val="none" w:sz="0" w:space="0" w:color="auto"/>
        <w:right w:val="none" w:sz="0" w:space="0" w:color="auto"/>
      </w:divBdr>
    </w:div>
    <w:div w:id="20085342">
      <w:bodyDiv w:val="1"/>
      <w:marLeft w:val="0"/>
      <w:marRight w:val="0"/>
      <w:marTop w:val="0"/>
      <w:marBottom w:val="0"/>
      <w:divBdr>
        <w:top w:val="none" w:sz="0" w:space="0" w:color="auto"/>
        <w:left w:val="none" w:sz="0" w:space="0" w:color="auto"/>
        <w:bottom w:val="none" w:sz="0" w:space="0" w:color="auto"/>
        <w:right w:val="none" w:sz="0" w:space="0" w:color="auto"/>
      </w:divBdr>
    </w:div>
    <w:div w:id="33771803">
      <w:bodyDiv w:val="1"/>
      <w:marLeft w:val="0"/>
      <w:marRight w:val="0"/>
      <w:marTop w:val="0"/>
      <w:marBottom w:val="0"/>
      <w:divBdr>
        <w:top w:val="none" w:sz="0" w:space="0" w:color="auto"/>
        <w:left w:val="none" w:sz="0" w:space="0" w:color="auto"/>
        <w:bottom w:val="none" w:sz="0" w:space="0" w:color="auto"/>
        <w:right w:val="none" w:sz="0" w:space="0" w:color="auto"/>
      </w:divBdr>
    </w:div>
    <w:div w:id="47146100">
      <w:bodyDiv w:val="1"/>
      <w:marLeft w:val="0"/>
      <w:marRight w:val="0"/>
      <w:marTop w:val="0"/>
      <w:marBottom w:val="0"/>
      <w:divBdr>
        <w:top w:val="none" w:sz="0" w:space="0" w:color="auto"/>
        <w:left w:val="none" w:sz="0" w:space="0" w:color="auto"/>
        <w:bottom w:val="none" w:sz="0" w:space="0" w:color="auto"/>
        <w:right w:val="none" w:sz="0" w:space="0" w:color="auto"/>
      </w:divBdr>
    </w:div>
    <w:div w:id="73549194">
      <w:bodyDiv w:val="1"/>
      <w:marLeft w:val="0"/>
      <w:marRight w:val="0"/>
      <w:marTop w:val="0"/>
      <w:marBottom w:val="0"/>
      <w:divBdr>
        <w:top w:val="none" w:sz="0" w:space="0" w:color="auto"/>
        <w:left w:val="none" w:sz="0" w:space="0" w:color="auto"/>
        <w:bottom w:val="none" w:sz="0" w:space="0" w:color="auto"/>
        <w:right w:val="none" w:sz="0" w:space="0" w:color="auto"/>
      </w:divBdr>
    </w:div>
    <w:div w:id="152600528">
      <w:bodyDiv w:val="1"/>
      <w:marLeft w:val="0"/>
      <w:marRight w:val="0"/>
      <w:marTop w:val="0"/>
      <w:marBottom w:val="0"/>
      <w:divBdr>
        <w:top w:val="none" w:sz="0" w:space="0" w:color="auto"/>
        <w:left w:val="none" w:sz="0" w:space="0" w:color="auto"/>
        <w:bottom w:val="none" w:sz="0" w:space="0" w:color="auto"/>
        <w:right w:val="none" w:sz="0" w:space="0" w:color="auto"/>
      </w:divBdr>
    </w:div>
    <w:div w:id="155531833">
      <w:bodyDiv w:val="1"/>
      <w:marLeft w:val="0"/>
      <w:marRight w:val="0"/>
      <w:marTop w:val="0"/>
      <w:marBottom w:val="0"/>
      <w:divBdr>
        <w:top w:val="none" w:sz="0" w:space="0" w:color="auto"/>
        <w:left w:val="none" w:sz="0" w:space="0" w:color="auto"/>
        <w:bottom w:val="none" w:sz="0" w:space="0" w:color="auto"/>
        <w:right w:val="none" w:sz="0" w:space="0" w:color="auto"/>
      </w:divBdr>
    </w:div>
    <w:div w:id="159784360">
      <w:bodyDiv w:val="1"/>
      <w:marLeft w:val="0"/>
      <w:marRight w:val="0"/>
      <w:marTop w:val="0"/>
      <w:marBottom w:val="0"/>
      <w:divBdr>
        <w:top w:val="none" w:sz="0" w:space="0" w:color="auto"/>
        <w:left w:val="none" w:sz="0" w:space="0" w:color="auto"/>
        <w:bottom w:val="none" w:sz="0" w:space="0" w:color="auto"/>
        <w:right w:val="none" w:sz="0" w:space="0" w:color="auto"/>
      </w:divBdr>
    </w:div>
    <w:div w:id="160049131">
      <w:bodyDiv w:val="1"/>
      <w:marLeft w:val="0"/>
      <w:marRight w:val="0"/>
      <w:marTop w:val="0"/>
      <w:marBottom w:val="0"/>
      <w:divBdr>
        <w:top w:val="none" w:sz="0" w:space="0" w:color="auto"/>
        <w:left w:val="none" w:sz="0" w:space="0" w:color="auto"/>
        <w:bottom w:val="none" w:sz="0" w:space="0" w:color="auto"/>
        <w:right w:val="none" w:sz="0" w:space="0" w:color="auto"/>
      </w:divBdr>
    </w:div>
    <w:div w:id="175773383">
      <w:bodyDiv w:val="1"/>
      <w:marLeft w:val="0"/>
      <w:marRight w:val="0"/>
      <w:marTop w:val="0"/>
      <w:marBottom w:val="0"/>
      <w:divBdr>
        <w:top w:val="none" w:sz="0" w:space="0" w:color="auto"/>
        <w:left w:val="none" w:sz="0" w:space="0" w:color="auto"/>
        <w:bottom w:val="none" w:sz="0" w:space="0" w:color="auto"/>
        <w:right w:val="none" w:sz="0" w:space="0" w:color="auto"/>
      </w:divBdr>
    </w:div>
    <w:div w:id="242689868">
      <w:bodyDiv w:val="1"/>
      <w:marLeft w:val="0"/>
      <w:marRight w:val="0"/>
      <w:marTop w:val="0"/>
      <w:marBottom w:val="0"/>
      <w:divBdr>
        <w:top w:val="none" w:sz="0" w:space="0" w:color="auto"/>
        <w:left w:val="none" w:sz="0" w:space="0" w:color="auto"/>
        <w:bottom w:val="none" w:sz="0" w:space="0" w:color="auto"/>
        <w:right w:val="none" w:sz="0" w:space="0" w:color="auto"/>
      </w:divBdr>
    </w:div>
    <w:div w:id="287055758">
      <w:bodyDiv w:val="1"/>
      <w:marLeft w:val="0"/>
      <w:marRight w:val="0"/>
      <w:marTop w:val="0"/>
      <w:marBottom w:val="0"/>
      <w:divBdr>
        <w:top w:val="none" w:sz="0" w:space="0" w:color="auto"/>
        <w:left w:val="none" w:sz="0" w:space="0" w:color="auto"/>
        <w:bottom w:val="none" w:sz="0" w:space="0" w:color="auto"/>
        <w:right w:val="none" w:sz="0" w:space="0" w:color="auto"/>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301886014">
      <w:marLeft w:val="0"/>
      <w:marRight w:val="0"/>
      <w:marTop w:val="0"/>
      <w:marBottom w:val="0"/>
      <w:divBdr>
        <w:top w:val="none" w:sz="0" w:space="0" w:color="auto"/>
        <w:left w:val="none" w:sz="0" w:space="0" w:color="auto"/>
        <w:bottom w:val="none" w:sz="0" w:space="0" w:color="auto"/>
        <w:right w:val="none" w:sz="0" w:space="0" w:color="auto"/>
      </w:divBdr>
      <w:divsChild>
        <w:div w:id="301886040">
          <w:marLeft w:val="446"/>
          <w:marRight w:val="0"/>
          <w:marTop w:val="120"/>
          <w:marBottom w:val="0"/>
          <w:divBdr>
            <w:top w:val="none" w:sz="0" w:space="0" w:color="auto"/>
            <w:left w:val="none" w:sz="0" w:space="0" w:color="auto"/>
            <w:bottom w:val="none" w:sz="0" w:space="0" w:color="auto"/>
            <w:right w:val="none" w:sz="0" w:space="0" w:color="auto"/>
          </w:divBdr>
        </w:div>
      </w:divsChild>
    </w:div>
    <w:div w:id="301886015">
      <w:marLeft w:val="0"/>
      <w:marRight w:val="0"/>
      <w:marTop w:val="0"/>
      <w:marBottom w:val="0"/>
      <w:divBdr>
        <w:top w:val="none" w:sz="0" w:space="0" w:color="auto"/>
        <w:left w:val="none" w:sz="0" w:space="0" w:color="auto"/>
        <w:bottom w:val="none" w:sz="0" w:space="0" w:color="auto"/>
        <w:right w:val="none" w:sz="0" w:space="0" w:color="auto"/>
      </w:divBdr>
    </w:div>
    <w:div w:id="301886016">
      <w:marLeft w:val="0"/>
      <w:marRight w:val="0"/>
      <w:marTop w:val="0"/>
      <w:marBottom w:val="0"/>
      <w:divBdr>
        <w:top w:val="none" w:sz="0" w:space="0" w:color="auto"/>
        <w:left w:val="none" w:sz="0" w:space="0" w:color="auto"/>
        <w:bottom w:val="none" w:sz="0" w:space="0" w:color="auto"/>
        <w:right w:val="none" w:sz="0" w:space="0" w:color="auto"/>
      </w:divBdr>
    </w:div>
    <w:div w:id="301886017">
      <w:marLeft w:val="0"/>
      <w:marRight w:val="0"/>
      <w:marTop w:val="0"/>
      <w:marBottom w:val="0"/>
      <w:divBdr>
        <w:top w:val="none" w:sz="0" w:space="0" w:color="auto"/>
        <w:left w:val="none" w:sz="0" w:space="0" w:color="auto"/>
        <w:bottom w:val="none" w:sz="0" w:space="0" w:color="auto"/>
        <w:right w:val="none" w:sz="0" w:space="0" w:color="auto"/>
      </w:divBdr>
    </w:div>
    <w:div w:id="301886018">
      <w:marLeft w:val="0"/>
      <w:marRight w:val="0"/>
      <w:marTop w:val="0"/>
      <w:marBottom w:val="0"/>
      <w:divBdr>
        <w:top w:val="none" w:sz="0" w:space="0" w:color="auto"/>
        <w:left w:val="none" w:sz="0" w:space="0" w:color="auto"/>
        <w:bottom w:val="none" w:sz="0" w:space="0" w:color="auto"/>
        <w:right w:val="none" w:sz="0" w:space="0" w:color="auto"/>
      </w:divBdr>
    </w:div>
    <w:div w:id="301886019">
      <w:marLeft w:val="0"/>
      <w:marRight w:val="0"/>
      <w:marTop w:val="0"/>
      <w:marBottom w:val="0"/>
      <w:divBdr>
        <w:top w:val="none" w:sz="0" w:space="0" w:color="auto"/>
        <w:left w:val="none" w:sz="0" w:space="0" w:color="auto"/>
        <w:bottom w:val="none" w:sz="0" w:space="0" w:color="auto"/>
        <w:right w:val="none" w:sz="0" w:space="0" w:color="auto"/>
      </w:divBdr>
    </w:div>
    <w:div w:id="301886020">
      <w:marLeft w:val="0"/>
      <w:marRight w:val="0"/>
      <w:marTop w:val="0"/>
      <w:marBottom w:val="0"/>
      <w:divBdr>
        <w:top w:val="none" w:sz="0" w:space="0" w:color="auto"/>
        <w:left w:val="none" w:sz="0" w:space="0" w:color="auto"/>
        <w:bottom w:val="none" w:sz="0" w:space="0" w:color="auto"/>
        <w:right w:val="none" w:sz="0" w:space="0" w:color="auto"/>
      </w:divBdr>
    </w:div>
    <w:div w:id="301886021">
      <w:marLeft w:val="0"/>
      <w:marRight w:val="0"/>
      <w:marTop w:val="0"/>
      <w:marBottom w:val="0"/>
      <w:divBdr>
        <w:top w:val="none" w:sz="0" w:space="0" w:color="auto"/>
        <w:left w:val="none" w:sz="0" w:space="0" w:color="auto"/>
        <w:bottom w:val="none" w:sz="0" w:space="0" w:color="auto"/>
        <w:right w:val="none" w:sz="0" w:space="0" w:color="auto"/>
      </w:divBdr>
    </w:div>
    <w:div w:id="301886022">
      <w:marLeft w:val="0"/>
      <w:marRight w:val="0"/>
      <w:marTop w:val="0"/>
      <w:marBottom w:val="0"/>
      <w:divBdr>
        <w:top w:val="none" w:sz="0" w:space="0" w:color="auto"/>
        <w:left w:val="none" w:sz="0" w:space="0" w:color="auto"/>
        <w:bottom w:val="none" w:sz="0" w:space="0" w:color="auto"/>
        <w:right w:val="none" w:sz="0" w:space="0" w:color="auto"/>
      </w:divBdr>
    </w:div>
    <w:div w:id="301886023">
      <w:marLeft w:val="0"/>
      <w:marRight w:val="0"/>
      <w:marTop w:val="0"/>
      <w:marBottom w:val="0"/>
      <w:divBdr>
        <w:top w:val="none" w:sz="0" w:space="0" w:color="auto"/>
        <w:left w:val="none" w:sz="0" w:space="0" w:color="auto"/>
        <w:bottom w:val="none" w:sz="0" w:space="0" w:color="auto"/>
        <w:right w:val="none" w:sz="0" w:space="0" w:color="auto"/>
      </w:divBdr>
    </w:div>
    <w:div w:id="301886024">
      <w:marLeft w:val="0"/>
      <w:marRight w:val="0"/>
      <w:marTop w:val="0"/>
      <w:marBottom w:val="0"/>
      <w:divBdr>
        <w:top w:val="none" w:sz="0" w:space="0" w:color="auto"/>
        <w:left w:val="none" w:sz="0" w:space="0" w:color="auto"/>
        <w:bottom w:val="none" w:sz="0" w:space="0" w:color="auto"/>
        <w:right w:val="none" w:sz="0" w:space="0" w:color="auto"/>
      </w:divBdr>
    </w:div>
    <w:div w:id="301886025">
      <w:marLeft w:val="0"/>
      <w:marRight w:val="0"/>
      <w:marTop w:val="0"/>
      <w:marBottom w:val="0"/>
      <w:divBdr>
        <w:top w:val="none" w:sz="0" w:space="0" w:color="auto"/>
        <w:left w:val="none" w:sz="0" w:space="0" w:color="auto"/>
        <w:bottom w:val="none" w:sz="0" w:space="0" w:color="auto"/>
        <w:right w:val="none" w:sz="0" w:space="0" w:color="auto"/>
      </w:divBdr>
    </w:div>
    <w:div w:id="301886026">
      <w:marLeft w:val="0"/>
      <w:marRight w:val="0"/>
      <w:marTop w:val="0"/>
      <w:marBottom w:val="0"/>
      <w:divBdr>
        <w:top w:val="none" w:sz="0" w:space="0" w:color="auto"/>
        <w:left w:val="none" w:sz="0" w:space="0" w:color="auto"/>
        <w:bottom w:val="none" w:sz="0" w:space="0" w:color="auto"/>
        <w:right w:val="none" w:sz="0" w:space="0" w:color="auto"/>
      </w:divBdr>
    </w:div>
    <w:div w:id="301886027">
      <w:marLeft w:val="0"/>
      <w:marRight w:val="0"/>
      <w:marTop w:val="0"/>
      <w:marBottom w:val="0"/>
      <w:divBdr>
        <w:top w:val="none" w:sz="0" w:space="0" w:color="auto"/>
        <w:left w:val="none" w:sz="0" w:space="0" w:color="auto"/>
        <w:bottom w:val="none" w:sz="0" w:space="0" w:color="auto"/>
        <w:right w:val="none" w:sz="0" w:space="0" w:color="auto"/>
      </w:divBdr>
    </w:div>
    <w:div w:id="301886028">
      <w:marLeft w:val="0"/>
      <w:marRight w:val="0"/>
      <w:marTop w:val="0"/>
      <w:marBottom w:val="0"/>
      <w:divBdr>
        <w:top w:val="none" w:sz="0" w:space="0" w:color="auto"/>
        <w:left w:val="none" w:sz="0" w:space="0" w:color="auto"/>
        <w:bottom w:val="none" w:sz="0" w:space="0" w:color="auto"/>
        <w:right w:val="none" w:sz="0" w:space="0" w:color="auto"/>
      </w:divBdr>
    </w:div>
    <w:div w:id="301886029">
      <w:marLeft w:val="0"/>
      <w:marRight w:val="0"/>
      <w:marTop w:val="0"/>
      <w:marBottom w:val="0"/>
      <w:divBdr>
        <w:top w:val="none" w:sz="0" w:space="0" w:color="auto"/>
        <w:left w:val="none" w:sz="0" w:space="0" w:color="auto"/>
        <w:bottom w:val="none" w:sz="0" w:space="0" w:color="auto"/>
        <w:right w:val="none" w:sz="0" w:space="0" w:color="auto"/>
      </w:divBdr>
    </w:div>
    <w:div w:id="301886030">
      <w:marLeft w:val="0"/>
      <w:marRight w:val="0"/>
      <w:marTop w:val="0"/>
      <w:marBottom w:val="0"/>
      <w:divBdr>
        <w:top w:val="none" w:sz="0" w:space="0" w:color="auto"/>
        <w:left w:val="none" w:sz="0" w:space="0" w:color="auto"/>
        <w:bottom w:val="none" w:sz="0" w:space="0" w:color="auto"/>
        <w:right w:val="none" w:sz="0" w:space="0" w:color="auto"/>
      </w:divBdr>
    </w:div>
    <w:div w:id="301886031">
      <w:marLeft w:val="0"/>
      <w:marRight w:val="0"/>
      <w:marTop w:val="0"/>
      <w:marBottom w:val="0"/>
      <w:divBdr>
        <w:top w:val="none" w:sz="0" w:space="0" w:color="auto"/>
        <w:left w:val="none" w:sz="0" w:space="0" w:color="auto"/>
        <w:bottom w:val="none" w:sz="0" w:space="0" w:color="auto"/>
        <w:right w:val="none" w:sz="0" w:space="0" w:color="auto"/>
      </w:divBdr>
    </w:div>
    <w:div w:id="301886032">
      <w:marLeft w:val="0"/>
      <w:marRight w:val="0"/>
      <w:marTop w:val="0"/>
      <w:marBottom w:val="0"/>
      <w:divBdr>
        <w:top w:val="none" w:sz="0" w:space="0" w:color="auto"/>
        <w:left w:val="none" w:sz="0" w:space="0" w:color="auto"/>
        <w:bottom w:val="none" w:sz="0" w:space="0" w:color="auto"/>
        <w:right w:val="none" w:sz="0" w:space="0" w:color="auto"/>
      </w:divBdr>
    </w:div>
    <w:div w:id="301886033">
      <w:marLeft w:val="0"/>
      <w:marRight w:val="0"/>
      <w:marTop w:val="0"/>
      <w:marBottom w:val="0"/>
      <w:divBdr>
        <w:top w:val="none" w:sz="0" w:space="0" w:color="auto"/>
        <w:left w:val="none" w:sz="0" w:space="0" w:color="auto"/>
        <w:bottom w:val="none" w:sz="0" w:space="0" w:color="auto"/>
        <w:right w:val="none" w:sz="0" w:space="0" w:color="auto"/>
      </w:divBdr>
    </w:div>
    <w:div w:id="301886034">
      <w:marLeft w:val="0"/>
      <w:marRight w:val="0"/>
      <w:marTop w:val="0"/>
      <w:marBottom w:val="0"/>
      <w:divBdr>
        <w:top w:val="none" w:sz="0" w:space="0" w:color="auto"/>
        <w:left w:val="none" w:sz="0" w:space="0" w:color="auto"/>
        <w:bottom w:val="none" w:sz="0" w:space="0" w:color="auto"/>
        <w:right w:val="none" w:sz="0" w:space="0" w:color="auto"/>
      </w:divBdr>
    </w:div>
    <w:div w:id="301886035">
      <w:marLeft w:val="0"/>
      <w:marRight w:val="0"/>
      <w:marTop w:val="0"/>
      <w:marBottom w:val="0"/>
      <w:divBdr>
        <w:top w:val="none" w:sz="0" w:space="0" w:color="auto"/>
        <w:left w:val="none" w:sz="0" w:space="0" w:color="auto"/>
        <w:bottom w:val="none" w:sz="0" w:space="0" w:color="auto"/>
        <w:right w:val="none" w:sz="0" w:space="0" w:color="auto"/>
      </w:divBdr>
    </w:div>
    <w:div w:id="301886036">
      <w:marLeft w:val="0"/>
      <w:marRight w:val="0"/>
      <w:marTop w:val="0"/>
      <w:marBottom w:val="0"/>
      <w:divBdr>
        <w:top w:val="none" w:sz="0" w:space="0" w:color="auto"/>
        <w:left w:val="none" w:sz="0" w:space="0" w:color="auto"/>
        <w:bottom w:val="none" w:sz="0" w:space="0" w:color="auto"/>
        <w:right w:val="none" w:sz="0" w:space="0" w:color="auto"/>
      </w:divBdr>
    </w:div>
    <w:div w:id="301886037">
      <w:marLeft w:val="0"/>
      <w:marRight w:val="0"/>
      <w:marTop w:val="0"/>
      <w:marBottom w:val="0"/>
      <w:divBdr>
        <w:top w:val="none" w:sz="0" w:space="0" w:color="auto"/>
        <w:left w:val="none" w:sz="0" w:space="0" w:color="auto"/>
        <w:bottom w:val="none" w:sz="0" w:space="0" w:color="auto"/>
        <w:right w:val="none" w:sz="0" w:space="0" w:color="auto"/>
      </w:divBdr>
    </w:div>
    <w:div w:id="301886038">
      <w:marLeft w:val="0"/>
      <w:marRight w:val="0"/>
      <w:marTop w:val="0"/>
      <w:marBottom w:val="0"/>
      <w:divBdr>
        <w:top w:val="none" w:sz="0" w:space="0" w:color="auto"/>
        <w:left w:val="none" w:sz="0" w:space="0" w:color="auto"/>
        <w:bottom w:val="none" w:sz="0" w:space="0" w:color="auto"/>
        <w:right w:val="none" w:sz="0" w:space="0" w:color="auto"/>
      </w:divBdr>
      <w:divsChild>
        <w:div w:id="301886012">
          <w:marLeft w:val="0"/>
          <w:marRight w:val="0"/>
          <w:marTop w:val="0"/>
          <w:marBottom w:val="0"/>
          <w:divBdr>
            <w:top w:val="none" w:sz="0" w:space="0" w:color="auto"/>
            <w:left w:val="none" w:sz="0" w:space="0" w:color="auto"/>
            <w:bottom w:val="none" w:sz="0" w:space="0" w:color="auto"/>
            <w:right w:val="none" w:sz="0" w:space="0" w:color="auto"/>
          </w:divBdr>
        </w:div>
      </w:divsChild>
    </w:div>
    <w:div w:id="301886039">
      <w:marLeft w:val="0"/>
      <w:marRight w:val="0"/>
      <w:marTop w:val="0"/>
      <w:marBottom w:val="0"/>
      <w:divBdr>
        <w:top w:val="none" w:sz="0" w:space="0" w:color="auto"/>
        <w:left w:val="none" w:sz="0" w:space="0" w:color="auto"/>
        <w:bottom w:val="none" w:sz="0" w:space="0" w:color="auto"/>
        <w:right w:val="none" w:sz="0" w:space="0" w:color="auto"/>
      </w:divBdr>
    </w:div>
    <w:div w:id="301886041">
      <w:marLeft w:val="0"/>
      <w:marRight w:val="0"/>
      <w:marTop w:val="0"/>
      <w:marBottom w:val="0"/>
      <w:divBdr>
        <w:top w:val="none" w:sz="0" w:space="0" w:color="auto"/>
        <w:left w:val="none" w:sz="0" w:space="0" w:color="auto"/>
        <w:bottom w:val="none" w:sz="0" w:space="0" w:color="auto"/>
        <w:right w:val="none" w:sz="0" w:space="0" w:color="auto"/>
      </w:divBdr>
    </w:div>
    <w:div w:id="301886042">
      <w:marLeft w:val="0"/>
      <w:marRight w:val="0"/>
      <w:marTop w:val="0"/>
      <w:marBottom w:val="0"/>
      <w:divBdr>
        <w:top w:val="none" w:sz="0" w:space="0" w:color="auto"/>
        <w:left w:val="none" w:sz="0" w:space="0" w:color="auto"/>
        <w:bottom w:val="none" w:sz="0" w:space="0" w:color="auto"/>
        <w:right w:val="none" w:sz="0" w:space="0" w:color="auto"/>
      </w:divBdr>
    </w:div>
    <w:div w:id="301886043">
      <w:marLeft w:val="0"/>
      <w:marRight w:val="0"/>
      <w:marTop w:val="0"/>
      <w:marBottom w:val="0"/>
      <w:divBdr>
        <w:top w:val="none" w:sz="0" w:space="0" w:color="auto"/>
        <w:left w:val="none" w:sz="0" w:space="0" w:color="auto"/>
        <w:bottom w:val="none" w:sz="0" w:space="0" w:color="auto"/>
        <w:right w:val="none" w:sz="0" w:space="0" w:color="auto"/>
      </w:divBdr>
    </w:div>
    <w:div w:id="301886044">
      <w:marLeft w:val="0"/>
      <w:marRight w:val="0"/>
      <w:marTop w:val="0"/>
      <w:marBottom w:val="0"/>
      <w:divBdr>
        <w:top w:val="none" w:sz="0" w:space="0" w:color="auto"/>
        <w:left w:val="none" w:sz="0" w:space="0" w:color="auto"/>
        <w:bottom w:val="none" w:sz="0" w:space="0" w:color="auto"/>
        <w:right w:val="none" w:sz="0" w:space="0" w:color="auto"/>
      </w:divBdr>
    </w:div>
    <w:div w:id="301886045">
      <w:marLeft w:val="0"/>
      <w:marRight w:val="0"/>
      <w:marTop w:val="0"/>
      <w:marBottom w:val="0"/>
      <w:divBdr>
        <w:top w:val="none" w:sz="0" w:space="0" w:color="auto"/>
        <w:left w:val="none" w:sz="0" w:space="0" w:color="auto"/>
        <w:bottom w:val="none" w:sz="0" w:space="0" w:color="auto"/>
        <w:right w:val="none" w:sz="0" w:space="0" w:color="auto"/>
      </w:divBdr>
    </w:div>
    <w:div w:id="301886046">
      <w:marLeft w:val="0"/>
      <w:marRight w:val="0"/>
      <w:marTop w:val="0"/>
      <w:marBottom w:val="0"/>
      <w:divBdr>
        <w:top w:val="none" w:sz="0" w:space="0" w:color="auto"/>
        <w:left w:val="none" w:sz="0" w:space="0" w:color="auto"/>
        <w:bottom w:val="none" w:sz="0" w:space="0" w:color="auto"/>
        <w:right w:val="none" w:sz="0" w:space="0" w:color="auto"/>
      </w:divBdr>
    </w:div>
    <w:div w:id="349986430">
      <w:bodyDiv w:val="1"/>
      <w:marLeft w:val="0"/>
      <w:marRight w:val="0"/>
      <w:marTop w:val="0"/>
      <w:marBottom w:val="0"/>
      <w:divBdr>
        <w:top w:val="none" w:sz="0" w:space="0" w:color="auto"/>
        <w:left w:val="none" w:sz="0" w:space="0" w:color="auto"/>
        <w:bottom w:val="none" w:sz="0" w:space="0" w:color="auto"/>
        <w:right w:val="none" w:sz="0" w:space="0" w:color="auto"/>
      </w:divBdr>
    </w:div>
    <w:div w:id="350567188">
      <w:bodyDiv w:val="1"/>
      <w:marLeft w:val="0"/>
      <w:marRight w:val="0"/>
      <w:marTop w:val="0"/>
      <w:marBottom w:val="0"/>
      <w:divBdr>
        <w:top w:val="none" w:sz="0" w:space="0" w:color="auto"/>
        <w:left w:val="none" w:sz="0" w:space="0" w:color="auto"/>
        <w:bottom w:val="none" w:sz="0" w:space="0" w:color="auto"/>
        <w:right w:val="none" w:sz="0" w:space="0" w:color="auto"/>
      </w:divBdr>
      <w:divsChild>
        <w:div w:id="1247107652">
          <w:marLeft w:val="0"/>
          <w:marRight w:val="0"/>
          <w:marTop w:val="0"/>
          <w:marBottom w:val="0"/>
          <w:divBdr>
            <w:top w:val="none" w:sz="0" w:space="0" w:color="auto"/>
            <w:left w:val="none" w:sz="0" w:space="0" w:color="auto"/>
            <w:bottom w:val="none" w:sz="0" w:space="0" w:color="auto"/>
            <w:right w:val="none" w:sz="0" w:space="0" w:color="auto"/>
          </w:divBdr>
        </w:div>
      </w:divsChild>
    </w:div>
    <w:div w:id="371535789">
      <w:bodyDiv w:val="1"/>
      <w:marLeft w:val="0"/>
      <w:marRight w:val="0"/>
      <w:marTop w:val="0"/>
      <w:marBottom w:val="0"/>
      <w:divBdr>
        <w:top w:val="none" w:sz="0" w:space="0" w:color="auto"/>
        <w:left w:val="none" w:sz="0" w:space="0" w:color="auto"/>
        <w:bottom w:val="none" w:sz="0" w:space="0" w:color="auto"/>
        <w:right w:val="none" w:sz="0" w:space="0" w:color="auto"/>
      </w:divBdr>
    </w:div>
    <w:div w:id="371729775">
      <w:bodyDiv w:val="1"/>
      <w:marLeft w:val="0"/>
      <w:marRight w:val="0"/>
      <w:marTop w:val="0"/>
      <w:marBottom w:val="0"/>
      <w:divBdr>
        <w:top w:val="none" w:sz="0" w:space="0" w:color="auto"/>
        <w:left w:val="none" w:sz="0" w:space="0" w:color="auto"/>
        <w:bottom w:val="none" w:sz="0" w:space="0" w:color="auto"/>
        <w:right w:val="none" w:sz="0" w:space="0" w:color="auto"/>
      </w:divBdr>
    </w:div>
    <w:div w:id="379745586">
      <w:bodyDiv w:val="1"/>
      <w:marLeft w:val="0"/>
      <w:marRight w:val="0"/>
      <w:marTop w:val="0"/>
      <w:marBottom w:val="0"/>
      <w:divBdr>
        <w:top w:val="none" w:sz="0" w:space="0" w:color="auto"/>
        <w:left w:val="none" w:sz="0" w:space="0" w:color="auto"/>
        <w:bottom w:val="none" w:sz="0" w:space="0" w:color="auto"/>
        <w:right w:val="none" w:sz="0" w:space="0" w:color="auto"/>
      </w:divBdr>
    </w:div>
    <w:div w:id="404257979">
      <w:bodyDiv w:val="1"/>
      <w:marLeft w:val="0"/>
      <w:marRight w:val="0"/>
      <w:marTop w:val="0"/>
      <w:marBottom w:val="0"/>
      <w:divBdr>
        <w:top w:val="none" w:sz="0" w:space="0" w:color="auto"/>
        <w:left w:val="none" w:sz="0" w:space="0" w:color="auto"/>
        <w:bottom w:val="none" w:sz="0" w:space="0" w:color="auto"/>
        <w:right w:val="none" w:sz="0" w:space="0" w:color="auto"/>
      </w:divBdr>
    </w:div>
    <w:div w:id="434442396">
      <w:bodyDiv w:val="1"/>
      <w:marLeft w:val="0"/>
      <w:marRight w:val="0"/>
      <w:marTop w:val="0"/>
      <w:marBottom w:val="0"/>
      <w:divBdr>
        <w:top w:val="none" w:sz="0" w:space="0" w:color="auto"/>
        <w:left w:val="none" w:sz="0" w:space="0" w:color="auto"/>
        <w:bottom w:val="none" w:sz="0" w:space="0" w:color="auto"/>
        <w:right w:val="none" w:sz="0" w:space="0" w:color="auto"/>
      </w:divBdr>
    </w:div>
    <w:div w:id="456947682">
      <w:bodyDiv w:val="1"/>
      <w:marLeft w:val="0"/>
      <w:marRight w:val="0"/>
      <w:marTop w:val="0"/>
      <w:marBottom w:val="0"/>
      <w:divBdr>
        <w:top w:val="none" w:sz="0" w:space="0" w:color="auto"/>
        <w:left w:val="none" w:sz="0" w:space="0" w:color="auto"/>
        <w:bottom w:val="none" w:sz="0" w:space="0" w:color="auto"/>
        <w:right w:val="none" w:sz="0" w:space="0" w:color="auto"/>
      </w:divBdr>
    </w:div>
    <w:div w:id="500513257">
      <w:bodyDiv w:val="1"/>
      <w:marLeft w:val="0"/>
      <w:marRight w:val="0"/>
      <w:marTop w:val="0"/>
      <w:marBottom w:val="0"/>
      <w:divBdr>
        <w:top w:val="none" w:sz="0" w:space="0" w:color="auto"/>
        <w:left w:val="none" w:sz="0" w:space="0" w:color="auto"/>
        <w:bottom w:val="none" w:sz="0" w:space="0" w:color="auto"/>
        <w:right w:val="none" w:sz="0" w:space="0" w:color="auto"/>
      </w:divBdr>
    </w:div>
    <w:div w:id="515465561">
      <w:bodyDiv w:val="1"/>
      <w:marLeft w:val="0"/>
      <w:marRight w:val="0"/>
      <w:marTop w:val="0"/>
      <w:marBottom w:val="0"/>
      <w:divBdr>
        <w:top w:val="none" w:sz="0" w:space="0" w:color="auto"/>
        <w:left w:val="none" w:sz="0" w:space="0" w:color="auto"/>
        <w:bottom w:val="none" w:sz="0" w:space="0" w:color="auto"/>
        <w:right w:val="none" w:sz="0" w:space="0" w:color="auto"/>
      </w:divBdr>
    </w:div>
    <w:div w:id="553467772">
      <w:bodyDiv w:val="1"/>
      <w:marLeft w:val="0"/>
      <w:marRight w:val="0"/>
      <w:marTop w:val="0"/>
      <w:marBottom w:val="0"/>
      <w:divBdr>
        <w:top w:val="none" w:sz="0" w:space="0" w:color="auto"/>
        <w:left w:val="none" w:sz="0" w:space="0" w:color="auto"/>
        <w:bottom w:val="none" w:sz="0" w:space="0" w:color="auto"/>
        <w:right w:val="none" w:sz="0" w:space="0" w:color="auto"/>
      </w:divBdr>
    </w:div>
    <w:div w:id="572854519">
      <w:bodyDiv w:val="1"/>
      <w:marLeft w:val="0"/>
      <w:marRight w:val="0"/>
      <w:marTop w:val="0"/>
      <w:marBottom w:val="0"/>
      <w:divBdr>
        <w:top w:val="none" w:sz="0" w:space="0" w:color="auto"/>
        <w:left w:val="none" w:sz="0" w:space="0" w:color="auto"/>
        <w:bottom w:val="none" w:sz="0" w:space="0" w:color="auto"/>
        <w:right w:val="none" w:sz="0" w:space="0" w:color="auto"/>
      </w:divBdr>
    </w:div>
    <w:div w:id="573857543">
      <w:bodyDiv w:val="1"/>
      <w:marLeft w:val="0"/>
      <w:marRight w:val="0"/>
      <w:marTop w:val="0"/>
      <w:marBottom w:val="0"/>
      <w:divBdr>
        <w:top w:val="none" w:sz="0" w:space="0" w:color="auto"/>
        <w:left w:val="none" w:sz="0" w:space="0" w:color="auto"/>
        <w:bottom w:val="none" w:sz="0" w:space="0" w:color="auto"/>
        <w:right w:val="none" w:sz="0" w:space="0" w:color="auto"/>
      </w:divBdr>
    </w:div>
    <w:div w:id="586305474">
      <w:bodyDiv w:val="1"/>
      <w:marLeft w:val="0"/>
      <w:marRight w:val="0"/>
      <w:marTop w:val="0"/>
      <w:marBottom w:val="0"/>
      <w:divBdr>
        <w:top w:val="none" w:sz="0" w:space="0" w:color="auto"/>
        <w:left w:val="none" w:sz="0" w:space="0" w:color="auto"/>
        <w:bottom w:val="none" w:sz="0" w:space="0" w:color="auto"/>
        <w:right w:val="none" w:sz="0" w:space="0" w:color="auto"/>
      </w:divBdr>
    </w:div>
    <w:div w:id="594557898">
      <w:bodyDiv w:val="1"/>
      <w:marLeft w:val="0"/>
      <w:marRight w:val="0"/>
      <w:marTop w:val="0"/>
      <w:marBottom w:val="0"/>
      <w:divBdr>
        <w:top w:val="none" w:sz="0" w:space="0" w:color="auto"/>
        <w:left w:val="none" w:sz="0" w:space="0" w:color="auto"/>
        <w:bottom w:val="none" w:sz="0" w:space="0" w:color="auto"/>
        <w:right w:val="none" w:sz="0" w:space="0" w:color="auto"/>
      </w:divBdr>
      <w:divsChild>
        <w:div w:id="939527433">
          <w:marLeft w:val="0"/>
          <w:marRight w:val="0"/>
          <w:marTop w:val="0"/>
          <w:marBottom w:val="0"/>
          <w:divBdr>
            <w:top w:val="none" w:sz="0" w:space="0" w:color="auto"/>
            <w:left w:val="none" w:sz="0" w:space="0" w:color="auto"/>
            <w:bottom w:val="none" w:sz="0" w:space="0" w:color="auto"/>
            <w:right w:val="none" w:sz="0" w:space="0" w:color="auto"/>
          </w:divBdr>
        </w:div>
      </w:divsChild>
    </w:div>
    <w:div w:id="603460378">
      <w:bodyDiv w:val="1"/>
      <w:marLeft w:val="0"/>
      <w:marRight w:val="0"/>
      <w:marTop w:val="0"/>
      <w:marBottom w:val="0"/>
      <w:divBdr>
        <w:top w:val="none" w:sz="0" w:space="0" w:color="auto"/>
        <w:left w:val="none" w:sz="0" w:space="0" w:color="auto"/>
        <w:bottom w:val="none" w:sz="0" w:space="0" w:color="auto"/>
        <w:right w:val="none" w:sz="0" w:space="0" w:color="auto"/>
      </w:divBdr>
    </w:div>
    <w:div w:id="618225896">
      <w:bodyDiv w:val="1"/>
      <w:marLeft w:val="0"/>
      <w:marRight w:val="0"/>
      <w:marTop w:val="0"/>
      <w:marBottom w:val="0"/>
      <w:divBdr>
        <w:top w:val="none" w:sz="0" w:space="0" w:color="auto"/>
        <w:left w:val="none" w:sz="0" w:space="0" w:color="auto"/>
        <w:bottom w:val="none" w:sz="0" w:space="0" w:color="auto"/>
        <w:right w:val="none" w:sz="0" w:space="0" w:color="auto"/>
      </w:divBdr>
    </w:div>
    <w:div w:id="628512216">
      <w:bodyDiv w:val="1"/>
      <w:marLeft w:val="0"/>
      <w:marRight w:val="0"/>
      <w:marTop w:val="0"/>
      <w:marBottom w:val="0"/>
      <w:divBdr>
        <w:top w:val="none" w:sz="0" w:space="0" w:color="auto"/>
        <w:left w:val="none" w:sz="0" w:space="0" w:color="auto"/>
        <w:bottom w:val="none" w:sz="0" w:space="0" w:color="auto"/>
        <w:right w:val="none" w:sz="0" w:space="0" w:color="auto"/>
      </w:divBdr>
      <w:divsChild>
        <w:div w:id="808202768">
          <w:marLeft w:val="0"/>
          <w:marRight w:val="0"/>
          <w:marTop w:val="0"/>
          <w:marBottom w:val="0"/>
          <w:divBdr>
            <w:top w:val="none" w:sz="0" w:space="0" w:color="auto"/>
            <w:left w:val="none" w:sz="0" w:space="0" w:color="auto"/>
            <w:bottom w:val="none" w:sz="0" w:space="0" w:color="auto"/>
            <w:right w:val="none" w:sz="0" w:space="0" w:color="auto"/>
          </w:divBdr>
        </w:div>
      </w:divsChild>
    </w:div>
    <w:div w:id="658341090">
      <w:bodyDiv w:val="1"/>
      <w:marLeft w:val="0"/>
      <w:marRight w:val="0"/>
      <w:marTop w:val="0"/>
      <w:marBottom w:val="0"/>
      <w:divBdr>
        <w:top w:val="none" w:sz="0" w:space="0" w:color="auto"/>
        <w:left w:val="none" w:sz="0" w:space="0" w:color="auto"/>
        <w:bottom w:val="none" w:sz="0" w:space="0" w:color="auto"/>
        <w:right w:val="none" w:sz="0" w:space="0" w:color="auto"/>
      </w:divBdr>
    </w:div>
    <w:div w:id="693120327">
      <w:bodyDiv w:val="1"/>
      <w:marLeft w:val="0"/>
      <w:marRight w:val="0"/>
      <w:marTop w:val="0"/>
      <w:marBottom w:val="0"/>
      <w:divBdr>
        <w:top w:val="none" w:sz="0" w:space="0" w:color="auto"/>
        <w:left w:val="none" w:sz="0" w:space="0" w:color="auto"/>
        <w:bottom w:val="none" w:sz="0" w:space="0" w:color="auto"/>
        <w:right w:val="none" w:sz="0" w:space="0" w:color="auto"/>
      </w:divBdr>
    </w:div>
    <w:div w:id="735126186">
      <w:bodyDiv w:val="1"/>
      <w:marLeft w:val="0"/>
      <w:marRight w:val="0"/>
      <w:marTop w:val="0"/>
      <w:marBottom w:val="0"/>
      <w:divBdr>
        <w:top w:val="none" w:sz="0" w:space="0" w:color="auto"/>
        <w:left w:val="none" w:sz="0" w:space="0" w:color="auto"/>
        <w:bottom w:val="none" w:sz="0" w:space="0" w:color="auto"/>
        <w:right w:val="none" w:sz="0" w:space="0" w:color="auto"/>
      </w:divBdr>
    </w:div>
    <w:div w:id="738669326">
      <w:bodyDiv w:val="1"/>
      <w:marLeft w:val="0"/>
      <w:marRight w:val="0"/>
      <w:marTop w:val="0"/>
      <w:marBottom w:val="0"/>
      <w:divBdr>
        <w:top w:val="none" w:sz="0" w:space="0" w:color="auto"/>
        <w:left w:val="none" w:sz="0" w:space="0" w:color="auto"/>
        <w:bottom w:val="none" w:sz="0" w:space="0" w:color="auto"/>
        <w:right w:val="none" w:sz="0" w:space="0" w:color="auto"/>
      </w:divBdr>
    </w:div>
    <w:div w:id="740249444">
      <w:bodyDiv w:val="1"/>
      <w:marLeft w:val="0"/>
      <w:marRight w:val="0"/>
      <w:marTop w:val="0"/>
      <w:marBottom w:val="0"/>
      <w:divBdr>
        <w:top w:val="none" w:sz="0" w:space="0" w:color="auto"/>
        <w:left w:val="none" w:sz="0" w:space="0" w:color="auto"/>
        <w:bottom w:val="none" w:sz="0" w:space="0" w:color="auto"/>
        <w:right w:val="none" w:sz="0" w:space="0" w:color="auto"/>
      </w:divBdr>
    </w:div>
    <w:div w:id="826819820">
      <w:bodyDiv w:val="1"/>
      <w:marLeft w:val="0"/>
      <w:marRight w:val="0"/>
      <w:marTop w:val="0"/>
      <w:marBottom w:val="0"/>
      <w:divBdr>
        <w:top w:val="none" w:sz="0" w:space="0" w:color="auto"/>
        <w:left w:val="none" w:sz="0" w:space="0" w:color="auto"/>
        <w:bottom w:val="none" w:sz="0" w:space="0" w:color="auto"/>
        <w:right w:val="none" w:sz="0" w:space="0" w:color="auto"/>
      </w:divBdr>
    </w:div>
    <w:div w:id="829716073">
      <w:bodyDiv w:val="1"/>
      <w:marLeft w:val="0"/>
      <w:marRight w:val="0"/>
      <w:marTop w:val="0"/>
      <w:marBottom w:val="0"/>
      <w:divBdr>
        <w:top w:val="none" w:sz="0" w:space="0" w:color="auto"/>
        <w:left w:val="none" w:sz="0" w:space="0" w:color="auto"/>
        <w:bottom w:val="none" w:sz="0" w:space="0" w:color="auto"/>
        <w:right w:val="none" w:sz="0" w:space="0" w:color="auto"/>
      </w:divBdr>
      <w:divsChild>
        <w:div w:id="2129544635">
          <w:marLeft w:val="0"/>
          <w:marRight w:val="0"/>
          <w:marTop w:val="0"/>
          <w:marBottom w:val="0"/>
          <w:divBdr>
            <w:top w:val="none" w:sz="0" w:space="0" w:color="auto"/>
            <w:left w:val="none" w:sz="0" w:space="0" w:color="auto"/>
            <w:bottom w:val="none" w:sz="0" w:space="0" w:color="auto"/>
            <w:right w:val="none" w:sz="0" w:space="0" w:color="auto"/>
          </w:divBdr>
        </w:div>
      </w:divsChild>
    </w:div>
    <w:div w:id="908539276">
      <w:bodyDiv w:val="1"/>
      <w:marLeft w:val="0"/>
      <w:marRight w:val="0"/>
      <w:marTop w:val="0"/>
      <w:marBottom w:val="0"/>
      <w:divBdr>
        <w:top w:val="none" w:sz="0" w:space="0" w:color="auto"/>
        <w:left w:val="none" w:sz="0" w:space="0" w:color="auto"/>
        <w:bottom w:val="none" w:sz="0" w:space="0" w:color="auto"/>
        <w:right w:val="none" w:sz="0" w:space="0" w:color="auto"/>
      </w:divBdr>
    </w:div>
    <w:div w:id="918948389">
      <w:bodyDiv w:val="1"/>
      <w:marLeft w:val="0"/>
      <w:marRight w:val="0"/>
      <w:marTop w:val="0"/>
      <w:marBottom w:val="0"/>
      <w:divBdr>
        <w:top w:val="none" w:sz="0" w:space="0" w:color="auto"/>
        <w:left w:val="none" w:sz="0" w:space="0" w:color="auto"/>
        <w:bottom w:val="none" w:sz="0" w:space="0" w:color="auto"/>
        <w:right w:val="none" w:sz="0" w:space="0" w:color="auto"/>
      </w:divBdr>
    </w:div>
    <w:div w:id="1018237254">
      <w:bodyDiv w:val="1"/>
      <w:marLeft w:val="0"/>
      <w:marRight w:val="0"/>
      <w:marTop w:val="0"/>
      <w:marBottom w:val="0"/>
      <w:divBdr>
        <w:top w:val="none" w:sz="0" w:space="0" w:color="auto"/>
        <w:left w:val="none" w:sz="0" w:space="0" w:color="auto"/>
        <w:bottom w:val="none" w:sz="0" w:space="0" w:color="auto"/>
        <w:right w:val="none" w:sz="0" w:space="0" w:color="auto"/>
      </w:divBdr>
    </w:div>
    <w:div w:id="1047025881">
      <w:bodyDiv w:val="1"/>
      <w:marLeft w:val="0"/>
      <w:marRight w:val="0"/>
      <w:marTop w:val="0"/>
      <w:marBottom w:val="0"/>
      <w:divBdr>
        <w:top w:val="none" w:sz="0" w:space="0" w:color="auto"/>
        <w:left w:val="none" w:sz="0" w:space="0" w:color="auto"/>
        <w:bottom w:val="none" w:sz="0" w:space="0" w:color="auto"/>
        <w:right w:val="none" w:sz="0" w:space="0" w:color="auto"/>
      </w:divBdr>
    </w:div>
    <w:div w:id="1047029589">
      <w:bodyDiv w:val="1"/>
      <w:marLeft w:val="0"/>
      <w:marRight w:val="0"/>
      <w:marTop w:val="0"/>
      <w:marBottom w:val="0"/>
      <w:divBdr>
        <w:top w:val="none" w:sz="0" w:space="0" w:color="auto"/>
        <w:left w:val="none" w:sz="0" w:space="0" w:color="auto"/>
        <w:bottom w:val="none" w:sz="0" w:space="0" w:color="auto"/>
        <w:right w:val="none" w:sz="0" w:space="0" w:color="auto"/>
      </w:divBdr>
    </w:div>
    <w:div w:id="1049690149">
      <w:bodyDiv w:val="1"/>
      <w:marLeft w:val="0"/>
      <w:marRight w:val="0"/>
      <w:marTop w:val="0"/>
      <w:marBottom w:val="0"/>
      <w:divBdr>
        <w:top w:val="none" w:sz="0" w:space="0" w:color="auto"/>
        <w:left w:val="none" w:sz="0" w:space="0" w:color="auto"/>
        <w:bottom w:val="none" w:sz="0" w:space="0" w:color="auto"/>
        <w:right w:val="none" w:sz="0" w:space="0" w:color="auto"/>
      </w:divBdr>
    </w:div>
    <w:div w:id="1062295284">
      <w:bodyDiv w:val="1"/>
      <w:marLeft w:val="0"/>
      <w:marRight w:val="0"/>
      <w:marTop w:val="0"/>
      <w:marBottom w:val="0"/>
      <w:divBdr>
        <w:top w:val="none" w:sz="0" w:space="0" w:color="auto"/>
        <w:left w:val="none" w:sz="0" w:space="0" w:color="auto"/>
        <w:bottom w:val="none" w:sz="0" w:space="0" w:color="auto"/>
        <w:right w:val="none" w:sz="0" w:space="0" w:color="auto"/>
      </w:divBdr>
    </w:div>
    <w:div w:id="1070929816">
      <w:bodyDiv w:val="1"/>
      <w:marLeft w:val="0"/>
      <w:marRight w:val="0"/>
      <w:marTop w:val="0"/>
      <w:marBottom w:val="0"/>
      <w:divBdr>
        <w:top w:val="none" w:sz="0" w:space="0" w:color="auto"/>
        <w:left w:val="none" w:sz="0" w:space="0" w:color="auto"/>
        <w:bottom w:val="none" w:sz="0" w:space="0" w:color="auto"/>
        <w:right w:val="none" w:sz="0" w:space="0" w:color="auto"/>
      </w:divBdr>
    </w:div>
    <w:div w:id="1072386390">
      <w:bodyDiv w:val="1"/>
      <w:marLeft w:val="0"/>
      <w:marRight w:val="0"/>
      <w:marTop w:val="0"/>
      <w:marBottom w:val="0"/>
      <w:divBdr>
        <w:top w:val="none" w:sz="0" w:space="0" w:color="auto"/>
        <w:left w:val="none" w:sz="0" w:space="0" w:color="auto"/>
        <w:bottom w:val="none" w:sz="0" w:space="0" w:color="auto"/>
        <w:right w:val="none" w:sz="0" w:space="0" w:color="auto"/>
      </w:divBdr>
    </w:div>
    <w:div w:id="1079864147">
      <w:bodyDiv w:val="1"/>
      <w:marLeft w:val="0"/>
      <w:marRight w:val="0"/>
      <w:marTop w:val="0"/>
      <w:marBottom w:val="0"/>
      <w:divBdr>
        <w:top w:val="none" w:sz="0" w:space="0" w:color="auto"/>
        <w:left w:val="none" w:sz="0" w:space="0" w:color="auto"/>
        <w:bottom w:val="none" w:sz="0" w:space="0" w:color="auto"/>
        <w:right w:val="none" w:sz="0" w:space="0" w:color="auto"/>
      </w:divBdr>
    </w:div>
    <w:div w:id="1103964691">
      <w:bodyDiv w:val="1"/>
      <w:marLeft w:val="0"/>
      <w:marRight w:val="0"/>
      <w:marTop w:val="0"/>
      <w:marBottom w:val="0"/>
      <w:divBdr>
        <w:top w:val="none" w:sz="0" w:space="0" w:color="auto"/>
        <w:left w:val="none" w:sz="0" w:space="0" w:color="auto"/>
        <w:bottom w:val="none" w:sz="0" w:space="0" w:color="auto"/>
        <w:right w:val="none" w:sz="0" w:space="0" w:color="auto"/>
      </w:divBdr>
    </w:div>
    <w:div w:id="1104576132">
      <w:bodyDiv w:val="1"/>
      <w:marLeft w:val="0"/>
      <w:marRight w:val="0"/>
      <w:marTop w:val="0"/>
      <w:marBottom w:val="0"/>
      <w:divBdr>
        <w:top w:val="none" w:sz="0" w:space="0" w:color="auto"/>
        <w:left w:val="none" w:sz="0" w:space="0" w:color="auto"/>
        <w:bottom w:val="none" w:sz="0" w:space="0" w:color="auto"/>
        <w:right w:val="none" w:sz="0" w:space="0" w:color="auto"/>
      </w:divBdr>
    </w:div>
    <w:div w:id="1107889672">
      <w:bodyDiv w:val="1"/>
      <w:marLeft w:val="0"/>
      <w:marRight w:val="0"/>
      <w:marTop w:val="0"/>
      <w:marBottom w:val="0"/>
      <w:divBdr>
        <w:top w:val="none" w:sz="0" w:space="0" w:color="auto"/>
        <w:left w:val="none" w:sz="0" w:space="0" w:color="auto"/>
        <w:bottom w:val="none" w:sz="0" w:space="0" w:color="auto"/>
        <w:right w:val="none" w:sz="0" w:space="0" w:color="auto"/>
      </w:divBdr>
    </w:div>
    <w:div w:id="1108161298">
      <w:bodyDiv w:val="1"/>
      <w:marLeft w:val="0"/>
      <w:marRight w:val="0"/>
      <w:marTop w:val="0"/>
      <w:marBottom w:val="0"/>
      <w:divBdr>
        <w:top w:val="none" w:sz="0" w:space="0" w:color="auto"/>
        <w:left w:val="none" w:sz="0" w:space="0" w:color="auto"/>
        <w:bottom w:val="none" w:sz="0" w:space="0" w:color="auto"/>
        <w:right w:val="none" w:sz="0" w:space="0" w:color="auto"/>
      </w:divBdr>
    </w:div>
    <w:div w:id="1192718742">
      <w:bodyDiv w:val="1"/>
      <w:marLeft w:val="0"/>
      <w:marRight w:val="0"/>
      <w:marTop w:val="0"/>
      <w:marBottom w:val="0"/>
      <w:divBdr>
        <w:top w:val="none" w:sz="0" w:space="0" w:color="auto"/>
        <w:left w:val="none" w:sz="0" w:space="0" w:color="auto"/>
        <w:bottom w:val="none" w:sz="0" w:space="0" w:color="auto"/>
        <w:right w:val="none" w:sz="0" w:space="0" w:color="auto"/>
      </w:divBdr>
    </w:div>
    <w:div w:id="1237476002">
      <w:bodyDiv w:val="1"/>
      <w:marLeft w:val="0"/>
      <w:marRight w:val="0"/>
      <w:marTop w:val="0"/>
      <w:marBottom w:val="0"/>
      <w:divBdr>
        <w:top w:val="none" w:sz="0" w:space="0" w:color="auto"/>
        <w:left w:val="none" w:sz="0" w:space="0" w:color="auto"/>
        <w:bottom w:val="none" w:sz="0" w:space="0" w:color="auto"/>
        <w:right w:val="none" w:sz="0" w:space="0" w:color="auto"/>
      </w:divBdr>
    </w:div>
    <w:div w:id="1238244289">
      <w:bodyDiv w:val="1"/>
      <w:marLeft w:val="0"/>
      <w:marRight w:val="0"/>
      <w:marTop w:val="0"/>
      <w:marBottom w:val="0"/>
      <w:divBdr>
        <w:top w:val="none" w:sz="0" w:space="0" w:color="auto"/>
        <w:left w:val="none" w:sz="0" w:space="0" w:color="auto"/>
        <w:bottom w:val="none" w:sz="0" w:space="0" w:color="auto"/>
        <w:right w:val="none" w:sz="0" w:space="0" w:color="auto"/>
      </w:divBdr>
    </w:div>
    <w:div w:id="1258363008">
      <w:bodyDiv w:val="1"/>
      <w:marLeft w:val="0"/>
      <w:marRight w:val="0"/>
      <w:marTop w:val="0"/>
      <w:marBottom w:val="0"/>
      <w:divBdr>
        <w:top w:val="none" w:sz="0" w:space="0" w:color="auto"/>
        <w:left w:val="none" w:sz="0" w:space="0" w:color="auto"/>
        <w:bottom w:val="none" w:sz="0" w:space="0" w:color="auto"/>
        <w:right w:val="none" w:sz="0" w:space="0" w:color="auto"/>
      </w:divBdr>
    </w:div>
    <w:div w:id="1276207194">
      <w:bodyDiv w:val="1"/>
      <w:marLeft w:val="0"/>
      <w:marRight w:val="0"/>
      <w:marTop w:val="0"/>
      <w:marBottom w:val="0"/>
      <w:divBdr>
        <w:top w:val="none" w:sz="0" w:space="0" w:color="auto"/>
        <w:left w:val="none" w:sz="0" w:space="0" w:color="auto"/>
        <w:bottom w:val="none" w:sz="0" w:space="0" w:color="auto"/>
        <w:right w:val="none" w:sz="0" w:space="0" w:color="auto"/>
      </w:divBdr>
    </w:div>
    <w:div w:id="1296254203">
      <w:bodyDiv w:val="1"/>
      <w:marLeft w:val="0"/>
      <w:marRight w:val="0"/>
      <w:marTop w:val="0"/>
      <w:marBottom w:val="0"/>
      <w:divBdr>
        <w:top w:val="none" w:sz="0" w:space="0" w:color="auto"/>
        <w:left w:val="none" w:sz="0" w:space="0" w:color="auto"/>
        <w:bottom w:val="none" w:sz="0" w:space="0" w:color="auto"/>
        <w:right w:val="none" w:sz="0" w:space="0" w:color="auto"/>
      </w:divBdr>
    </w:div>
    <w:div w:id="1339573951">
      <w:bodyDiv w:val="1"/>
      <w:marLeft w:val="0"/>
      <w:marRight w:val="0"/>
      <w:marTop w:val="0"/>
      <w:marBottom w:val="0"/>
      <w:divBdr>
        <w:top w:val="none" w:sz="0" w:space="0" w:color="auto"/>
        <w:left w:val="none" w:sz="0" w:space="0" w:color="auto"/>
        <w:bottom w:val="none" w:sz="0" w:space="0" w:color="auto"/>
        <w:right w:val="none" w:sz="0" w:space="0" w:color="auto"/>
      </w:divBdr>
      <w:divsChild>
        <w:div w:id="293297214">
          <w:marLeft w:val="0"/>
          <w:marRight w:val="0"/>
          <w:marTop w:val="0"/>
          <w:marBottom w:val="0"/>
          <w:divBdr>
            <w:top w:val="none" w:sz="0" w:space="0" w:color="auto"/>
            <w:left w:val="none" w:sz="0" w:space="0" w:color="auto"/>
            <w:bottom w:val="none" w:sz="0" w:space="0" w:color="auto"/>
            <w:right w:val="none" w:sz="0" w:space="0" w:color="auto"/>
          </w:divBdr>
        </w:div>
      </w:divsChild>
    </w:div>
    <w:div w:id="1353187894">
      <w:bodyDiv w:val="1"/>
      <w:marLeft w:val="0"/>
      <w:marRight w:val="0"/>
      <w:marTop w:val="0"/>
      <w:marBottom w:val="0"/>
      <w:divBdr>
        <w:top w:val="none" w:sz="0" w:space="0" w:color="auto"/>
        <w:left w:val="none" w:sz="0" w:space="0" w:color="auto"/>
        <w:bottom w:val="none" w:sz="0" w:space="0" w:color="auto"/>
        <w:right w:val="none" w:sz="0" w:space="0" w:color="auto"/>
      </w:divBdr>
    </w:div>
    <w:div w:id="1475878232">
      <w:bodyDiv w:val="1"/>
      <w:marLeft w:val="0"/>
      <w:marRight w:val="0"/>
      <w:marTop w:val="0"/>
      <w:marBottom w:val="0"/>
      <w:divBdr>
        <w:top w:val="none" w:sz="0" w:space="0" w:color="auto"/>
        <w:left w:val="none" w:sz="0" w:space="0" w:color="auto"/>
        <w:bottom w:val="none" w:sz="0" w:space="0" w:color="auto"/>
        <w:right w:val="none" w:sz="0" w:space="0" w:color="auto"/>
      </w:divBdr>
    </w:div>
    <w:div w:id="1481337820">
      <w:bodyDiv w:val="1"/>
      <w:marLeft w:val="0"/>
      <w:marRight w:val="0"/>
      <w:marTop w:val="0"/>
      <w:marBottom w:val="0"/>
      <w:divBdr>
        <w:top w:val="none" w:sz="0" w:space="0" w:color="auto"/>
        <w:left w:val="none" w:sz="0" w:space="0" w:color="auto"/>
        <w:bottom w:val="none" w:sz="0" w:space="0" w:color="auto"/>
        <w:right w:val="none" w:sz="0" w:space="0" w:color="auto"/>
      </w:divBdr>
    </w:div>
    <w:div w:id="1487287306">
      <w:bodyDiv w:val="1"/>
      <w:marLeft w:val="0"/>
      <w:marRight w:val="0"/>
      <w:marTop w:val="0"/>
      <w:marBottom w:val="0"/>
      <w:divBdr>
        <w:top w:val="none" w:sz="0" w:space="0" w:color="auto"/>
        <w:left w:val="none" w:sz="0" w:space="0" w:color="auto"/>
        <w:bottom w:val="none" w:sz="0" w:space="0" w:color="auto"/>
        <w:right w:val="none" w:sz="0" w:space="0" w:color="auto"/>
      </w:divBdr>
    </w:div>
    <w:div w:id="1499006297">
      <w:bodyDiv w:val="1"/>
      <w:marLeft w:val="0"/>
      <w:marRight w:val="0"/>
      <w:marTop w:val="0"/>
      <w:marBottom w:val="0"/>
      <w:divBdr>
        <w:top w:val="none" w:sz="0" w:space="0" w:color="auto"/>
        <w:left w:val="none" w:sz="0" w:space="0" w:color="auto"/>
        <w:bottom w:val="none" w:sz="0" w:space="0" w:color="auto"/>
        <w:right w:val="none" w:sz="0" w:space="0" w:color="auto"/>
      </w:divBdr>
    </w:div>
    <w:div w:id="1594820312">
      <w:bodyDiv w:val="1"/>
      <w:marLeft w:val="0"/>
      <w:marRight w:val="0"/>
      <w:marTop w:val="0"/>
      <w:marBottom w:val="0"/>
      <w:divBdr>
        <w:top w:val="none" w:sz="0" w:space="0" w:color="auto"/>
        <w:left w:val="none" w:sz="0" w:space="0" w:color="auto"/>
        <w:bottom w:val="none" w:sz="0" w:space="0" w:color="auto"/>
        <w:right w:val="none" w:sz="0" w:space="0" w:color="auto"/>
      </w:divBdr>
    </w:div>
    <w:div w:id="1595867814">
      <w:bodyDiv w:val="1"/>
      <w:marLeft w:val="0"/>
      <w:marRight w:val="0"/>
      <w:marTop w:val="0"/>
      <w:marBottom w:val="0"/>
      <w:divBdr>
        <w:top w:val="none" w:sz="0" w:space="0" w:color="auto"/>
        <w:left w:val="none" w:sz="0" w:space="0" w:color="auto"/>
        <w:bottom w:val="none" w:sz="0" w:space="0" w:color="auto"/>
        <w:right w:val="none" w:sz="0" w:space="0" w:color="auto"/>
      </w:divBdr>
    </w:div>
    <w:div w:id="1605260067">
      <w:bodyDiv w:val="1"/>
      <w:marLeft w:val="0"/>
      <w:marRight w:val="0"/>
      <w:marTop w:val="0"/>
      <w:marBottom w:val="0"/>
      <w:divBdr>
        <w:top w:val="none" w:sz="0" w:space="0" w:color="auto"/>
        <w:left w:val="none" w:sz="0" w:space="0" w:color="auto"/>
        <w:bottom w:val="none" w:sz="0" w:space="0" w:color="auto"/>
        <w:right w:val="none" w:sz="0" w:space="0" w:color="auto"/>
      </w:divBdr>
    </w:div>
    <w:div w:id="1608080532">
      <w:bodyDiv w:val="1"/>
      <w:marLeft w:val="0"/>
      <w:marRight w:val="0"/>
      <w:marTop w:val="0"/>
      <w:marBottom w:val="0"/>
      <w:divBdr>
        <w:top w:val="none" w:sz="0" w:space="0" w:color="auto"/>
        <w:left w:val="none" w:sz="0" w:space="0" w:color="auto"/>
        <w:bottom w:val="none" w:sz="0" w:space="0" w:color="auto"/>
        <w:right w:val="none" w:sz="0" w:space="0" w:color="auto"/>
      </w:divBdr>
    </w:div>
    <w:div w:id="1613514125">
      <w:bodyDiv w:val="1"/>
      <w:marLeft w:val="0"/>
      <w:marRight w:val="0"/>
      <w:marTop w:val="0"/>
      <w:marBottom w:val="0"/>
      <w:divBdr>
        <w:top w:val="none" w:sz="0" w:space="0" w:color="auto"/>
        <w:left w:val="none" w:sz="0" w:space="0" w:color="auto"/>
        <w:bottom w:val="none" w:sz="0" w:space="0" w:color="auto"/>
        <w:right w:val="none" w:sz="0" w:space="0" w:color="auto"/>
      </w:divBdr>
    </w:div>
    <w:div w:id="1623535156">
      <w:bodyDiv w:val="1"/>
      <w:marLeft w:val="0"/>
      <w:marRight w:val="0"/>
      <w:marTop w:val="0"/>
      <w:marBottom w:val="0"/>
      <w:divBdr>
        <w:top w:val="none" w:sz="0" w:space="0" w:color="auto"/>
        <w:left w:val="none" w:sz="0" w:space="0" w:color="auto"/>
        <w:bottom w:val="none" w:sz="0" w:space="0" w:color="auto"/>
        <w:right w:val="none" w:sz="0" w:space="0" w:color="auto"/>
      </w:divBdr>
    </w:div>
    <w:div w:id="1639607200">
      <w:bodyDiv w:val="1"/>
      <w:marLeft w:val="0"/>
      <w:marRight w:val="0"/>
      <w:marTop w:val="0"/>
      <w:marBottom w:val="0"/>
      <w:divBdr>
        <w:top w:val="none" w:sz="0" w:space="0" w:color="auto"/>
        <w:left w:val="none" w:sz="0" w:space="0" w:color="auto"/>
        <w:bottom w:val="none" w:sz="0" w:space="0" w:color="auto"/>
        <w:right w:val="none" w:sz="0" w:space="0" w:color="auto"/>
      </w:divBdr>
    </w:div>
    <w:div w:id="1643996398">
      <w:bodyDiv w:val="1"/>
      <w:marLeft w:val="0"/>
      <w:marRight w:val="0"/>
      <w:marTop w:val="0"/>
      <w:marBottom w:val="0"/>
      <w:divBdr>
        <w:top w:val="none" w:sz="0" w:space="0" w:color="auto"/>
        <w:left w:val="none" w:sz="0" w:space="0" w:color="auto"/>
        <w:bottom w:val="none" w:sz="0" w:space="0" w:color="auto"/>
        <w:right w:val="none" w:sz="0" w:space="0" w:color="auto"/>
      </w:divBdr>
    </w:div>
    <w:div w:id="1676415016">
      <w:bodyDiv w:val="1"/>
      <w:marLeft w:val="0"/>
      <w:marRight w:val="0"/>
      <w:marTop w:val="0"/>
      <w:marBottom w:val="0"/>
      <w:divBdr>
        <w:top w:val="none" w:sz="0" w:space="0" w:color="auto"/>
        <w:left w:val="none" w:sz="0" w:space="0" w:color="auto"/>
        <w:bottom w:val="none" w:sz="0" w:space="0" w:color="auto"/>
        <w:right w:val="none" w:sz="0" w:space="0" w:color="auto"/>
      </w:divBdr>
    </w:div>
    <w:div w:id="1684625034">
      <w:bodyDiv w:val="1"/>
      <w:marLeft w:val="0"/>
      <w:marRight w:val="0"/>
      <w:marTop w:val="0"/>
      <w:marBottom w:val="0"/>
      <w:divBdr>
        <w:top w:val="none" w:sz="0" w:space="0" w:color="auto"/>
        <w:left w:val="none" w:sz="0" w:space="0" w:color="auto"/>
        <w:bottom w:val="none" w:sz="0" w:space="0" w:color="auto"/>
        <w:right w:val="none" w:sz="0" w:space="0" w:color="auto"/>
      </w:divBdr>
    </w:div>
    <w:div w:id="1697004331">
      <w:bodyDiv w:val="1"/>
      <w:marLeft w:val="0"/>
      <w:marRight w:val="0"/>
      <w:marTop w:val="0"/>
      <w:marBottom w:val="0"/>
      <w:divBdr>
        <w:top w:val="none" w:sz="0" w:space="0" w:color="auto"/>
        <w:left w:val="none" w:sz="0" w:space="0" w:color="auto"/>
        <w:bottom w:val="none" w:sz="0" w:space="0" w:color="auto"/>
        <w:right w:val="none" w:sz="0" w:space="0" w:color="auto"/>
      </w:divBdr>
    </w:div>
    <w:div w:id="1730029947">
      <w:bodyDiv w:val="1"/>
      <w:marLeft w:val="0"/>
      <w:marRight w:val="0"/>
      <w:marTop w:val="0"/>
      <w:marBottom w:val="0"/>
      <w:divBdr>
        <w:top w:val="none" w:sz="0" w:space="0" w:color="auto"/>
        <w:left w:val="none" w:sz="0" w:space="0" w:color="auto"/>
        <w:bottom w:val="none" w:sz="0" w:space="0" w:color="auto"/>
        <w:right w:val="none" w:sz="0" w:space="0" w:color="auto"/>
      </w:divBdr>
    </w:div>
    <w:div w:id="1740708152">
      <w:bodyDiv w:val="1"/>
      <w:marLeft w:val="0"/>
      <w:marRight w:val="0"/>
      <w:marTop w:val="0"/>
      <w:marBottom w:val="0"/>
      <w:divBdr>
        <w:top w:val="none" w:sz="0" w:space="0" w:color="auto"/>
        <w:left w:val="none" w:sz="0" w:space="0" w:color="auto"/>
        <w:bottom w:val="none" w:sz="0" w:space="0" w:color="auto"/>
        <w:right w:val="none" w:sz="0" w:space="0" w:color="auto"/>
      </w:divBdr>
    </w:div>
    <w:div w:id="1754739979">
      <w:bodyDiv w:val="1"/>
      <w:marLeft w:val="0"/>
      <w:marRight w:val="0"/>
      <w:marTop w:val="0"/>
      <w:marBottom w:val="0"/>
      <w:divBdr>
        <w:top w:val="none" w:sz="0" w:space="0" w:color="auto"/>
        <w:left w:val="none" w:sz="0" w:space="0" w:color="auto"/>
        <w:bottom w:val="none" w:sz="0" w:space="0" w:color="auto"/>
        <w:right w:val="none" w:sz="0" w:space="0" w:color="auto"/>
      </w:divBdr>
    </w:div>
    <w:div w:id="1755009750">
      <w:bodyDiv w:val="1"/>
      <w:marLeft w:val="0"/>
      <w:marRight w:val="0"/>
      <w:marTop w:val="0"/>
      <w:marBottom w:val="0"/>
      <w:divBdr>
        <w:top w:val="none" w:sz="0" w:space="0" w:color="auto"/>
        <w:left w:val="none" w:sz="0" w:space="0" w:color="auto"/>
        <w:bottom w:val="none" w:sz="0" w:space="0" w:color="auto"/>
        <w:right w:val="none" w:sz="0" w:space="0" w:color="auto"/>
      </w:divBdr>
    </w:div>
    <w:div w:id="1791165872">
      <w:bodyDiv w:val="1"/>
      <w:marLeft w:val="0"/>
      <w:marRight w:val="0"/>
      <w:marTop w:val="0"/>
      <w:marBottom w:val="0"/>
      <w:divBdr>
        <w:top w:val="none" w:sz="0" w:space="0" w:color="auto"/>
        <w:left w:val="none" w:sz="0" w:space="0" w:color="auto"/>
        <w:bottom w:val="none" w:sz="0" w:space="0" w:color="auto"/>
        <w:right w:val="none" w:sz="0" w:space="0" w:color="auto"/>
      </w:divBdr>
      <w:divsChild>
        <w:div w:id="874460607">
          <w:marLeft w:val="0"/>
          <w:marRight w:val="0"/>
          <w:marTop w:val="0"/>
          <w:marBottom w:val="0"/>
          <w:divBdr>
            <w:top w:val="none" w:sz="0" w:space="0" w:color="auto"/>
            <w:left w:val="none" w:sz="0" w:space="0" w:color="auto"/>
            <w:bottom w:val="none" w:sz="0" w:space="0" w:color="auto"/>
            <w:right w:val="none" w:sz="0" w:space="0" w:color="auto"/>
          </w:divBdr>
        </w:div>
      </w:divsChild>
    </w:div>
    <w:div w:id="1805386462">
      <w:bodyDiv w:val="1"/>
      <w:marLeft w:val="0"/>
      <w:marRight w:val="0"/>
      <w:marTop w:val="0"/>
      <w:marBottom w:val="0"/>
      <w:divBdr>
        <w:top w:val="none" w:sz="0" w:space="0" w:color="auto"/>
        <w:left w:val="none" w:sz="0" w:space="0" w:color="auto"/>
        <w:bottom w:val="none" w:sz="0" w:space="0" w:color="auto"/>
        <w:right w:val="none" w:sz="0" w:space="0" w:color="auto"/>
      </w:divBdr>
    </w:div>
    <w:div w:id="1812792809">
      <w:bodyDiv w:val="1"/>
      <w:marLeft w:val="0"/>
      <w:marRight w:val="0"/>
      <w:marTop w:val="0"/>
      <w:marBottom w:val="0"/>
      <w:divBdr>
        <w:top w:val="none" w:sz="0" w:space="0" w:color="auto"/>
        <w:left w:val="none" w:sz="0" w:space="0" w:color="auto"/>
        <w:bottom w:val="none" w:sz="0" w:space="0" w:color="auto"/>
        <w:right w:val="none" w:sz="0" w:space="0" w:color="auto"/>
      </w:divBdr>
    </w:div>
    <w:div w:id="1841775554">
      <w:bodyDiv w:val="1"/>
      <w:marLeft w:val="0"/>
      <w:marRight w:val="0"/>
      <w:marTop w:val="0"/>
      <w:marBottom w:val="0"/>
      <w:divBdr>
        <w:top w:val="none" w:sz="0" w:space="0" w:color="auto"/>
        <w:left w:val="none" w:sz="0" w:space="0" w:color="auto"/>
        <w:bottom w:val="none" w:sz="0" w:space="0" w:color="auto"/>
        <w:right w:val="none" w:sz="0" w:space="0" w:color="auto"/>
      </w:divBdr>
    </w:div>
    <w:div w:id="1857115378">
      <w:bodyDiv w:val="1"/>
      <w:marLeft w:val="0"/>
      <w:marRight w:val="0"/>
      <w:marTop w:val="0"/>
      <w:marBottom w:val="0"/>
      <w:divBdr>
        <w:top w:val="none" w:sz="0" w:space="0" w:color="auto"/>
        <w:left w:val="none" w:sz="0" w:space="0" w:color="auto"/>
        <w:bottom w:val="none" w:sz="0" w:space="0" w:color="auto"/>
        <w:right w:val="none" w:sz="0" w:space="0" w:color="auto"/>
      </w:divBdr>
    </w:div>
    <w:div w:id="1876308611">
      <w:bodyDiv w:val="1"/>
      <w:marLeft w:val="0"/>
      <w:marRight w:val="0"/>
      <w:marTop w:val="0"/>
      <w:marBottom w:val="0"/>
      <w:divBdr>
        <w:top w:val="none" w:sz="0" w:space="0" w:color="auto"/>
        <w:left w:val="none" w:sz="0" w:space="0" w:color="auto"/>
        <w:bottom w:val="none" w:sz="0" w:space="0" w:color="auto"/>
        <w:right w:val="none" w:sz="0" w:space="0" w:color="auto"/>
      </w:divBdr>
    </w:div>
    <w:div w:id="1878856425">
      <w:bodyDiv w:val="1"/>
      <w:marLeft w:val="0"/>
      <w:marRight w:val="0"/>
      <w:marTop w:val="0"/>
      <w:marBottom w:val="0"/>
      <w:divBdr>
        <w:top w:val="none" w:sz="0" w:space="0" w:color="auto"/>
        <w:left w:val="none" w:sz="0" w:space="0" w:color="auto"/>
        <w:bottom w:val="none" w:sz="0" w:space="0" w:color="auto"/>
        <w:right w:val="none" w:sz="0" w:space="0" w:color="auto"/>
      </w:divBdr>
    </w:div>
    <w:div w:id="1914122979">
      <w:bodyDiv w:val="1"/>
      <w:marLeft w:val="0"/>
      <w:marRight w:val="0"/>
      <w:marTop w:val="0"/>
      <w:marBottom w:val="0"/>
      <w:divBdr>
        <w:top w:val="none" w:sz="0" w:space="0" w:color="auto"/>
        <w:left w:val="none" w:sz="0" w:space="0" w:color="auto"/>
        <w:bottom w:val="none" w:sz="0" w:space="0" w:color="auto"/>
        <w:right w:val="none" w:sz="0" w:space="0" w:color="auto"/>
      </w:divBdr>
    </w:div>
    <w:div w:id="1918975103">
      <w:bodyDiv w:val="1"/>
      <w:marLeft w:val="0"/>
      <w:marRight w:val="0"/>
      <w:marTop w:val="0"/>
      <w:marBottom w:val="0"/>
      <w:divBdr>
        <w:top w:val="none" w:sz="0" w:space="0" w:color="auto"/>
        <w:left w:val="none" w:sz="0" w:space="0" w:color="auto"/>
        <w:bottom w:val="none" w:sz="0" w:space="0" w:color="auto"/>
        <w:right w:val="none" w:sz="0" w:space="0" w:color="auto"/>
      </w:divBdr>
    </w:div>
    <w:div w:id="1982032435">
      <w:bodyDiv w:val="1"/>
      <w:marLeft w:val="0"/>
      <w:marRight w:val="0"/>
      <w:marTop w:val="0"/>
      <w:marBottom w:val="0"/>
      <w:divBdr>
        <w:top w:val="none" w:sz="0" w:space="0" w:color="auto"/>
        <w:left w:val="none" w:sz="0" w:space="0" w:color="auto"/>
        <w:bottom w:val="none" w:sz="0" w:space="0" w:color="auto"/>
        <w:right w:val="none" w:sz="0" w:space="0" w:color="auto"/>
      </w:divBdr>
    </w:div>
    <w:div w:id="2009794953">
      <w:bodyDiv w:val="1"/>
      <w:marLeft w:val="0"/>
      <w:marRight w:val="0"/>
      <w:marTop w:val="0"/>
      <w:marBottom w:val="0"/>
      <w:divBdr>
        <w:top w:val="none" w:sz="0" w:space="0" w:color="auto"/>
        <w:left w:val="none" w:sz="0" w:space="0" w:color="auto"/>
        <w:bottom w:val="none" w:sz="0" w:space="0" w:color="auto"/>
        <w:right w:val="none" w:sz="0" w:space="0" w:color="auto"/>
      </w:divBdr>
    </w:div>
    <w:div w:id="2010133544">
      <w:bodyDiv w:val="1"/>
      <w:marLeft w:val="0"/>
      <w:marRight w:val="0"/>
      <w:marTop w:val="0"/>
      <w:marBottom w:val="0"/>
      <w:divBdr>
        <w:top w:val="none" w:sz="0" w:space="0" w:color="auto"/>
        <w:left w:val="none" w:sz="0" w:space="0" w:color="auto"/>
        <w:bottom w:val="none" w:sz="0" w:space="0" w:color="auto"/>
        <w:right w:val="none" w:sz="0" w:space="0" w:color="auto"/>
      </w:divBdr>
    </w:div>
    <w:div w:id="2055156062">
      <w:bodyDiv w:val="1"/>
      <w:marLeft w:val="0"/>
      <w:marRight w:val="0"/>
      <w:marTop w:val="0"/>
      <w:marBottom w:val="0"/>
      <w:divBdr>
        <w:top w:val="none" w:sz="0" w:space="0" w:color="auto"/>
        <w:left w:val="none" w:sz="0" w:space="0" w:color="auto"/>
        <w:bottom w:val="none" w:sz="0" w:space="0" w:color="auto"/>
        <w:right w:val="none" w:sz="0" w:space="0" w:color="auto"/>
      </w:divBdr>
    </w:div>
    <w:div w:id="2083331864">
      <w:bodyDiv w:val="1"/>
      <w:marLeft w:val="0"/>
      <w:marRight w:val="0"/>
      <w:marTop w:val="0"/>
      <w:marBottom w:val="0"/>
      <w:divBdr>
        <w:top w:val="none" w:sz="0" w:space="0" w:color="auto"/>
        <w:left w:val="none" w:sz="0" w:space="0" w:color="auto"/>
        <w:bottom w:val="none" w:sz="0" w:space="0" w:color="auto"/>
        <w:right w:val="none" w:sz="0" w:space="0" w:color="auto"/>
      </w:divBdr>
    </w:div>
    <w:div w:id="2084642269">
      <w:bodyDiv w:val="1"/>
      <w:marLeft w:val="0"/>
      <w:marRight w:val="0"/>
      <w:marTop w:val="0"/>
      <w:marBottom w:val="0"/>
      <w:divBdr>
        <w:top w:val="none" w:sz="0" w:space="0" w:color="auto"/>
        <w:left w:val="none" w:sz="0" w:space="0" w:color="auto"/>
        <w:bottom w:val="none" w:sz="0" w:space="0" w:color="auto"/>
        <w:right w:val="none" w:sz="0" w:space="0" w:color="auto"/>
      </w:divBdr>
    </w:div>
    <w:div w:id="2086761004">
      <w:bodyDiv w:val="1"/>
      <w:marLeft w:val="0"/>
      <w:marRight w:val="0"/>
      <w:marTop w:val="0"/>
      <w:marBottom w:val="0"/>
      <w:divBdr>
        <w:top w:val="none" w:sz="0" w:space="0" w:color="auto"/>
        <w:left w:val="none" w:sz="0" w:space="0" w:color="auto"/>
        <w:bottom w:val="none" w:sz="0" w:space="0" w:color="auto"/>
        <w:right w:val="none" w:sz="0" w:space="0" w:color="auto"/>
      </w:divBdr>
    </w:div>
    <w:div w:id="2089305625">
      <w:bodyDiv w:val="1"/>
      <w:marLeft w:val="0"/>
      <w:marRight w:val="0"/>
      <w:marTop w:val="0"/>
      <w:marBottom w:val="0"/>
      <w:divBdr>
        <w:top w:val="none" w:sz="0" w:space="0" w:color="auto"/>
        <w:left w:val="none" w:sz="0" w:space="0" w:color="auto"/>
        <w:bottom w:val="none" w:sz="0" w:space="0" w:color="auto"/>
        <w:right w:val="none" w:sz="0" w:space="0" w:color="auto"/>
      </w:divBdr>
    </w:div>
    <w:div w:id="2125802073">
      <w:bodyDiv w:val="1"/>
      <w:marLeft w:val="0"/>
      <w:marRight w:val="0"/>
      <w:marTop w:val="0"/>
      <w:marBottom w:val="0"/>
      <w:divBdr>
        <w:top w:val="none" w:sz="0" w:space="0" w:color="auto"/>
        <w:left w:val="none" w:sz="0" w:space="0" w:color="auto"/>
        <w:bottom w:val="none" w:sz="0" w:space="0" w:color="auto"/>
        <w:right w:val="none" w:sz="0" w:space="0" w:color="auto"/>
      </w:divBdr>
      <w:divsChild>
        <w:div w:id="1453326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globalfund.org/en/operationa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heglobalfund.org/en/applying/funding/resources/"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who.int/tb/data/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heglobalfund.org/en/applying/funding/resources/" TargetMode="External"/><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gateway.euro.who.int/en/hfa-explorer/" TargetMode="External"/><Relationship Id="rId3" Type="http://schemas.openxmlformats.org/officeDocument/2006/relationships/hyperlink" Target="http://www.who.int/tb/publications/global_report/en/" TargetMode="External"/><Relationship Id="rId7" Type="http://schemas.openxmlformats.org/officeDocument/2006/relationships/hyperlink" Target="http://www.theglobalfund.org/en/fundingmodel/process/cofinancing/" TargetMode="External"/><Relationship Id="rId2" Type="http://schemas.openxmlformats.org/officeDocument/2006/relationships/hyperlink" Target="http://data.worldbank.org/country/kazakhstan" TargetMode="External"/><Relationship Id="rId1" Type="http://schemas.openxmlformats.org/officeDocument/2006/relationships/hyperlink" Target="http://stat.gov.kz" TargetMode="External"/><Relationship Id="rId6" Type="http://schemas.openxmlformats.org/officeDocument/2006/relationships/hyperlink" Target="http://www.theglobalfund.org/en/fundingmodel/process/cofinancing/" TargetMode="External"/><Relationship Id="rId5" Type="http://schemas.openxmlformats.org/officeDocument/2006/relationships/hyperlink" Target="http://www.theglobalfund.org/en/fundingmodel/process/eligibility/" TargetMode="External"/><Relationship Id="rId4" Type="http://schemas.openxmlformats.org/officeDocument/2006/relationships/hyperlink" Target="http://www.unaids.org/en/regionscountries/countries/kazakhstan" TargetMode="External"/><Relationship Id="rId9" Type="http://schemas.openxmlformats.org/officeDocument/2006/relationships/hyperlink" Target="https://gateway.euro.who.int/en/hfa-explo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a03ac030-8fc0-429e-a59d-aec15056182b">3NAZ7T4E3CZ3-539361286-34</_dlc_DocId>
    <_dlc_DocIdUrl xmlns="a03ac030-8fc0-429e-a59d-aec15056182b">
      <Url>https://tgf.sharepoint.com/sites/TSA2F1/A2FD/_layouts/15/DocIdRedir.aspx?ID=3NAZ7T4E3CZ3-539361286-34</Url>
      <Description>3NAZ7T4E3CZ3-539361286-34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4F5FB86B24744BC1AA41336D5CD4B" ma:contentTypeVersion="0" ma:contentTypeDescription="Create a new document." ma:contentTypeScope="" ma:versionID="22bd18c3fa16702881148cf9526b0f3b">
  <xsd:schema xmlns:xsd="http://www.w3.org/2001/XMLSchema" xmlns:xs="http://www.w3.org/2001/XMLSchema" xmlns:p="http://schemas.microsoft.com/office/2006/metadata/properties" xmlns:ns2="a03ac030-8fc0-429e-a59d-aec15056182b" targetNamespace="http://schemas.microsoft.com/office/2006/metadata/properties" ma:root="true" ma:fieldsID="438df9ea31d84cdc222fe45df5685fb9" ns2:_="">
    <xsd:import namespace="a03ac030-8fc0-429e-a59d-aec15056182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80F24-090B-481F-AEB2-8A7F8CC9610A}">
  <ds:schemaRefs>
    <ds:schemaRef ds:uri="http://schemas.microsoft.com/office/2006/metadata/properties"/>
    <ds:schemaRef ds:uri="a03ac030-8fc0-429e-a59d-aec15056182b"/>
  </ds:schemaRefs>
</ds:datastoreItem>
</file>

<file path=customXml/itemProps2.xml><?xml version="1.0" encoding="utf-8"?>
<ds:datastoreItem xmlns:ds="http://schemas.openxmlformats.org/officeDocument/2006/customXml" ds:itemID="{F57453AB-EDC1-4A23-AE27-6452D003B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16CCD-4E12-4EA3-A18B-57AA704D01C2}">
  <ds:schemaRefs>
    <ds:schemaRef ds:uri="http://schemas.microsoft.com/sharepoint/v3/contenttype/forms"/>
  </ds:schemaRefs>
</ds:datastoreItem>
</file>

<file path=customXml/itemProps4.xml><?xml version="1.0" encoding="utf-8"?>
<ds:datastoreItem xmlns:ds="http://schemas.openxmlformats.org/officeDocument/2006/customXml" ds:itemID="{E070B5BB-12E2-41A8-A1A5-2B58BB2B2CEA}">
  <ds:schemaRefs>
    <ds:schemaRef ds:uri="http://schemas.microsoft.com/sharepoint/events"/>
  </ds:schemaRefs>
</ds:datastoreItem>
</file>

<file path=customXml/itemProps5.xml><?xml version="1.0" encoding="utf-8"?>
<ds:datastoreItem xmlns:ds="http://schemas.openxmlformats.org/officeDocument/2006/customXml" ds:itemID="{CA44482E-0343-40C4-9239-C51638EBF093}">
  <ds:schemaRefs>
    <ds:schemaRef ds:uri="http://schemas.openxmlformats.org/officeDocument/2006/bibliography"/>
  </ds:schemaRefs>
</ds:datastoreItem>
</file>

<file path=customXml/itemProps6.xml><?xml version="1.0" encoding="utf-8"?>
<ds:datastoreItem xmlns:ds="http://schemas.openxmlformats.org/officeDocument/2006/customXml" ds:itemID="{315694DA-E487-4099-BC61-DE51B49B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31</Pages>
  <Words>15413</Words>
  <Characters>87858</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Funding_Request_MaterialChange_EN</vt:lpstr>
    </vt:vector>
  </TitlesOfParts>
  <Company>The Global Fund</Company>
  <LinksUpToDate>false</LinksUpToDate>
  <CharactersWithSpaces>103065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Funding_Request_MaterialChange_EN</dc:title>
  <dc:subject/>
  <dc:creator>Richard Grahn</dc:creator>
  <cp:keywords/>
  <dc:description/>
  <cp:lastModifiedBy>Victor</cp:lastModifiedBy>
  <cp:revision>52</cp:revision>
  <cp:lastPrinted>2019-01-11T05:14:00Z</cp:lastPrinted>
  <dcterms:created xsi:type="dcterms:W3CDTF">2019-01-10T13:25:00Z</dcterms:created>
  <dcterms:modified xsi:type="dcterms:W3CDTF">2019-01-14T04:45:00Z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0x0101002714F5FB86B24744BC1AA41336D5CD4B</vt:lpwstr>
  </property>
  <property fmtid="{D5CDD505-2E9C-101B-9397-08002B2CF9AE}" pid="4" name="WorkflowCreationPath">
    <vt:lpwstr>2f7debbc-2b8d-44a1-9e0a-4005030c88f4,21;</vt:lpwstr>
  </property>
  <property fmtid="{D5CDD505-2E9C-101B-9397-08002B2CF9AE}" pid="5" name="Author">
    <vt:lpwstr>3;#;UserInfo</vt:lpwstr>
  </property>
  <property fmtid="{D5CDD505-2E9C-101B-9397-08002B2CF9AE}" pid="6" name="Order">
    <vt:r8>100</vt:r8>
  </property>
  <property fmtid="{D5CDD505-2E9C-101B-9397-08002B2CF9AE}" pid="7" name="URL">
    <vt:lpwstr/>
  </property>
  <property fmtid="{D5CDD505-2E9C-101B-9397-08002B2CF9AE}" pid="8" name="Modified">
    <vt:filetime>2015-03-11T14:13:05Z</vt:filetime>
  </property>
  <property fmtid="{D5CDD505-2E9C-101B-9397-08002B2CF9AE}" pid="9" name="Editor">
    <vt:lpwstr>3;#;UserInfo</vt:lpwstr>
  </property>
  <property fmtid="{D5CDD505-2E9C-101B-9397-08002B2CF9AE}" pid="10" name="Created">
    <vt:filetime>2015-03-11T14:12:59Z</vt:filetime>
  </property>
  <property fmtid="{D5CDD505-2E9C-101B-9397-08002B2CF9AE}" pid="11" name="_dlc_DocId">
    <vt:lpwstr>3NAZ7T4E3CZ3-1392380233-525</vt:lpwstr>
  </property>
  <property fmtid="{D5CDD505-2E9C-101B-9397-08002B2CF9AE}" pid="12" name="_dlc_DocIdUrl">
    <vt:lpwstr>https://tgf.sharepoint.com/sites/TSA2F1/ASTM/_layouts/15/DocIdRedir.aspx?ID=3NAZ7T4E3CZ3-1392380233-525, 3NAZ7T4E3CZ3-1392380233-525</vt:lpwstr>
  </property>
  <property fmtid="{D5CDD505-2E9C-101B-9397-08002B2CF9AE}" pid="13" name="_dlc_DocIdItemGuid">
    <vt:lpwstr>41ce7dbf-d8a7-4640-ae3d-8f1b50ca6441</vt:lpwstr>
  </property>
</Properties>
</file>