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563EAC" w14:textId="64CCFDEF" w:rsidR="00363CE2" w:rsidRPr="00735705" w:rsidRDefault="00A22AF0" w:rsidP="003C394C">
      <w:pPr>
        <w:tabs>
          <w:tab w:val="right" w:pos="-1800"/>
          <w:tab w:val="left" w:pos="1440"/>
        </w:tabs>
        <w:spacing w:after="0" w:line="240" w:lineRule="auto"/>
        <w:ind w:right="-613"/>
        <w:jc w:val="both"/>
        <w:rPr>
          <w:rFonts w:ascii="Arial" w:eastAsia="SimSun" w:hAnsi="Arial"/>
          <w:b w:val="0"/>
          <w:lang w:eastAsia="zh-CN"/>
        </w:rPr>
      </w:pPr>
      <w:r w:rsidRPr="00735705">
        <w:rPr>
          <w:rFonts w:ascii="Arial" w:eastAsia="SimSun" w:hAnsi="Arial"/>
          <w:b w:val="0"/>
          <w:noProof/>
        </w:rPr>
        <mc:AlternateContent>
          <mc:Choice Requires="wps">
            <w:drawing>
              <wp:anchor distT="0" distB="0" distL="114300" distR="114300" simplePos="0" relativeHeight="251658240" behindDoc="0" locked="0" layoutInCell="1" allowOverlap="1" wp14:anchorId="78326994" wp14:editId="76A851B2">
                <wp:simplePos x="0" y="0"/>
                <wp:positionH relativeFrom="page">
                  <wp:align>left</wp:align>
                </wp:positionH>
                <wp:positionV relativeFrom="paragraph">
                  <wp:posOffset>-630555</wp:posOffset>
                </wp:positionV>
                <wp:extent cx="7567930" cy="2438400"/>
                <wp:effectExtent l="0" t="0" r="13970" b="19050"/>
                <wp:wrapNone/>
                <wp:docPr id="15" name="Rectangle 15"/>
                <wp:cNvGraphicFramePr/>
                <a:graphic xmlns:a="http://schemas.openxmlformats.org/drawingml/2006/main">
                  <a:graphicData uri="http://schemas.microsoft.com/office/word/2010/wordprocessingShape">
                    <wps:wsp>
                      <wps:cNvSpPr/>
                      <wps:spPr>
                        <a:xfrm>
                          <a:off x="0" y="0"/>
                          <a:ext cx="7567930" cy="2438400"/>
                        </a:xfrm>
                        <a:prstGeom prst="rect">
                          <a:avLst/>
                        </a:prstGeom>
                        <a:solidFill>
                          <a:srgbClr val="1F497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rect w14:anchorId="3B0F3850" id="Rectangle 15" o:spid="_x0000_s1026" style="position:absolute;margin-left:0;margin-top:-49.65pt;width:595.9pt;height:192pt;z-index:25165824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" fillcolor="#1f497d" strokecolor="#385d8a" strokeweight="2pt">
                <w10:wrap anchorx="page"/>
              </v:rect>
            </w:pict>
          </mc:Fallback>
        </mc:AlternateContent>
      </w:r>
      <w:r w:rsidRPr="00735705">
        <w:rPr>
          <w:rFonts w:ascii="Arial" w:hAnsi="Arial"/>
          <w:b w:val="0"/>
          <w:noProof/>
          <w:color w:val="000000"/>
          <w:sz w:val="20"/>
          <w:szCs w:val="20"/>
        </w:rPr>
        <w:drawing>
          <wp:anchor distT="0" distB="0" distL="114300" distR="114300" simplePos="0" relativeHeight="251658242" behindDoc="0" locked="0" layoutInCell="1" allowOverlap="1" wp14:anchorId="69562DAD" wp14:editId="27369936">
            <wp:simplePos x="0" y="0"/>
            <wp:positionH relativeFrom="column">
              <wp:posOffset>-238125</wp:posOffset>
            </wp:positionH>
            <wp:positionV relativeFrom="paragraph">
              <wp:posOffset>-220980</wp:posOffset>
            </wp:positionV>
            <wp:extent cx="2947035" cy="441739"/>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_CMYK_on_black.tif"/>
                    <pic:cNvPicPr/>
                  </pic:nvPicPr>
                  <pic:blipFill>
                    <a:blip r:embed="rId13">
                      <a:extLst>
                        <a:ext uri="{28A0092B-C50C-407E-A947-70E740481C1C}">
                          <a14:useLocalDpi xmlns:a14="http://schemas.microsoft.com/office/drawing/2010/main" val="0"/>
                        </a:ext>
                      </a:extLst>
                    </a:blip>
                    <a:stretch>
                      <a:fillRect/>
                    </a:stretch>
                  </pic:blipFill>
                  <pic:spPr>
                    <a:xfrm>
                      <a:off x="0" y="0"/>
                      <a:ext cx="2947035" cy="441739"/>
                    </a:xfrm>
                    <a:prstGeom prst="rect">
                      <a:avLst/>
                    </a:prstGeom>
                  </pic:spPr>
                </pic:pic>
              </a:graphicData>
            </a:graphic>
            <wp14:sizeRelH relativeFrom="page">
              <wp14:pctWidth>0</wp14:pctWidth>
            </wp14:sizeRelH>
            <wp14:sizeRelV relativeFrom="page">
              <wp14:pctHeight>0</wp14:pctHeight>
            </wp14:sizeRelV>
          </wp:anchor>
        </w:drawing>
      </w:r>
    </w:p>
    <w:p w14:paraId="47CF99D0" w14:textId="125C252F" w:rsidR="00CB2100" w:rsidRPr="00735705" w:rsidRDefault="00A22AF0" w:rsidP="00A22AF0">
      <w:pPr>
        <w:rPr>
          <w:b w:val="0"/>
          <w:noProof/>
          <w:lang w:val="es-EC" w:eastAsia="es-EC"/>
        </w:rPr>
      </w:pPr>
      <w:r w:rsidRPr="00735705">
        <w:rPr>
          <w:b w:val="0"/>
          <w:noProof/>
        </w:rPr>
        <mc:AlternateContent>
          <mc:Choice Requires="wps">
            <w:drawing>
              <wp:anchor distT="0" distB="0" distL="114300" distR="114300" simplePos="0" relativeHeight="251658241" behindDoc="0" locked="0" layoutInCell="1" allowOverlap="1" wp14:anchorId="70945EA9" wp14:editId="767BA278">
                <wp:simplePos x="0" y="0"/>
                <wp:positionH relativeFrom="page">
                  <wp:posOffset>31750</wp:posOffset>
                </wp:positionH>
                <wp:positionV relativeFrom="paragraph">
                  <wp:posOffset>284953</wp:posOffset>
                </wp:positionV>
                <wp:extent cx="7539355" cy="1377950"/>
                <wp:effectExtent l="0" t="0" r="0" b="0"/>
                <wp:wrapNone/>
                <wp:docPr id="1" name="Text Box 1"/>
                <wp:cNvGraphicFramePr/>
                <a:graphic xmlns:a="http://schemas.openxmlformats.org/drawingml/2006/main">
                  <a:graphicData uri="http://schemas.microsoft.com/office/word/2010/wordprocessingShape">
                    <wps:wsp>
                      <wps:cNvSpPr txBox="1"/>
                      <wps:spPr>
                        <a:xfrm>
                          <a:off x="0" y="0"/>
                          <a:ext cx="7539355" cy="13779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533EF40" w14:textId="648B71C5" w:rsidR="00891E64" w:rsidRPr="000D4A2D" w:rsidRDefault="00891E64" w:rsidP="000F44B7">
                            <w:pPr>
                              <w:spacing w:after="0"/>
                              <w:jc w:val="center"/>
                              <w:rPr>
                                <w:rFonts w:ascii="Arial" w:hAnsi="Arial"/>
                                <w:color w:val="FFFFFF" w:themeColor="background1"/>
                                <w:sz w:val="52"/>
                                <w:szCs w:val="52"/>
                              </w:rPr>
                            </w:pPr>
                            <w:r>
                              <w:rPr>
                                <w:rFonts w:ascii="Arial" w:hAnsi="Arial"/>
                                <w:color w:val="FFFFFF" w:themeColor="background1"/>
                                <w:sz w:val="52"/>
                                <w:szCs w:val="52"/>
                              </w:rPr>
                              <w:t>Building Foundation for Sustainable HIV Response in Kazakhstan</w:t>
                            </w:r>
                          </w:p>
                          <w:p w14:paraId="546E357A" w14:textId="0701E60F" w:rsidR="00891E64" w:rsidRPr="008E0BF8" w:rsidRDefault="00891E64" w:rsidP="002460D8">
                            <w:pPr>
                              <w:jc w:val="center"/>
                              <w:rPr>
                                <w:rFonts w:ascii="Arial" w:hAnsi="Arial"/>
                                <w:color w:val="FFFFFF" w:themeColor="background1"/>
                                <w:sz w:val="44"/>
                                <w:szCs w:val="44"/>
                              </w:rPr>
                            </w:pPr>
                            <w:r>
                              <w:rPr>
                                <w:rFonts w:ascii="Arial" w:hAnsi="Arial"/>
                                <w:color w:val="FFFFFF" w:themeColor="background1"/>
                                <w:sz w:val="44"/>
                                <w:szCs w:val="44"/>
                              </w:rPr>
                              <w:t xml:space="preserve">Funding Request </w:t>
                            </w:r>
                            <w:r w:rsidRPr="008E0BF8">
                              <w:rPr>
                                <w:rFonts w:ascii="Arial" w:hAnsi="Arial"/>
                                <w:color w:val="FFFFFF" w:themeColor="background1"/>
                                <w:sz w:val="44"/>
                                <w:szCs w:val="44"/>
                              </w:rPr>
                              <w:t>T</w:t>
                            </w:r>
                            <w:r>
                              <w:rPr>
                                <w:rFonts w:ascii="Arial" w:hAnsi="Arial"/>
                                <w:color w:val="FFFFFF" w:themeColor="background1"/>
                                <w:sz w:val="44"/>
                                <w:szCs w:val="44"/>
                              </w:rPr>
                              <w:t>ailored to Material Change</w:t>
                            </w:r>
                          </w:p>
                          <w:p w14:paraId="71033306" w14:textId="77777777" w:rsidR="00891E64" w:rsidRDefault="00891E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mv="urn:schemas-microsoft-com:mac:vml" xmlns:mo="http://schemas.microsoft.com/office/mac/office/2008/main">
            <w:pict>
              <v:shapetype w14:anchorId="70945EA9" id="_x0000_t202" coordsize="21600,21600" o:spt="202" path="m,l,21600r21600,l21600,xe">
                <v:stroke joinstyle="miter"/>
                <v:path gradientshapeok="t" o:connecttype="rect"/>
              </v:shapetype>
              <v:shape id="Text Box 1" o:spid="_x0000_s1026" type="#_x0000_t202" style="position:absolute;margin-left:2.5pt;margin-top:22.45pt;width:593.65pt;height:108.5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" filled="f" stroked="f" strokeweight=".5pt">
                <v:textbox>
                  <w:txbxContent>
                    <w:p w14:paraId="2533EF40" w14:textId="648B71C5" w:rsidR="00891E64" w:rsidRPr="000D4A2D" w:rsidRDefault="00891E64" w:rsidP="000F44B7">
                      <w:pPr>
                        <w:spacing w:after="0"/>
                        <w:jc w:val="center"/>
                        <w:rPr>
                          <w:rFonts w:ascii="Arial" w:hAnsi="Arial"/>
                          <w:color w:val="FFFFFF" w:themeColor="background1"/>
                          <w:sz w:val="52"/>
                          <w:szCs w:val="52"/>
                        </w:rPr>
                      </w:pPr>
                      <w:r>
                        <w:rPr>
                          <w:rFonts w:ascii="Arial" w:hAnsi="Arial"/>
                          <w:color w:val="FFFFFF" w:themeColor="background1"/>
                          <w:sz w:val="52"/>
                          <w:szCs w:val="52"/>
                        </w:rPr>
                        <w:t>Building Foundation for Sustainable HIV Response in Kazakhstan</w:t>
                      </w:r>
                    </w:p>
                    <w:p w14:paraId="546E357A" w14:textId="0701E60F" w:rsidR="00891E64" w:rsidRPr="008E0BF8" w:rsidRDefault="00891E64" w:rsidP="002460D8">
                      <w:pPr>
                        <w:jc w:val="center"/>
                        <w:rPr>
                          <w:rFonts w:ascii="Arial" w:hAnsi="Arial"/>
                          <w:color w:val="FFFFFF" w:themeColor="background1"/>
                          <w:sz w:val="44"/>
                          <w:szCs w:val="44"/>
                        </w:rPr>
                      </w:pPr>
                      <w:r>
                        <w:rPr>
                          <w:rFonts w:ascii="Arial" w:hAnsi="Arial"/>
                          <w:color w:val="FFFFFF" w:themeColor="background1"/>
                          <w:sz w:val="44"/>
                          <w:szCs w:val="44"/>
                        </w:rPr>
                        <w:t xml:space="preserve">Funding Request </w:t>
                      </w:r>
                      <w:r w:rsidRPr="008E0BF8">
                        <w:rPr>
                          <w:rFonts w:ascii="Arial" w:hAnsi="Arial"/>
                          <w:color w:val="FFFFFF" w:themeColor="background1"/>
                          <w:sz w:val="44"/>
                          <w:szCs w:val="44"/>
                        </w:rPr>
                        <w:t>T</w:t>
                      </w:r>
                      <w:r>
                        <w:rPr>
                          <w:rFonts w:ascii="Arial" w:hAnsi="Arial"/>
                          <w:color w:val="FFFFFF" w:themeColor="background1"/>
                          <w:sz w:val="44"/>
                          <w:szCs w:val="44"/>
                        </w:rPr>
                        <w:t>ailored to Material Change</w:t>
                      </w:r>
                    </w:p>
                    <w:p w14:paraId="71033306" w14:textId="77777777" w:rsidR="00891E64" w:rsidRDefault="00891E64"/>
                  </w:txbxContent>
                </v:textbox>
                <w10:wrap anchorx="page"/>
              </v:shape>
            </w:pict>
          </mc:Fallback>
        </mc:AlternateContent>
      </w:r>
      <w:r w:rsidR="001E3217" w:rsidRPr="00735705">
        <w:rPr>
          <w:b w:val="0"/>
          <w:noProof/>
          <w:lang w:val="es-EC" w:eastAsia="es-EC"/>
        </w:rPr>
        <w:t xml:space="preserve"> </w:t>
      </w:r>
    </w:p>
    <w:p w14:paraId="4E73429C" w14:textId="4E7C51D5" w:rsidR="00CB2100" w:rsidRPr="00735705" w:rsidRDefault="00CB2100" w:rsidP="00A22AF0">
      <w:pPr>
        <w:rPr>
          <w:b w:val="0"/>
          <w:noProof/>
          <w:lang w:val="es-EC" w:eastAsia="es-EC"/>
        </w:rPr>
      </w:pPr>
    </w:p>
    <w:p w14:paraId="36CF2FDE" w14:textId="77777777" w:rsidR="00CB2100" w:rsidRPr="00735705" w:rsidRDefault="00CB2100" w:rsidP="00A22AF0">
      <w:pPr>
        <w:rPr>
          <w:b w:val="0"/>
          <w:noProof/>
          <w:lang w:val="es-EC" w:eastAsia="es-EC"/>
        </w:rPr>
      </w:pPr>
    </w:p>
    <w:p w14:paraId="456C3648" w14:textId="77777777" w:rsidR="00CB2100" w:rsidRPr="00735705" w:rsidRDefault="00CB2100" w:rsidP="00A22AF0">
      <w:pPr>
        <w:rPr>
          <w:b w:val="0"/>
          <w:noProof/>
          <w:lang w:val="es-EC" w:eastAsia="es-EC"/>
        </w:rPr>
      </w:pPr>
    </w:p>
    <w:p w14:paraId="636B51CE" w14:textId="77777777" w:rsidR="00CB2100" w:rsidRPr="00735705" w:rsidRDefault="00CB2100" w:rsidP="00A22AF0">
      <w:pPr>
        <w:rPr>
          <w:b w:val="0"/>
          <w:noProof/>
          <w:lang w:val="es-EC" w:eastAsia="es-EC"/>
        </w:rPr>
      </w:pPr>
    </w:p>
    <w:p w14:paraId="272E2A06" w14:textId="77777777" w:rsidR="00CB2100" w:rsidRPr="00E45AAA" w:rsidRDefault="00CB2100" w:rsidP="00A22AF0">
      <w:pPr>
        <w:rPr>
          <w:b w:val="0"/>
          <w:noProof/>
          <w:sz w:val="20"/>
          <w:szCs w:val="20"/>
          <w:lang w:val="es-EC" w:eastAsia="es-EC"/>
        </w:rPr>
      </w:pPr>
    </w:p>
    <w:tbl>
      <w:tblPr>
        <w:tblStyle w:val="TableGrid"/>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4A0" w:firstRow="1" w:lastRow="0" w:firstColumn="1" w:lastColumn="0" w:noHBand="0" w:noVBand="1"/>
      </w:tblPr>
      <w:tblGrid>
        <w:gridCol w:w="2263"/>
        <w:gridCol w:w="2268"/>
        <w:gridCol w:w="2268"/>
        <w:gridCol w:w="2410"/>
      </w:tblGrid>
      <w:tr w:rsidR="00A22AF0" w:rsidRPr="00735705" w14:paraId="1C2DDF4C" w14:textId="77777777" w:rsidTr="002043E0">
        <w:trPr>
          <w:trHeight w:val="437"/>
        </w:trPr>
        <w:tc>
          <w:tcPr>
            <w:tcW w:w="9209" w:type="dxa"/>
            <w:gridSpan w:val="4"/>
            <w:shd w:val="clear" w:color="auto" w:fill="1F497D"/>
            <w:vAlign w:val="center"/>
          </w:tcPr>
          <w:p w14:paraId="7E40EF6B" w14:textId="61FD9106" w:rsidR="00A22AF0" w:rsidRPr="00735705" w:rsidRDefault="00A22AF0" w:rsidP="001D6A63">
            <w:pPr>
              <w:tabs>
                <w:tab w:val="right" w:pos="-1800"/>
                <w:tab w:val="left" w:pos="1440"/>
              </w:tabs>
              <w:spacing w:after="0"/>
              <w:rPr>
                <w:rFonts w:ascii="Arial" w:eastAsia="SimSun" w:hAnsi="Arial"/>
                <w:b w:val="0"/>
                <w:lang w:eastAsia="zh-CN"/>
              </w:rPr>
            </w:pPr>
            <w:r w:rsidRPr="00735705">
              <w:rPr>
                <w:rFonts w:ascii="Arial" w:eastAsia="SimSun" w:hAnsi="Arial"/>
                <w:b w:val="0"/>
                <w:lang w:eastAsia="zh-CN"/>
              </w:rPr>
              <w:br w:type="page"/>
            </w:r>
            <w:r w:rsidRPr="00735705">
              <w:rPr>
                <w:rFonts w:ascii="Arial" w:eastAsia="SimSun" w:hAnsi="Arial"/>
                <w:b w:val="0"/>
                <w:color w:val="FFFFFF" w:themeColor="background1"/>
                <w:shd w:val="clear" w:color="auto" w:fill="1F497D"/>
                <w:lang w:eastAsia="zh-CN"/>
              </w:rPr>
              <w:t>SUMMARY INFORMATION</w:t>
            </w:r>
          </w:p>
        </w:tc>
      </w:tr>
      <w:tr w:rsidR="00A22AF0" w:rsidRPr="00735705" w14:paraId="6908AC78" w14:textId="77777777" w:rsidTr="00D040C8">
        <w:trPr>
          <w:trHeight w:val="269"/>
        </w:trPr>
        <w:tc>
          <w:tcPr>
            <w:tcW w:w="2263" w:type="dxa"/>
            <w:shd w:val="clear" w:color="auto" w:fill="F2F2F2"/>
            <w:vAlign w:val="center"/>
          </w:tcPr>
          <w:p w14:paraId="26DC312A" w14:textId="77777777" w:rsidR="00A22AF0" w:rsidRPr="00735705" w:rsidRDefault="00A22AF0" w:rsidP="00477B43">
            <w:pPr>
              <w:tabs>
                <w:tab w:val="right" w:pos="-1800"/>
                <w:tab w:val="left" w:pos="1440"/>
              </w:tabs>
              <w:spacing w:after="0" w:line="240" w:lineRule="auto"/>
              <w:ind w:right="-613"/>
              <w:jc w:val="both"/>
              <w:rPr>
                <w:rFonts w:ascii="Arial" w:eastAsia="SimSun" w:hAnsi="Arial"/>
                <w:b w:val="0"/>
                <w:lang w:eastAsia="zh-CN"/>
              </w:rPr>
            </w:pPr>
            <w:r w:rsidRPr="00735705">
              <w:rPr>
                <w:rFonts w:ascii="Arial" w:eastAsia="SimSun" w:hAnsi="Arial"/>
                <w:b w:val="0"/>
                <w:lang w:eastAsia="zh-CN"/>
              </w:rPr>
              <w:t>Applicant</w:t>
            </w:r>
          </w:p>
        </w:tc>
        <w:tc>
          <w:tcPr>
            <w:tcW w:w="6946" w:type="dxa"/>
            <w:gridSpan w:val="3"/>
            <w:vAlign w:val="center"/>
          </w:tcPr>
          <w:p w14:paraId="6856E7D4" w14:textId="5277530B" w:rsidR="00A22AF0" w:rsidRPr="00735705" w:rsidRDefault="006A555F" w:rsidP="00477B43">
            <w:pPr>
              <w:tabs>
                <w:tab w:val="right" w:pos="-1800"/>
                <w:tab w:val="left" w:pos="1440"/>
              </w:tabs>
              <w:spacing w:after="0" w:line="240" w:lineRule="auto"/>
              <w:ind w:right="-613"/>
              <w:rPr>
                <w:rFonts w:ascii="Arial" w:eastAsia="SimSun" w:hAnsi="Arial"/>
                <w:b w:val="0"/>
                <w:lang w:eastAsia="zh-CN"/>
              </w:rPr>
            </w:pPr>
            <w:r w:rsidRPr="00735705">
              <w:rPr>
                <w:rFonts w:ascii="Arial" w:eastAsia="SimSun" w:hAnsi="Arial"/>
                <w:b w:val="0"/>
                <w:lang w:eastAsia="zh-CN"/>
              </w:rPr>
              <w:t>Kazakhstan Country Coordinating Mechanism</w:t>
            </w:r>
          </w:p>
        </w:tc>
      </w:tr>
      <w:tr w:rsidR="00A22AF0" w:rsidRPr="00735705" w14:paraId="6644C28E" w14:textId="77777777" w:rsidTr="00D040C8">
        <w:trPr>
          <w:trHeight w:val="255"/>
        </w:trPr>
        <w:tc>
          <w:tcPr>
            <w:tcW w:w="2263" w:type="dxa"/>
            <w:shd w:val="clear" w:color="auto" w:fill="F2F2F2" w:themeFill="background1" w:themeFillShade="F2"/>
            <w:vAlign w:val="center"/>
          </w:tcPr>
          <w:p w14:paraId="0CCD6C7C" w14:textId="77777777" w:rsidR="00A22AF0" w:rsidRPr="00735705" w:rsidRDefault="00A22AF0" w:rsidP="00477B43">
            <w:pPr>
              <w:tabs>
                <w:tab w:val="right" w:pos="-1800"/>
                <w:tab w:val="left" w:pos="1440"/>
              </w:tabs>
              <w:spacing w:after="0" w:line="240" w:lineRule="auto"/>
              <w:ind w:right="34"/>
              <w:rPr>
                <w:rFonts w:ascii="Arial" w:eastAsia="SimSun" w:hAnsi="Arial"/>
                <w:b w:val="0"/>
                <w:lang w:eastAsia="zh-CN"/>
              </w:rPr>
            </w:pPr>
            <w:r w:rsidRPr="00735705">
              <w:rPr>
                <w:rFonts w:ascii="Arial" w:eastAsia="SimSun" w:hAnsi="Arial"/>
                <w:b w:val="0"/>
                <w:bCs/>
                <w:lang w:eastAsia="zh-CN"/>
              </w:rPr>
              <w:t>Component(s)</w:t>
            </w:r>
          </w:p>
        </w:tc>
        <w:tc>
          <w:tcPr>
            <w:tcW w:w="6946" w:type="dxa"/>
            <w:gridSpan w:val="3"/>
            <w:vAlign w:val="center"/>
          </w:tcPr>
          <w:p w14:paraId="3FC7924F" w14:textId="1875203F" w:rsidR="00A22AF0" w:rsidRPr="00735705" w:rsidRDefault="006A555F" w:rsidP="00477B43">
            <w:pPr>
              <w:tabs>
                <w:tab w:val="right" w:pos="-1800"/>
                <w:tab w:val="left" w:pos="1440"/>
              </w:tabs>
              <w:spacing w:after="0" w:line="240" w:lineRule="auto"/>
              <w:ind w:right="-613"/>
              <w:jc w:val="both"/>
              <w:rPr>
                <w:rFonts w:ascii="Arial" w:eastAsia="SimSun" w:hAnsi="Arial"/>
                <w:b w:val="0"/>
                <w:lang w:eastAsia="zh-CN"/>
              </w:rPr>
            </w:pPr>
            <w:r w:rsidRPr="00735705">
              <w:rPr>
                <w:rFonts w:ascii="Arial" w:eastAsia="SimSun" w:hAnsi="Arial"/>
                <w:b w:val="0"/>
                <w:lang w:eastAsia="zh-CN"/>
              </w:rPr>
              <w:t>HIV/AIDS</w:t>
            </w:r>
          </w:p>
        </w:tc>
      </w:tr>
      <w:tr w:rsidR="00A22AF0" w:rsidRPr="00735705" w14:paraId="1FE435FE" w14:textId="77777777" w:rsidTr="00765479">
        <w:trPr>
          <w:trHeight w:val="464"/>
        </w:trPr>
        <w:tc>
          <w:tcPr>
            <w:tcW w:w="2263" w:type="dxa"/>
            <w:shd w:val="clear" w:color="auto" w:fill="F2F2F2" w:themeFill="background1" w:themeFillShade="F2"/>
            <w:vAlign w:val="center"/>
          </w:tcPr>
          <w:p w14:paraId="76E8A3F7" w14:textId="6C897D57" w:rsidR="00A22AF0" w:rsidRPr="00735705" w:rsidRDefault="00C24B05" w:rsidP="00477B43">
            <w:pPr>
              <w:tabs>
                <w:tab w:val="right" w:pos="-1800"/>
                <w:tab w:val="left" w:pos="1440"/>
              </w:tabs>
              <w:spacing w:after="0" w:line="240" w:lineRule="auto"/>
              <w:ind w:right="34"/>
              <w:rPr>
                <w:rFonts w:ascii="Arial" w:eastAsia="SimSun" w:hAnsi="Arial"/>
                <w:b w:val="0"/>
                <w:lang w:eastAsia="zh-CN"/>
              </w:rPr>
            </w:pPr>
            <w:r w:rsidRPr="00735705">
              <w:rPr>
                <w:rFonts w:ascii="Arial" w:eastAsia="SimSun" w:hAnsi="Arial"/>
                <w:b w:val="0"/>
                <w:lang w:eastAsia="zh-CN"/>
              </w:rPr>
              <w:t>Principal R</w:t>
            </w:r>
            <w:r w:rsidR="00A22AF0" w:rsidRPr="00735705">
              <w:rPr>
                <w:rFonts w:ascii="Arial" w:eastAsia="SimSun" w:hAnsi="Arial"/>
                <w:b w:val="0"/>
                <w:lang w:eastAsia="zh-CN"/>
              </w:rPr>
              <w:t>ecipient(s)</w:t>
            </w:r>
          </w:p>
        </w:tc>
        <w:tc>
          <w:tcPr>
            <w:tcW w:w="6946" w:type="dxa"/>
            <w:gridSpan w:val="3"/>
            <w:vAlign w:val="center"/>
          </w:tcPr>
          <w:p w14:paraId="55E72786" w14:textId="42256907" w:rsidR="00A22AF0" w:rsidRPr="00735705" w:rsidRDefault="00210BCE" w:rsidP="00CF1802">
            <w:pPr>
              <w:tabs>
                <w:tab w:val="right" w:pos="-1800"/>
                <w:tab w:val="left" w:pos="1440"/>
              </w:tabs>
              <w:spacing w:after="0" w:line="240" w:lineRule="auto"/>
              <w:jc w:val="both"/>
              <w:rPr>
                <w:rFonts w:ascii="Arial" w:eastAsia="SimSun" w:hAnsi="Arial"/>
                <w:b w:val="0"/>
                <w:lang w:eastAsia="zh-CN"/>
              </w:rPr>
            </w:pPr>
            <w:r w:rsidRPr="00735705">
              <w:rPr>
                <w:rFonts w:ascii="Arial" w:eastAsia="SimSun" w:hAnsi="Arial"/>
                <w:b w:val="0"/>
                <w:lang w:eastAsia="zh-CN"/>
              </w:rPr>
              <w:t xml:space="preserve">Republican Center on Prevention and Control of AIDS of the Ministry of Health of the Republic of Kazakhstan </w:t>
            </w:r>
          </w:p>
        </w:tc>
      </w:tr>
      <w:tr w:rsidR="00A22AF0" w:rsidRPr="00735705" w14:paraId="7B769194" w14:textId="77777777" w:rsidTr="002043E0">
        <w:trPr>
          <w:trHeight w:val="366"/>
        </w:trPr>
        <w:tc>
          <w:tcPr>
            <w:tcW w:w="2263" w:type="dxa"/>
            <w:shd w:val="clear" w:color="auto" w:fill="F2F2F2" w:themeFill="background1" w:themeFillShade="F2"/>
            <w:vAlign w:val="center"/>
          </w:tcPr>
          <w:p w14:paraId="10F823D9" w14:textId="22EFF4B8" w:rsidR="00A22AF0" w:rsidRPr="00735705" w:rsidRDefault="00477B43" w:rsidP="00232DD8">
            <w:pPr>
              <w:tabs>
                <w:tab w:val="right" w:pos="-1800"/>
                <w:tab w:val="left" w:pos="1440"/>
              </w:tabs>
              <w:spacing w:after="0" w:line="240" w:lineRule="auto"/>
              <w:ind w:right="34"/>
              <w:rPr>
                <w:rFonts w:ascii="Arial" w:eastAsia="SimSun" w:hAnsi="Arial"/>
                <w:b w:val="0"/>
                <w:lang w:eastAsia="zh-CN"/>
              </w:rPr>
            </w:pPr>
            <w:r w:rsidRPr="00735705">
              <w:rPr>
                <w:rFonts w:ascii="Arial" w:eastAsia="SimSun" w:hAnsi="Arial"/>
                <w:b w:val="0"/>
                <w:lang w:eastAsia="zh-CN"/>
              </w:rPr>
              <w:t xml:space="preserve">Envisioned grant(s) </w:t>
            </w:r>
            <w:r w:rsidR="00232DD8" w:rsidRPr="00735705">
              <w:rPr>
                <w:rFonts w:ascii="Arial" w:eastAsia="SimSun" w:hAnsi="Arial"/>
                <w:b w:val="0"/>
                <w:lang w:eastAsia="zh-CN"/>
              </w:rPr>
              <w:t>start d</w:t>
            </w:r>
            <w:r w:rsidRPr="00735705">
              <w:rPr>
                <w:rFonts w:ascii="Arial" w:eastAsia="SimSun" w:hAnsi="Arial"/>
                <w:b w:val="0"/>
                <w:lang w:eastAsia="zh-CN"/>
              </w:rPr>
              <w:t>ate</w:t>
            </w:r>
          </w:p>
        </w:tc>
        <w:tc>
          <w:tcPr>
            <w:tcW w:w="2268" w:type="dxa"/>
            <w:vAlign w:val="center"/>
          </w:tcPr>
          <w:p w14:paraId="1A83F5C1" w14:textId="49096F1D" w:rsidR="00A22AF0" w:rsidRPr="00735705" w:rsidRDefault="006A555F" w:rsidP="00477B43">
            <w:pPr>
              <w:tabs>
                <w:tab w:val="right" w:pos="-1800"/>
                <w:tab w:val="left" w:pos="1440"/>
              </w:tabs>
              <w:spacing w:after="0" w:line="240" w:lineRule="auto"/>
              <w:ind w:right="-613"/>
              <w:jc w:val="both"/>
              <w:rPr>
                <w:rFonts w:ascii="Arial" w:eastAsia="SimSun" w:hAnsi="Arial"/>
                <w:b w:val="0"/>
                <w:lang w:eastAsia="zh-CN"/>
              </w:rPr>
            </w:pPr>
            <w:r w:rsidRPr="00735705">
              <w:rPr>
                <w:rFonts w:ascii="Arial" w:eastAsia="SimSun" w:hAnsi="Arial"/>
                <w:b w:val="0"/>
                <w:lang w:eastAsia="zh-CN"/>
              </w:rPr>
              <w:t>01.01.2018</w:t>
            </w:r>
          </w:p>
        </w:tc>
        <w:tc>
          <w:tcPr>
            <w:tcW w:w="2268" w:type="dxa"/>
            <w:shd w:val="clear" w:color="auto" w:fill="F2F2F2" w:themeFill="background1" w:themeFillShade="F2"/>
            <w:vAlign w:val="center"/>
          </w:tcPr>
          <w:p w14:paraId="5377B040" w14:textId="7B7E2E4E" w:rsidR="00A22AF0" w:rsidRPr="00735705" w:rsidRDefault="00477B43" w:rsidP="00477B43">
            <w:pPr>
              <w:tabs>
                <w:tab w:val="right" w:pos="-1800"/>
                <w:tab w:val="left" w:pos="1440"/>
              </w:tabs>
              <w:spacing w:after="0" w:line="240" w:lineRule="auto"/>
              <w:ind w:right="169"/>
              <w:rPr>
                <w:rFonts w:ascii="Arial" w:eastAsia="SimSun" w:hAnsi="Arial"/>
                <w:b w:val="0"/>
                <w:lang w:eastAsia="zh-CN"/>
              </w:rPr>
            </w:pPr>
            <w:r w:rsidRPr="00735705">
              <w:rPr>
                <w:rFonts w:ascii="Arial" w:eastAsia="SimSun" w:hAnsi="Arial"/>
                <w:b w:val="0"/>
                <w:lang w:eastAsia="zh-CN"/>
              </w:rPr>
              <w:t xml:space="preserve">Envisioned grant(s) </w:t>
            </w:r>
            <w:r w:rsidR="00232DD8" w:rsidRPr="00735705">
              <w:rPr>
                <w:rFonts w:ascii="Arial" w:eastAsia="SimSun" w:hAnsi="Arial"/>
                <w:b w:val="0"/>
                <w:lang w:eastAsia="zh-CN"/>
              </w:rPr>
              <w:t>end d</w:t>
            </w:r>
            <w:r w:rsidRPr="00735705">
              <w:rPr>
                <w:rFonts w:ascii="Arial" w:eastAsia="SimSun" w:hAnsi="Arial"/>
                <w:b w:val="0"/>
                <w:lang w:eastAsia="zh-CN"/>
              </w:rPr>
              <w:t>ate</w:t>
            </w:r>
          </w:p>
        </w:tc>
        <w:tc>
          <w:tcPr>
            <w:tcW w:w="2410" w:type="dxa"/>
            <w:vAlign w:val="center"/>
          </w:tcPr>
          <w:p w14:paraId="31B15780" w14:textId="4B536C63" w:rsidR="00A22AF0" w:rsidRPr="00735705" w:rsidRDefault="006A555F" w:rsidP="00765479">
            <w:pPr>
              <w:tabs>
                <w:tab w:val="right" w:pos="-1800"/>
                <w:tab w:val="left" w:pos="1440"/>
              </w:tabs>
              <w:spacing w:after="0" w:line="240" w:lineRule="auto"/>
              <w:ind w:right="-613"/>
              <w:rPr>
                <w:rFonts w:ascii="Arial" w:eastAsia="SimSun" w:hAnsi="Arial"/>
                <w:b w:val="0"/>
                <w:lang w:eastAsia="zh-CN"/>
              </w:rPr>
            </w:pPr>
            <w:r w:rsidRPr="00735705">
              <w:rPr>
                <w:rFonts w:ascii="Arial" w:eastAsia="SimSun" w:hAnsi="Arial"/>
                <w:b w:val="0"/>
                <w:lang w:eastAsia="zh-CN"/>
              </w:rPr>
              <w:t>31.12.2020</w:t>
            </w:r>
          </w:p>
        </w:tc>
      </w:tr>
      <w:tr w:rsidR="00232DD8" w:rsidRPr="00735705" w14:paraId="509F74C8" w14:textId="77777777" w:rsidTr="002043E0">
        <w:trPr>
          <w:trHeight w:val="339"/>
        </w:trPr>
        <w:tc>
          <w:tcPr>
            <w:tcW w:w="2263" w:type="dxa"/>
            <w:shd w:val="clear" w:color="auto" w:fill="F2F2F2" w:themeFill="background1" w:themeFillShade="F2"/>
            <w:vAlign w:val="center"/>
          </w:tcPr>
          <w:p w14:paraId="6B87A26C" w14:textId="77777777" w:rsidR="00232DD8" w:rsidRPr="00735705" w:rsidRDefault="00232DD8" w:rsidP="00232DD8">
            <w:pPr>
              <w:tabs>
                <w:tab w:val="right" w:pos="-1800"/>
                <w:tab w:val="left" w:pos="1440"/>
              </w:tabs>
              <w:spacing w:after="0"/>
              <w:ind w:right="34"/>
              <w:rPr>
                <w:rFonts w:ascii="Arial" w:eastAsia="SimSun" w:hAnsi="Arial"/>
                <w:b w:val="0"/>
                <w:lang w:eastAsia="zh-CN"/>
              </w:rPr>
            </w:pPr>
            <w:r w:rsidRPr="00735705">
              <w:rPr>
                <w:rFonts w:ascii="Arial" w:eastAsia="SimSun" w:hAnsi="Arial"/>
                <w:b w:val="0"/>
                <w:lang w:eastAsia="zh-CN"/>
              </w:rPr>
              <w:t>Allocation funding request</w:t>
            </w:r>
          </w:p>
        </w:tc>
        <w:tc>
          <w:tcPr>
            <w:tcW w:w="2268" w:type="dxa"/>
            <w:vAlign w:val="center"/>
          </w:tcPr>
          <w:p w14:paraId="4D6EF415" w14:textId="7D1500B5" w:rsidR="00232DD8" w:rsidRPr="00735705" w:rsidRDefault="002043E0" w:rsidP="00232DD8">
            <w:pPr>
              <w:tabs>
                <w:tab w:val="right" w:pos="-1800"/>
                <w:tab w:val="left" w:pos="1440"/>
              </w:tabs>
              <w:spacing w:after="0"/>
              <w:ind w:right="-613"/>
              <w:rPr>
                <w:rFonts w:ascii="Arial" w:eastAsia="SimSun" w:hAnsi="Arial"/>
                <w:b w:val="0"/>
                <w:i/>
                <w:lang w:eastAsia="zh-CN"/>
              </w:rPr>
            </w:pPr>
            <w:r>
              <w:rPr>
                <w:rFonts w:ascii="Arial" w:eastAsia="SimSun" w:hAnsi="Arial"/>
                <w:b w:val="0"/>
                <w:i/>
                <w:lang w:eastAsia="zh-CN"/>
              </w:rPr>
              <w:t>US$</w:t>
            </w:r>
            <w:r w:rsidR="006A555F" w:rsidRPr="00735705">
              <w:rPr>
                <w:rFonts w:ascii="Arial" w:eastAsia="SimSun" w:hAnsi="Arial"/>
                <w:b w:val="0"/>
                <w:i/>
                <w:lang w:eastAsia="zh-CN"/>
              </w:rPr>
              <w:t>4,500,000</w:t>
            </w:r>
          </w:p>
        </w:tc>
        <w:tc>
          <w:tcPr>
            <w:tcW w:w="2268" w:type="dxa"/>
            <w:shd w:val="clear" w:color="auto" w:fill="F2F2F2" w:themeFill="background1" w:themeFillShade="F2"/>
            <w:vAlign w:val="center"/>
          </w:tcPr>
          <w:p w14:paraId="3496A45E" w14:textId="77777777" w:rsidR="00232DD8" w:rsidRPr="00735705" w:rsidRDefault="00232DD8" w:rsidP="00232DD8">
            <w:pPr>
              <w:tabs>
                <w:tab w:val="right" w:pos="-1800"/>
                <w:tab w:val="left" w:pos="1440"/>
              </w:tabs>
              <w:spacing w:after="0"/>
              <w:ind w:right="169"/>
              <w:rPr>
                <w:rFonts w:ascii="Arial" w:eastAsia="SimSun" w:hAnsi="Arial"/>
                <w:b w:val="0"/>
                <w:lang w:eastAsia="zh-CN"/>
              </w:rPr>
            </w:pPr>
            <w:r w:rsidRPr="00735705">
              <w:rPr>
                <w:rFonts w:ascii="Arial" w:eastAsia="SimSun" w:hAnsi="Arial"/>
                <w:b w:val="0"/>
                <w:lang w:eastAsia="zh-CN"/>
              </w:rPr>
              <w:t>Prioritized above allocation request</w:t>
            </w:r>
          </w:p>
        </w:tc>
        <w:tc>
          <w:tcPr>
            <w:tcW w:w="2410" w:type="dxa"/>
            <w:vAlign w:val="center"/>
          </w:tcPr>
          <w:p w14:paraId="122C82B8" w14:textId="323EAB6C" w:rsidR="00232DD8" w:rsidRPr="00735705" w:rsidRDefault="005F3C46" w:rsidP="00232DD8">
            <w:pPr>
              <w:tabs>
                <w:tab w:val="right" w:pos="-1800"/>
                <w:tab w:val="left" w:pos="1440"/>
              </w:tabs>
              <w:spacing w:after="0"/>
              <w:ind w:right="-613"/>
              <w:rPr>
                <w:rFonts w:ascii="Arial" w:eastAsia="SimSun" w:hAnsi="Arial"/>
                <w:b w:val="0"/>
                <w:lang w:eastAsia="zh-CN"/>
              </w:rPr>
            </w:pPr>
            <w:r>
              <w:rPr>
                <w:rFonts w:ascii="Arial" w:eastAsia="SimSun" w:hAnsi="Arial"/>
                <w:b w:val="0"/>
                <w:lang w:eastAsia="zh-CN"/>
              </w:rPr>
              <w:t>n/a</w:t>
            </w:r>
          </w:p>
        </w:tc>
      </w:tr>
    </w:tbl>
    <w:p w14:paraId="400575BF" w14:textId="2461F523" w:rsidR="0048135A" w:rsidRPr="00735705" w:rsidRDefault="0048135A">
      <w:pPr>
        <w:spacing w:after="0" w:line="240" w:lineRule="auto"/>
        <w:rPr>
          <w:rFonts w:ascii="Arial" w:eastAsia="SimSun" w:hAnsi="Arial"/>
          <w:b w:val="0"/>
          <w:sz w:val="20"/>
          <w:szCs w:val="20"/>
          <w:lang w:eastAsia="zh-CN"/>
        </w:rPr>
      </w:pPr>
    </w:p>
    <w:tbl>
      <w:tblPr>
        <w:tblW w:w="9209"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8217"/>
        <w:gridCol w:w="992"/>
      </w:tblGrid>
      <w:tr w:rsidR="009877B2" w:rsidRPr="00735705" w14:paraId="5C47E788" w14:textId="77777777" w:rsidTr="00E45AAA">
        <w:trPr>
          <w:trHeight w:val="408"/>
        </w:trPr>
        <w:tc>
          <w:tcPr>
            <w:tcW w:w="9209" w:type="dxa"/>
            <w:gridSpan w:val="2"/>
            <w:shd w:val="clear" w:color="auto" w:fill="1F497D"/>
            <w:vAlign w:val="center"/>
          </w:tcPr>
          <w:p w14:paraId="0FEB988C" w14:textId="05DDFF47" w:rsidR="009877B2" w:rsidRPr="00735705" w:rsidRDefault="009877B2" w:rsidP="00E45AAA">
            <w:pPr>
              <w:spacing w:after="0" w:line="240" w:lineRule="auto"/>
              <w:rPr>
                <w:rFonts w:ascii="Arial" w:hAnsi="Arial"/>
                <w:b w:val="0"/>
                <w:bCs/>
                <w:sz w:val="20"/>
                <w:szCs w:val="20"/>
              </w:rPr>
            </w:pPr>
            <w:r w:rsidRPr="00735705">
              <w:rPr>
                <w:rFonts w:ascii="Arial" w:hAnsi="Arial"/>
                <w:b w:val="0"/>
                <w:bCs/>
                <w:color w:val="FFFFFF" w:themeColor="background1"/>
                <w:sz w:val="20"/>
                <w:szCs w:val="20"/>
              </w:rPr>
              <w:t>SECTION 1: CONTEXT</w:t>
            </w:r>
          </w:p>
        </w:tc>
      </w:tr>
      <w:tr w:rsidR="00A056B1" w:rsidRPr="00735705" w14:paraId="21B660AB" w14:textId="77777777" w:rsidTr="00E45AAA">
        <w:trPr>
          <w:trHeight w:val="381"/>
        </w:trPr>
        <w:tc>
          <w:tcPr>
            <w:tcW w:w="9209" w:type="dxa"/>
            <w:gridSpan w:val="2"/>
            <w:shd w:val="clear" w:color="auto" w:fill="C6D9F1" w:themeFill="text2" w:themeFillTint="33"/>
            <w:vAlign w:val="center"/>
          </w:tcPr>
          <w:p w14:paraId="3E035A92" w14:textId="0A98487B" w:rsidR="00A056B1" w:rsidRPr="00735705" w:rsidRDefault="00A056B1" w:rsidP="00197829">
            <w:pPr>
              <w:spacing w:after="0" w:line="240" w:lineRule="auto"/>
              <w:rPr>
                <w:rFonts w:ascii="Arial" w:hAnsi="Arial"/>
                <w:b w:val="0"/>
                <w:sz w:val="20"/>
                <w:szCs w:val="20"/>
              </w:rPr>
            </w:pPr>
            <w:r w:rsidRPr="00735705">
              <w:rPr>
                <w:rFonts w:ascii="Arial" w:hAnsi="Arial"/>
                <w:b w:val="0"/>
                <w:bCs/>
                <w:sz w:val="20"/>
                <w:szCs w:val="20"/>
              </w:rPr>
              <w:t>1.1 Background</w:t>
            </w:r>
            <w:r w:rsidR="000D3914" w:rsidRPr="00735705">
              <w:rPr>
                <w:rFonts w:ascii="Arial" w:hAnsi="Arial"/>
                <w:b w:val="0"/>
                <w:bCs/>
                <w:sz w:val="20"/>
                <w:szCs w:val="20"/>
              </w:rPr>
              <w:t>:</w:t>
            </w:r>
            <w:r w:rsidRPr="00735705">
              <w:rPr>
                <w:rFonts w:ascii="Arial" w:hAnsi="Arial"/>
                <w:b w:val="0"/>
                <w:bCs/>
                <w:sz w:val="20"/>
                <w:szCs w:val="20"/>
              </w:rPr>
              <w:t xml:space="preserve"> </w:t>
            </w:r>
            <w:r w:rsidR="007A2AB8" w:rsidRPr="00735705">
              <w:rPr>
                <w:rFonts w:ascii="Arial" w:hAnsi="Arial"/>
                <w:b w:val="0"/>
                <w:bCs/>
                <w:sz w:val="20"/>
                <w:szCs w:val="20"/>
              </w:rPr>
              <w:t>Material Change triggers</w:t>
            </w:r>
          </w:p>
        </w:tc>
      </w:tr>
      <w:tr w:rsidR="00A056B1" w:rsidRPr="00735705" w14:paraId="33A91318" w14:textId="77777777" w:rsidTr="00765479">
        <w:trPr>
          <w:trHeight w:val="274"/>
        </w:trPr>
        <w:tc>
          <w:tcPr>
            <w:tcW w:w="9209" w:type="dxa"/>
            <w:gridSpan w:val="2"/>
            <w:shd w:val="clear" w:color="auto" w:fill="F2F2F2"/>
          </w:tcPr>
          <w:p w14:paraId="667BBA5B" w14:textId="3E34E62B" w:rsidR="00A056B1" w:rsidRPr="00735705" w:rsidRDefault="001D6A63" w:rsidP="00765479">
            <w:pPr>
              <w:spacing w:after="0" w:line="240" w:lineRule="auto"/>
              <w:jc w:val="both"/>
              <w:rPr>
                <w:rFonts w:ascii="Arial" w:hAnsi="Arial"/>
                <w:b w:val="0"/>
                <w:bCs/>
                <w:sz w:val="20"/>
                <w:szCs w:val="20"/>
              </w:rPr>
            </w:pPr>
            <w:r w:rsidRPr="00735705">
              <w:rPr>
                <w:rFonts w:ascii="Arial" w:hAnsi="Arial"/>
                <w:b w:val="0"/>
                <w:bCs/>
                <w:sz w:val="20"/>
                <w:szCs w:val="20"/>
              </w:rPr>
              <w:t xml:space="preserve">Indicate below the area(s) of change that most accurately describes the need for revising the programming of certain areas. </w:t>
            </w:r>
            <w:r w:rsidR="00A056B1" w:rsidRPr="00735705">
              <w:rPr>
                <w:rFonts w:ascii="Arial" w:hAnsi="Arial"/>
                <w:b w:val="0"/>
                <w:bCs/>
                <w:sz w:val="20"/>
                <w:szCs w:val="20"/>
              </w:rPr>
              <w:t xml:space="preserve">Refer to the </w:t>
            </w:r>
            <w:r w:rsidR="00A056B1" w:rsidRPr="00735705">
              <w:rPr>
                <w:rFonts w:ascii="Arial" w:hAnsi="Arial"/>
                <w:b w:val="0"/>
                <w:bCs/>
                <w:i/>
                <w:sz w:val="20"/>
                <w:szCs w:val="20"/>
              </w:rPr>
              <w:t>Instructions</w:t>
            </w:r>
            <w:r w:rsidR="003420E4" w:rsidRPr="00735705">
              <w:rPr>
                <w:rFonts w:ascii="Arial" w:hAnsi="Arial"/>
                <w:b w:val="0"/>
                <w:bCs/>
                <w:i/>
                <w:sz w:val="20"/>
                <w:szCs w:val="20"/>
              </w:rPr>
              <w:t xml:space="preserve"> </w:t>
            </w:r>
            <w:r w:rsidR="00A056B1" w:rsidRPr="00735705">
              <w:rPr>
                <w:rFonts w:ascii="Arial" w:hAnsi="Arial"/>
                <w:b w:val="0"/>
                <w:bCs/>
                <w:sz w:val="20"/>
                <w:szCs w:val="20"/>
              </w:rPr>
              <w:t xml:space="preserve">and the </w:t>
            </w:r>
            <w:hyperlink r:id="rId14" w:history="1">
              <w:r w:rsidR="00A056B1" w:rsidRPr="00735705">
                <w:rPr>
                  <w:rStyle w:val="Hyperlink"/>
                  <w:rFonts w:ascii="Arial" w:hAnsi="Arial" w:cs="Arial"/>
                  <w:b w:val="0"/>
                  <w:bCs/>
                  <w:i/>
                  <w:sz w:val="20"/>
                  <w:szCs w:val="20"/>
                </w:rPr>
                <w:t>Operational Policy Note on Access to Funding and Grant-making</w:t>
              </w:r>
            </w:hyperlink>
            <w:r w:rsidR="003420E4" w:rsidRPr="00735705">
              <w:rPr>
                <w:rFonts w:ascii="Arial" w:hAnsi="Arial"/>
                <w:b w:val="0"/>
                <w:bCs/>
                <w:i/>
                <w:sz w:val="20"/>
                <w:szCs w:val="20"/>
              </w:rPr>
              <w:t xml:space="preserve"> </w:t>
            </w:r>
            <w:r w:rsidR="003420E4" w:rsidRPr="00735705">
              <w:rPr>
                <w:rFonts w:ascii="Arial" w:hAnsi="Arial"/>
                <w:b w:val="0"/>
                <w:bCs/>
                <w:sz w:val="20"/>
                <w:szCs w:val="20"/>
              </w:rPr>
              <w:t>(</w:t>
            </w:r>
            <w:r w:rsidR="003420E4" w:rsidRPr="00735705">
              <w:rPr>
                <w:rFonts w:ascii="Arial" w:hAnsi="Arial"/>
                <w:b w:val="0"/>
                <w:bCs/>
                <w:i/>
                <w:sz w:val="20"/>
                <w:szCs w:val="20"/>
              </w:rPr>
              <w:t>forthcoming</w:t>
            </w:r>
            <w:r w:rsidR="003420E4" w:rsidRPr="00735705">
              <w:rPr>
                <w:rFonts w:ascii="Arial" w:hAnsi="Arial"/>
                <w:b w:val="0"/>
                <w:bCs/>
                <w:sz w:val="20"/>
                <w:szCs w:val="20"/>
              </w:rPr>
              <w:t>)</w:t>
            </w:r>
            <w:r w:rsidR="00AD1A5E" w:rsidRPr="00735705">
              <w:rPr>
                <w:rFonts w:ascii="Arial" w:hAnsi="Arial"/>
                <w:b w:val="0"/>
                <w:bCs/>
                <w:i/>
                <w:sz w:val="20"/>
                <w:szCs w:val="20"/>
              </w:rPr>
              <w:t xml:space="preserve"> </w:t>
            </w:r>
            <w:r w:rsidR="00A056B1" w:rsidRPr="00735705">
              <w:rPr>
                <w:rFonts w:ascii="Arial" w:hAnsi="Arial"/>
                <w:b w:val="0"/>
                <w:bCs/>
                <w:sz w:val="20"/>
                <w:szCs w:val="20"/>
              </w:rPr>
              <w:t>for material c</w:t>
            </w:r>
            <w:r w:rsidR="009877B2" w:rsidRPr="00735705">
              <w:rPr>
                <w:rFonts w:ascii="Arial" w:hAnsi="Arial"/>
                <w:b w:val="0"/>
                <w:bCs/>
                <w:sz w:val="20"/>
                <w:szCs w:val="20"/>
              </w:rPr>
              <w:t xml:space="preserve">hange definition and triggers. </w:t>
            </w:r>
          </w:p>
        </w:tc>
      </w:tr>
      <w:tr w:rsidR="00CE5204" w:rsidRPr="00735705" w14:paraId="4FD6F3F7" w14:textId="77777777" w:rsidTr="00765479">
        <w:tblPrEx>
          <w:tblCellMar>
            <w:left w:w="10" w:type="dxa"/>
            <w:right w:w="10" w:type="dxa"/>
          </w:tblCellMar>
          <w:tblLook w:val="04A0" w:firstRow="1" w:lastRow="0" w:firstColumn="1" w:lastColumn="0" w:noHBand="0" w:noVBand="1"/>
        </w:tblPrEx>
        <w:trPr>
          <w:trHeight w:val="349"/>
        </w:trPr>
        <w:tc>
          <w:tcPr>
            <w:tcW w:w="9209" w:type="dxa"/>
            <w:gridSpan w:val="2"/>
            <w:shd w:val="clear" w:color="auto" w:fill="BFBFBF"/>
            <w:tcMar>
              <w:top w:w="0" w:type="dxa"/>
              <w:left w:w="108" w:type="dxa"/>
              <w:bottom w:w="0" w:type="dxa"/>
              <w:right w:w="108" w:type="dxa"/>
            </w:tcMar>
            <w:vAlign w:val="center"/>
            <w:hideMark/>
          </w:tcPr>
          <w:p w14:paraId="53D28F79" w14:textId="31D76BDE" w:rsidR="00CE5204" w:rsidRPr="00735705" w:rsidRDefault="00CE5204" w:rsidP="008552E5">
            <w:pPr>
              <w:pStyle w:val="ListParagraph"/>
              <w:numPr>
                <w:ilvl w:val="0"/>
                <w:numId w:val="8"/>
              </w:numPr>
              <w:spacing w:after="0" w:line="240" w:lineRule="auto"/>
              <w:ind w:left="313" w:hanging="313"/>
              <w:rPr>
                <w:rFonts w:ascii="Arial" w:eastAsia="MS Mincho" w:hAnsi="Arial"/>
                <w:b w:val="0"/>
                <w:color w:val="000000"/>
                <w:kern w:val="24"/>
                <w:sz w:val="20"/>
                <w:szCs w:val="20"/>
              </w:rPr>
            </w:pPr>
            <w:r w:rsidRPr="00735705">
              <w:rPr>
                <w:rFonts w:ascii="Arial" w:eastAsia="MS Mincho" w:hAnsi="Arial"/>
                <w:b w:val="0"/>
                <w:color w:val="000000"/>
                <w:kern w:val="24"/>
                <w:sz w:val="20"/>
                <w:szCs w:val="20"/>
              </w:rPr>
              <w:t>Epidemiological contextual updates</w:t>
            </w:r>
          </w:p>
        </w:tc>
      </w:tr>
      <w:tr w:rsidR="00CE5204" w:rsidRPr="00735705" w14:paraId="71BB63B4" w14:textId="77777777" w:rsidTr="00765479">
        <w:tblPrEx>
          <w:tblCellMar>
            <w:left w:w="10" w:type="dxa"/>
            <w:right w:w="10" w:type="dxa"/>
          </w:tblCellMar>
          <w:tblLook w:val="04A0" w:firstRow="1" w:lastRow="0" w:firstColumn="1" w:lastColumn="0" w:noHBand="0" w:noVBand="1"/>
        </w:tblPrEx>
        <w:trPr>
          <w:trHeight w:val="1086"/>
        </w:trPr>
        <w:tc>
          <w:tcPr>
            <w:tcW w:w="8217" w:type="dxa"/>
            <w:tcBorders>
              <w:right w:val="single" w:sz="4" w:space="0" w:color="808080" w:themeColor="background1" w:themeShade="80"/>
            </w:tcBorders>
            <w:shd w:val="clear" w:color="auto" w:fill="auto"/>
            <w:tcMar>
              <w:top w:w="0" w:type="dxa"/>
              <w:left w:w="108" w:type="dxa"/>
              <w:bottom w:w="0" w:type="dxa"/>
              <w:right w:w="108" w:type="dxa"/>
            </w:tcMar>
            <w:vAlign w:val="center"/>
            <w:hideMark/>
          </w:tcPr>
          <w:p w14:paraId="045A30DD" w14:textId="0B475676" w:rsidR="00CE5204" w:rsidRPr="00735705" w:rsidRDefault="00CE5204" w:rsidP="00765479">
            <w:pPr>
              <w:spacing w:after="0" w:line="240" w:lineRule="auto"/>
              <w:jc w:val="both"/>
              <w:rPr>
                <w:rFonts w:ascii="Arial" w:eastAsia="Cambria" w:hAnsi="Arial"/>
                <w:b w:val="0"/>
                <w:sz w:val="20"/>
                <w:szCs w:val="20"/>
              </w:rPr>
            </w:pPr>
            <w:r w:rsidRPr="00735705">
              <w:rPr>
                <w:rFonts w:ascii="Arial" w:eastAsia="Cambria" w:hAnsi="Arial"/>
                <w:b w:val="0"/>
                <w:sz w:val="20"/>
                <w:szCs w:val="20"/>
              </w:rPr>
              <w:t xml:space="preserve">Are there any relevant changes in the country’s epidemiological context as compared to the previous funding request (e.g. important changes in trends in incidence/notification rates or prevalence, key drivers of the epidemics, emerging high risk behaviors, drug/insecticide resistance, or coverage of interventions in the general population or specific key populations based on the latest surveys or other data sources)? </w:t>
            </w:r>
          </w:p>
        </w:tc>
        <w:tc>
          <w:tcPr>
            <w:tcW w:w="99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113181" w14:textId="430C8EC4" w:rsidR="00CE5204" w:rsidRPr="00735705" w:rsidRDefault="00FC4D8E" w:rsidP="00765479">
            <w:pPr>
              <w:spacing w:after="0" w:line="240" w:lineRule="auto"/>
              <w:ind w:left="131"/>
              <w:rPr>
                <w:rFonts w:ascii="Arial" w:eastAsia="Cambria" w:hAnsi="Arial"/>
                <w:b w:val="0"/>
                <w:bCs/>
                <w:iCs/>
                <w:sz w:val="20"/>
                <w:szCs w:val="20"/>
              </w:rPr>
            </w:pPr>
            <w:sdt>
              <w:sdtPr>
                <w:rPr>
                  <w:rFonts w:ascii="Arial" w:eastAsia="Cambria" w:hAnsi="Arial"/>
                  <w:b w:val="0"/>
                  <w:sz w:val="20"/>
                  <w:szCs w:val="20"/>
                </w:rPr>
                <w:id w:val="-84534639"/>
                <w14:checkbox>
                  <w14:checked w14:val="1"/>
                  <w14:checkedState w14:val="2612" w14:font="MS Gothic"/>
                  <w14:uncheckedState w14:val="2610" w14:font="MS Gothic"/>
                </w14:checkbox>
              </w:sdtPr>
              <w:sdtEndPr/>
              <w:sdtContent>
                <w:r w:rsidR="009C64C7" w:rsidRPr="00735705">
                  <w:rPr>
                    <w:rFonts w:ascii="MS Gothic" w:eastAsia="MS Gothic" w:hAnsi="MS Gothic" w:hint="eastAsia"/>
                    <w:b w:val="0"/>
                    <w:sz w:val="20"/>
                    <w:szCs w:val="20"/>
                  </w:rPr>
                  <w:t>☒</w:t>
                </w:r>
              </w:sdtContent>
            </w:sdt>
            <w:r w:rsidR="00CE5204" w:rsidRPr="00735705">
              <w:rPr>
                <w:rFonts w:ascii="Arial" w:eastAsia="Cambria" w:hAnsi="Arial"/>
                <w:b w:val="0"/>
                <w:bCs/>
                <w:iCs/>
                <w:sz w:val="20"/>
                <w:szCs w:val="20"/>
              </w:rPr>
              <w:t xml:space="preserve"> Yes</w:t>
            </w:r>
          </w:p>
          <w:p w14:paraId="15A4E394" w14:textId="18583946" w:rsidR="00CE5204" w:rsidRPr="00735705" w:rsidRDefault="00FC4D8E" w:rsidP="00765479">
            <w:pPr>
              <w:spacing w:after="0" w:line="240" w:lineRule="auto"/>
              <w:ind w:left="131"/>
              <w:rPr>
                <w:rFonts w:ascii="Arial" w:eastAsia="Cambria" w:hAnsi="Arial"/>
                <w:b w:val="0"/>
                <w:sz w:val="20"/>
                <w:szCs w:val="20"/>
              </w:rPr>
            </w:pPr>
            <w:sdt>
              <w:sdtPr>
                <w:rPr>
                  <w:rFonts w:ascii="Arial" w:eastAsia="Cambria" w:hAnsi="Arial"/>
                  <w:b w:val="0"/>
                  <w:bCs/>
                  <w:iCs/>
                  <w:sz w:val="20"/>
                  <w:szCs w:val="20"/>
                </w:rPr>
                <w:id w:val="-2110570722"/>
                <w14:checkbox>
                  <w14:checked w14:val="0"/>
                  <w14:checkedState w14:val="2612" w14:font="MS Gothic"/>
                  <w14:uncheckedState w14:val="2610" w14:font="MS Gothic"/>
                </w14:checkbox>
              </w:sdtPr>
              <w:sdtEndPr/>
              <w:sdtContent>
                <w:r w:rsidR="00EB320A">
                  <w:rPr>
                    <w:rFonts w:ascii="MS Gothic" w:eastAsia="MS Gothic" w:hAnsi="MS Gothic" w:hint="eastAsia"/>
                    <w:b w:val="0"/>
                    <w:bCs/>
                    <w:iCs/>
                    <w:sz w:val="20"/>
                    <w:szCs w:val="20"/>
                  </w:rPr>
                  <w:t>☐</w:t>
                </w:r>
              </w:sdtContent>
            </w:sdt>
            <w:r w:rsidR="00CE5204" w:rsidRPr="00735705">
              <w:rPr>
                <w:rFonts w:ascii="Arial" w:eastAsia="Cambria" w:hAnsi="Arial"/>
                <w:b w:val="0"/>
                <w:bCs/>
                <w:iCs/>
                <w:sz w:val="20"/>
                <w:szCs w:val="20"/>
              </w:rPr>
              <w:t xml:space="preserve"> No</w:t>
            </w:r>
          </w:p>
        </w:tc>
      </w:tr>
      <w:tr w:rsidR="00CE5204" w:rsidRPr="00735705" w14:paraId="6669E4E6" w14:textId="77777777" w:rsidTr="00765479">
        <w:tblPrEx>
          <w:tblCellMar>
            <w:left w:w="10" w:type="dxa"/>
            <w:right w:w="10" w:type="dxa"/>
          </w:tblCellMar>
          <w:tblLook w:val="04A0" w:firstRow="1" w:lastRow="0" w:firstColumn="1" w:lastColumn="0" w:noHBand="0" w:noVBand="1"/>
        </w:tblPrEx>
        <w:trPr>
          <w:trHeight w:val="455"/>
        </w:trPr>
        <w:tc>
          <w:tcPr>
            <w:tcW w:w="9209" w:type="dxa"/>
            <w:gridSpan w:val="2"/>
            <w:shd w:val="clear" w:color="auto" w:fill="BFBFBF" w:themeFill="background1" w:themeFillShade="BF"/>
            <w:tcMar>
              <w:top w:w="0" w:type="dxa"/>
              <w:left w:w="108" w:type="dxa"/>
              <w:bottom w:w="0" w:type="dxa"/>
              <w:right w:w="108" w:type="dxa"/>
            </w:tcMar>
            <w:vAlign w:val="center"/>
            <w:hideMark/>
          </w:tcPr>
          <w:p w14:paraId="3CECE069" w14:textId="77777777" w:rsidR="00CE5204" w:rsidRPr="00735705" w:rsidRDefault="00CE5204" w:rsidP="008552E5">
            <w:pPr>
              <w:numPr>
                <w:ilvl w:val="0"/>
                <w:numId w:val="8"/>
              </w:numPr>
              <w:spacing w:after="0" w:line="240" w:lineRule="auto"/>
              <w:ind w:left="313" w:hanging="313"/>
              <w:contextualSpacing/>
              <w:rPr>
                <w:rFonts w:ascii="Arial" w:eastAsia="MS Mincho" w:hAnsi="Arial"/>
                <w:b w:val="0"/>
                <w:color w:val="000000"/>
                <w:kern w:val="24"/>
                <w:sz w:val="20"/>
                <w:szCs w:val="20"/>
              </w:rPr>
            </w:pPr>
            <w:r w:rsidRPr="00735705">
              <w:rPr>
                <w:rFonts w:ascii="Arial" w:eastAsia="MS Mincho" w:hAnsi="Arial"/>
                <w:b w:val="0"/>
                <w:color w:val="000000"/>
                <w:kern w:val="24"/>
                <w:sz w:val="20"/>
                <w:szCs w:val="20"/>
              </w:rPr>
              <w:t>National policies and strategies revisions and updates</w:t>
            </w:r>
          </w:p>
        </w:tc>
      </w:tr>
      <w:tr w:rsidR="00CE5204" w:rsidRPr="00735705" w14:paraId="550EB54D" w14:textId="77777777" w:rsidTr="00765479">
        <w:tblPrEx>
          <w:tblCellMar>
            <w:left w:w="10" w:type="dxa"/>
            <w:right w:w="10" w:type="dxa"/>
          </w:tblCellMar>
          <w:tblLook w:val="04A0" w:firstRow="1" w:lastRow="0" w:firstColumn="1" w:lastColumn="0" w:noHBand="0" w:noVBand="1"/>
        </w:tblPrEx>
        <w:trPr>
          <w:trHeight w:val="451"/>
        </w:trPr>
        <w:tc>
          <w:tcPr>
            <w:tcW w:w="8217" w:type="dxa"/>
            <w:shd w:val="clear" w:color="auto" w:fill="F2F2F2" w:themeFill="background1" w:themeFillShade="F2"/>
            <w:tcMar>
              <w:top w:w="0" w:type="dxa"/>
              <w:left w:w="108" w:type="dxa"/>
              <w:bottom w:w="0" w:type="dxa"/>
              <w:right w:w="108" w:type="dxa"/>
            </w:tcMar>
            <w:vAlign w:val="center"/>
            <w:hideMark/>
          </w:tcPr>
          <w:p w14:paraId="077F33B5" w14:textId="17587349" w:rsidR="00CE5204" w:rsidRPr="00735705" w:rsidRDefault="00CE5204" w:rsidP="00765479">
            <w:pPr>
              <w:spacing w:after="0" w:line="240" w:lineRule="auto"/>
              <w:jc w:val="both"/>
              <w:rPr>
                <w:rFonts w:ascii="Arial" w:eastAsia="Cambria" w:hAnsi="Arial"/>
                <w:b w:val="0"/>
                <w:sz w:val="20"/>
                <w:szCs w:val="20"/>
              </w:rPr>
            </w:pPr>
            <w:r w:rsidRPr="00735705">
              <w:rPr>
                <w:rFonts w:ascii="Arial" w:hAnsi="Arial"/>
                <w:b w:val="0"/>
                <w:bCs/>
                <w:sz w:val="20"/>
                <w:szCs w:val="20"/>
              </w:rPr>
              <w:t>Are there new approaches adopted within the national policy or strategy for the disease program (e.g. Test and Treat guidelines for HIV, short-term regimens for MDR-TB, shift in interventions from Malaria control to pre-elimination, expanded role of the private sector)?</w:t>
            </w:r>
            <w:r w:rsidRPr="00735705">
              <w:rPr>
                <w:rFonts w:ascii="Arial" w:eastAsia="Cambria" w:hAnsi="Arial"/>
                <w:b w:val="0"/>
                <w:sz w:val="20"/>
                <w:szCs w:val="20"/>
              </w:rPr>
              <w:t xml:space="preserve"> </w:t>
            </w:r>
          </w:p>
        </w:tc>
        <w:tc>
          <w:tcPr>
            <w:tcW w:w="992" w:type="dxa"/>
            <w:shd w:val="clear" w:color="auto" w:fill="F2F2F2" w:themeFill="background1" w:themeFillShade="F2"/>
            <w:vAlign w:val="center"/>
          </w:tcPr>
          <w:p w14:paraId="35EF6CAA" w14:textId="5031DFBF" w:rsidR="00CE5204" w:rsidRPr="00FB5359" w:rsidRDefault="00FC4D8E" w:rsidP="00765479">
            <w:pPr>
              <w:spacing w:after="0" w:line="240" w:lineRule="auto"/>
              <w:ind w:left="131"/>
              <w:rPr>
                <w:rFonts w:ascii="Arial" w:eastAsia="Cambria" w:hAnsi="Arial"/>
                <w:b w:val="0"/>
                <w:bCs/>
                <w:iCs/>
                <w:sz w:val="20"/>
                <w:szCs w:val="20"/>
              </w:rPr>
            </w:pPr>
            <w:sdt>
              <w:sdtPr>
                <w:rPr>
                  <w:rFonts w:ascii="Arial" w:eastAsia="Cambria" w:hAnsi="Arial"/>
                  <w:b w:val="0"/>
                  <w:bCs/>
                  <w:iCs/>
                  <w:sz w:val="20"/>
                  <w:szCs w:val="20"/>
                </w:rPr>
                <w:id w:val="-1091240722"/>
                <w14:checkbox>
                  <w14:checked w14:val="0"/>
                  <w14:checkedState w14:val="2612" w14:font="MS Gothic"/>
                  <w14:uncheckedState w14:val="2610" w14:font="MS Gothic"/>
                </w14:checkbox>
              </w:sdtPr>
              <w:sdtEndPr/>
              <w:sdtContent>
                <w:r w:rsidR="009C64C7" w:rsidRPr="00FB5359">
                  <w:rPr>
                    <w:rFonts w:ascii="MS Gothic" w:eastAsia="MS Gothic" w:hAnsi="MS Gothic"/>
                    <w:b w:val="0"/>
                    <w:bCs/>
                    <w:iCs/>
                    <w:sz w:val="20"/>
                    <w:szCs w:val="20"/>
                  </w:rPr>
                  <w:t>☐</w:t>
                </w:r>
              </w:sdtContent>
            </w:sdt>
            <w:r w:rsidR="00CE5204" w:rsidRPr="00FB5359">
              <w:rPr>
                <w:rFonts w:ascii="Arial" w:eastAsia="Cambria" w:hAnsi="Arial"/>
                <w:b w:val="0"/>
                <w:bCs/>
                <w:iCs/>
                <w:sz w:val="20"/>
                <w:szCs w:val="20"/>
              </w:rPr>
              <w:t xml:space="preserve"> Yes</w:t>
            </w:r>
          </w:p>
          <w:p w14:paraId="3D287B4B" w14:textId="62D9CBF1" w:rsidR="00CE5204" w:rsidRPr="00735705" w:rsidRDefault="00FC4D8E" w:rsidP="00765479">
            <w:pPr>
              <w:spacing w:after="0" w:line="240" w:lineRule="auto"/>
              <w:ind w:left="131"/>
              <w:rPr>
                <w:rFonts w:ascii="Arial" w:eastAsia="Cambria" w:hAnsi="Arial"/>
                <w:b w:val="0"/>
                <w:sz w:val="20"/>
                <w:szCs w:val="20"/>
                <w:highlight w:val="yellow"/>
              </w:rPr>
            </w:pPr>
            <w:sdt>
              <w:sdtPr>
                <w:rPr>
                  <w:rFonts w:ascii="Arial" w:eastAsia="Cambria" w:hAnsi="Arial"/>
                  <w:b w:val="0"/>
                  <w:bCs/>
                  <w:iCs/>
                  <w:sz w:val="20"/>
                  <w:szCs w:val="20"/>
                </w:rPr>
                <w:id w:val="-1768452908"/>
                <w14:checkbox>
                  <w14:checked w14:val="1"/>
                  <w14:checkedState w14:val="2612" w14:font="MS Gothic"/>
                  <w14:uncheckedState w14:val="2610" w14:font="MS Gothic"/>
                </w14:checkbox>
              </w:sdtPr>
              <w:sdtEndPr/>
              <w:sdtContent>
                <w:r w:rsidR="00705DFF" w:rsidRPr="00FB5359">
                  <w:rPr>
                    <w:rFonts w:ascii="MS Gothic" w:eastAsia="MS Gothic" w:hAnsi="MS Gothic" w:cs="Segoe UI Symbol"/>
                    <w:b w:val="0"/>
                    <w:bCs/>
                    <w:iCs/>
                    <w:sz w:val="20"/>
                    <w:szCs w:val="20"/>
                  </w:rPr>
                  <w:t>☒</w:t>
                </w:r>
              </w:sdtContent>
            </w:sdt>
            <w:r w:rsidR="00CE5204" w:rsidRPr="00FB5359">
              <w:rPr>
                <w:rFonts w:ascii="Arial" w:eastAsia="Cambria" w:hAnsi="Arial"/>
                <w:b w:val="0"/>
                <w:bCs/>
                <w:iCs/>
                <w:sz w:val="20"/>
                <w:szCs w:val="20"/>
              </w:rPr>
              <w:t xml:space="preserve"> No</w:t>
            </w:r>
          </w:p>
        </w:tc>
      </w:tr>
      <w:tr w:rsidR="00CE5204" w:rsidRPr="00735705" w14:paraId="4179AAA4" w14:textId="77777777" w:rsidTr="00765479">
        <w:tblPrEx>
          <w:tblCellMar>
            <w:left w:w="10" w:type="dxa"/>
            <w:right w:w="10" w:type="dxa"/>
          </w:tblCellMar>
          <w:tblLook w:val="04A0" w:firstRow="1" w:lastRow="0" w:firstColumn="1" w:lastColumn="0" w:noHBand="0" w:noVBand="1"/>
        </w:tblPrEx>
        <w:trPr>
          <w:trHeight w:val="503"/>
        </w:trPr>
        <w:tc>
          <w:tcPr>
            <w:tcW w:w="9209" w:type="dxa"/>
            <w:gridSpan w:val="2"/>
            <w:shd w:val="clear" w:color="auto" w:fill="BFBFBF" w:themeFill="background1" w:themeFillShade="BF"/>
            <w:tcMar>
              <w:top w:w="0" w:type="dxa"/>
              <w:left w:w="108" w:type="dxa"/>
              <w:bottom w:w="0" w:type="dxa"/>
              <w:right w:w="108" w:type="dxa"/>
            </w:tcMar>
            <w:vAlign w:val="center"/>
            <w:hideMark/>
          </w:tcPr>
          <w:p w14:paraId="304E28A2" w14:textId="77777777" w:rsidR="00CE5204" w:rsidRPr="00735705" w:rsidRDefault="00CE5204" w:rsidP="008552E5">
            <w:pPr>
              <w:numPr>
                <w:ilvl w:val="0"/>
                <w:numId w:val="8"/>
              </w:numPr>
              <w:spacing w:after="0" w:line="240" w:lineRule="auto"/>
              <w:ind w:left="313" w:hanging="313"/>
              <w:contextualSpacing/>
              <w:rPr>
                <w:rFonts w:ascii="Arial" w:eastAsia="MS Mincho" w:hAnsi="Arial"/>
                <w:b w:val="0"/>
                <w:color w:val="000000"/>
                <w:kern w:val="24"/>
                <w:sz w:val="20"/>
                <w:szCs w:val="20"/>
              </w:rPr>
            </w:pPr>
            <w:r w:rsidRPr="00735705">
              <w:rPr>
                <w:rFonts w:ascii="Arial" w:eastAsia="MS Mincho" w:hAnsi="Arial"/>
                <w:b w:val="0"/>
                <w:color w:val="000000"/>
                <w:kern w:val="24"/>
                <w:sz w:val="20"/>
                <w:szCs w:val="20"/>
              </w:rPr>
              <w:t xml:space="preserve">Investing to maximize impact towards ending the epidemics </w:t>
            </w:r>
          </w:p>
        </w:tc>
      </w:tr>
      <w:tr w:rsidR="00CE5204" w:rsidRPr="00735705" w14:paraId="34D65254" w14:textId="77777777" w:rsidTr="00765479">
        <w:tblPrEx>
          <w:tblCellMar>
            <w:left w:w="10" w:type="dxa"/>
            <w:right w:w="10" w:type="dxa"/>
          </w:tblCellMar>
          <w:tblLook w:val="04A0" w:firstRow="1" w:lastRow="0" w:firstColumn="1" w:lastColumn="0" w:noHBand="0" w:noVBand="1"/>
        </w:tblPrEx>
        <w:trPr>
          <w:trHeight w:val="186"/>
        </w:trPr>
        <w:tc>
          <w:tcPr>
            <w:tcW w:w="8217" w:type="dxa"/>
            <w:shd w:val="clear" w:color="auto" w:fill="F2F2F2" w:themeFill="background1" w:themeFillShade="F2"/>
            <w:tcMar>
              <w:top w:w="0" w:type="dxa"/>
              <w:left w:w="108" w:type="dxa"/>
              <w:bottom w:w="0" w:type="dxa"/>
              <w:right w:w="108" w:type="dxa"/>
            </w:tcMar>
            <w:vAlign w:val="center"/>
            <w:hideMark/>
          </w:tcPr>
          <w:p w14:paraId="141A6E02" w14:textId="08E7CB42" w:rsidR="00CE5204" w:rsidRPr="00735705" w:rsidRDefault="00CE5204" w:rsidP="00765479">
            <w:pPr>
              <w:spacing w:after="0" w:line="240" w:lineRule="auto"/>
              <w:jc w:val="both"/>
              <w:rPr>
                <w:rFonts w:ascii="Arial" w:eastAsia="Cambria" w:hAnsi="Arial"/>
                <w:b w:val="0"/>
                <w:sz w:val="20"/>
                <w:szCs w:val="20"/>
              </w:rPr>
            </w:pPr>
            <w:r w:rsidRPr="00735705">
              <w:rPr>
                <w:rFonts w:ascii="Arial" w:hAnsi="Arial"/>
                <w:b w:val="0"/>
                <w:bCs/>
                <w:sz w:val="20"/>
                <w:szCs w:val="20"/>
              </w:rPr>
              <w:t xml:space="preserve">Referring to available evidence and inputs from technical partners and key stakeholders, </w:t>
            </w:r>
            <w:r w:rsidR="006D791A" w:rsidRPr="00735705">
              <w:rPr>
                <w:rFonts w:ascii="Arial" w:hAnsi="Arial"/>
                <w:b w:val="0"/>
                <w:bCs/>
                <w:sz w:val="20"/>
                <w:szCs w:val="20"/>
              </w:rPr>
              <w:t>does the current program continue to be relevant, and is it progressing and generally on track to achieve results and impact?</w:t>
            </w:r>
          </w:p>
        </w:tc>
        <w:tc>
          <w:tcPr>
            <w:tcW w:w="992" w:type="dxa"/>
            <w:shd w:val="clear" w:color="auto" w:fill="F2F2F2" w:themeFill="background1" w:themeFillShade="F2"/>
            <w:vAlign w:val="center"/>
          </w:tcPr>
          <w:p w14:paraId="54FAF467" w14:textId="04853FE0" w:rsidR="00CE5204" w:rsidRPr="00735705" w:rsidRDefault="00FC4D8E" w:rsidP="00765479">
            <w:pPr>
              <w:spacing w:after="0" w:line="240" w:lineRule="auto"/>
              <w:ind w:left="131"/>
              <w:rPr>
                <w:rFonts w:ascii="Arial" w:eastAsia="Cambria" w:hAnsi="Arial"/>
                <w:b w:val="0"/>
                <w:bCs/>
                <w:iCs/>
                <w:sz w:val="20"/>
                <w:szCs w:val="20"/>
              </w:rPr>
            </w:pPr>
            <w:sdt>
              <w:sdtPr>
                <w:rPr>
                  <w:rFonts w:ascii="Arial" w:eastAsia="Cambria" w:hAnsi="Arial"/>
                  <w:b w:val="0"/>
                  <w:sz w:val="20"/>
                  <w:szCs w:val="20"/>
                </w:rPr>
                <w:id w:val="2129581459"/>
                <w14:checkbox>
                  <w14:checked w14:val="1"/>
                  <w14:checkedState w14:val="2612" w14:font="MS Gothic"/>
                  <w14:uncheckedState w14:val="2610" w14:font="MS Gothic"/>
                </w14:checkbox>
              </w:sdtPr>
              <w:sdtEndPr/>
              <w:sdtContent>
                <w:r w:rsidR="009C64C7" w:rsidRPr="00735705">
                  <w:rPr>
                    <w:rFonts w:ascii="MS Gothic" w:eastAsia="MS Gothic" w:hAnsi="MS Gothic" w:hint="eastAsia"/>
                    <w:b w:val="0"/>
                    <w:sz w:val="20"/>
                    <w:szCs w:val="20"/>
                  </w:rPr>
                  <w:t>☒</w:t>
                </w:r>
              </w:sdtContent>
            </w:sdt>
            <w:r w:rsidR="00CE5204" w:rsidRPr="00735705">
              <w:rPr>
                <w:rFonts w:ascii="Arial" w:eastAsia="Cambria" w:hAnsi="Arial"/>
                <w:b w:val="0"/>
                <w:bCs/>
                <w:iCs/>
                <w:sz w:val="20"/>
                <w:szCs w:val="20"/>
              </w:rPr>
              <w:t xml:space="preserve"> Yes</w:t>
            </w:r>
          </w:p>
          <w:p w14:paraId="3A7EFDAB" w14:textId="1ACCC904" w:rsidR="00CE5204" w:rsidRPr="00735705" w:rsidRDefault="00FC4D8E" w:rsidP="00765479">
            <w:pPr>
              <w:spacing w:after="0" w:line="240" w:lineRule="auto"/>
              <w:ind w:left="131"/>
              <w:rPr>
                <w:rFonts w:ascii="Arial" w:eastAsia="Cambria" w:hAnsi="Arial"/>
                <w:b w:val="0"/>
                <w:sz w:val="20"/>
                <w:szCs w:val="20"/>
              </w:rPr>
            </w:pPr>
            <w:sdt>
              <w:sdtPr>
                <w:rPr>
                  <w:rFonts w:ascii="Arial" w:eastAsia="Cambria" w:hAnsi="Arial"/>
                  <w:b w:val="0"/>
                  <w:bCs/>
                  <w:iCs/>
                  <w:sz w:val="20"/>
                  <w:szCs w:val="20"/>
                </w:rPr>
                <w:id w:val="-959418707"/>
                <w14:checkbox>
                  <w14:checked w14:val="0"/>
                  <w14:checkedState w14:val="2612" w14:font="MS Gothic"/>
                  <w14:uncheckedState w14:val="2610" w14:font="MS Gothic"/>
                </w14:checkbox>
              </w:sdtPr>
              <w:sdtEndPr/>
              <w:sdtContent>
                <w:r w:rsidR="00FB5359">
                  <w:rPr>
                    <w:rFonts w:ascii="MS Gothic" w:eastAsia="MS Gothic" w:hAnsi="MS Gothic" w:hint="eastAsia"/>
                    <w:b w:val="0"/>
                    <w:bCs/>
                    <w:iCs/>
                    <w:sz w:val="20"/>
                    <w:szCs w:val="20"/>
                  </w:rPr>
                  <w:t>☐</w:t>
                </w:r>
              </w:sdtContent>
            </w:sdt>
            <w:r w:rsidR="00CE5204" w:rsidRPr="00735705">
              <w:rPr>
                <w:rFonts w:ascii="Arial" w:eastAsia="Cambria" w:hAnsi="Arial"/>
                <w:b w:val="0"/>
                <w:bCs/>
                <w:iCs/>
                <w:sz w:val="20"/>
                <w:szCs w:val="20"/>
              </w:rPr>
              <w:t xml:space="preserve"> No</w:t>
            </w:r>
          </w:p>
        </w:tc>
      </w:tr>
      <w:tr w:rsidR="00CE5204" w:rsidRPr="00735705" w14:paraId="1BB20A4C" w14:textId="77777777" w:rsidTr="00765479">
        <w:tblPrEx>
          <w:tblCellMar>
            <w:left w:w="10" w:type="dxa"/>
            <w:right w:w="10" w:type="dxa"/>
          </w:tblCellMar>
          <w:tblLook w:val="04A0" w:firstRow="1" w:lastRow="0" w:firstColumn="1" w:lastColumn="0" w:noHBand="0" w:noVBand="1"/>
        </w:tblPrEx>
        <w:trPr>
          <w:trHeight w:val="400"/>
        </w:trPr>
        <w:tc>
          <w:tcPr>
            <w:tcW w:w="9209" w:type="dxa"/>
            <w:gridSpan w:val="2"/>
            <w:shd w:val="clear" w:color="auto" w:fill="BFBFBF" w:themeFill="background1" w:themeFillShade="BF"/>
            <w:tcMar>
              <w:top w:w="0" w:type="dxa"/>
              <w:left w:w="108" w:type="dxa"/>
              <w:bottom w:w="0" w:type="dxa"/>
              <w:right w:w="108" w:type="dxa"/>
            </w:tcMar>
            <w:vAlign w:val="center"/>
            <w:hideMark/>
          </w:tcPr>
          <w:p w14:paraId="1D2125C0" w14:textId="77777777" w:rsidR="00CE5204" w:rsidRPr="00735705" w:rsidRDefault="00CE5204" w:rsidP="008552E5">
            <w:pPr>
              <w:numPr>
                <w:ilvl w:val="0"/>
                <w:numId w:val="8"/>
              </w:numPr>
              <w:spacing w:after="0" w:line="240" w:lineRule="auto"/>
              <w:ind w:left="313" w:hanging="313"/>
              <w:contextualSpacing/>
              <w:rPr>
                <w:rFonts w:ascii="Arial" w:eastAsia="MS Mincho" w:hAnsi="Arial"/>
                <w:b w:val="0"/>
                <w:color w:val="000000"/>
                <w:kern w:val="24"/>
                <w:sz w:val="20"/>
                <w:szCs w:val="20"/>
              </w:rPr>
            </w:pPr>
            <w:r w:rsidRPr="00735705">
              <w:rPr>
                <w:rFonts w:ascii="Arial" w:eastAsia="MS Mincho" w:hAnsi="Arial"/>
                <w:b w:val="0"/>
                <w:color w:val="000000"/>
                <w:kern w:val="24"/>
                <w:sz w:val="20"/>
                <w:szCs w:val="20"/>
              </w:rPr>
              <w:t>Alignment with 2017 – 2022 Global Fund Strategy Objectives 2 and 3</w:t>
            </w:r>
          </w:p>
        </w:tc>
      </w:tr>
      <w:tr w:rsidR="00CE5204" w:rsidRPr="00735705" w14:paraId="2F714F9E" w14:textId="77777777" w:rsidTr="00765479">
        <w:tblPrEx>
          <w:tblCellMar>
            <w:left w:w="10" w:type="dxa"/>
            <w:right w:w="10" w:type="dxa"/>
          </w:tblCellMar>
          <w:tblLook w:val="04A0" w:firstRow="1" w:lastRow="0" w:firstColumn="1" w:lastColumn="0" w:noHBand="0" w:noVBand="1"/>
        </w:tblPrEx>
        <w:trPr>
          <w:trHeight w:val="400"/>
        </w:trPr>
        <w:tc>
          <w:tcPr>
            <w:tcW w:w="9209" w:type="dxa"/>
            <w:gridSpan w:val="2"/>
            <w:shd w:val="clear" w:color="auto" w:fill="EEECE1"/>
            <w:tcMar>
              <w:top w:w="0" w:type="dxa"/>
              <w:left w:w="108" w:type="dxa"/>
              <w:bottom w:w="0" w:type="dxa"/>
              <w:right w:w="108" w:type="dxa"/>
            </w:tcMar>
            <w:vAlign w:val="center"/>
          </w:tcPr>
          <w:p w14:paraId="1841CD65" w14:textId="77777777" w:rsidR="00CE5204" w:rsidRPr="00735705" w:rsidRDefault="00CE5204" w:rsidP="00765479">
            <w:pPr>
              <w:spacing w:after="0" w:line="240" w:lineRule="auto"/>
              <w:rPr>
                <w:rFonts w:ascii="Arial" w:eastAsia="MS Mincho" w:hAnsi="Arial"/>
                <w:b w:val="0"/>
                <w:color w:val="000000"/>
                <w:kern w:val="24"/>
                <w:sz w:val="20"/>
                <w:szCs w:val="20"/>
              </w:rPr>
            </w:pPr>
            <w:r w:rsidRPr="00735705">
              <w:rPr>
                <w:rFonts w:ascii="Arial" w:eastAsia="MS Mincho" w:hAnsi="Arial"/>
                <w:b w:val="0"/>
                <w:color w:val="000000"/>
                <w:kern w:val="24"/>
                <w:sz w:val="20"/>
                <w:szCs w:val="20"/>
              </w:rPr>
              <w:t>Objective 2 to Build Resilient and Sustainable Systems for Health</w:t>
            </w:r>
          </w:p>
        </w:tc>
      </w:tr>
      <w:tr w:rsidR="00CE5204" w:rsidRPr="00735705" w14:paraId="1D554A05" w14:textId="77777777" w:rsidTr="00765479">
        <w:tblPrEx>
          <w:tblCellMar>
            <w:left w:w="10" w:type="dxa"/>
            <w:right w:w="10" w:type="dxa"/>
          </w:tblCellMar>
          <w:tblLook w:val="04A0" w:firstRow="1" w:lastRow="0" w:firstColumn="1" w:lastColumn="0" w:noHBand="0" w:noVBand="1"/>
        </w:tblPrEx>
        <w:trPr>
          <w:trHeight w:val="283"/>
        </w:trPr>
        <w:tc>
          <w:tcPr>
            <w:tcW w:w="8217" w:type="dxa"/>
            <w:shd w:val="clear" w:color="auto" w:fill="F2F2F2" w:themeFill="background1" w:themeFillShade="F2"/>
            <w:tcMar>
              <w:top w:w="0" w:type="dxa"/>
              <w:left w:w="108" w:type="dxa"/>
              <w:bottom w:w="0" w:type="dxa"/>
              <w:right w:w="108" w:type="dxa"/>
            </w:tcMar>
            <w:vAlign w:val="center"/>
            <w:hideMark/>
          </w:tcPr>
          <w:p w14:paraId="29083585" w14:textId="1AAC7CDF" w:rsidR="002043E0" w:rsidRPr="002043E0" w:rsidRDefault="00BD774C" w:rsidP="00765479">
            <w:pPr>
              <w:spacing w:after="0" w:line="240" w:lineRule="auto"/>
              <w:jc w:val="both"/>
              <w:rPr>
                <w:rFonts w:ascii="Arial" w:hAnsi="Arial"/>
                <w:b w:val="0"/>
                <w:bCs/>
                <w:sz w:val="20"/>
                <w:szCs w:val="20"/>
              </w:rPr>
            </w:pPr>
            <w:r w:rsidRPr="00735705">
              <w:rPr>
                <w:rFonts w:ascii="Arial" w:hAnsi="Arial"/>
                <w:b w:val="0"/>
                <w:bCs/>
                <w:sz w:val="20"/>
                <w:szCs w:val="20"/>
              </w:rPr>
              <w:t>Are</w:t>
            </w:r>
            <w:r w:rsidR="0052482B" w:rsidRPr="00735705">
              <w:rPr>
                <w:rFonts w:ascii="Arial" w:hAnsi="Arial"/>
                <w:b w:val="0"/>
                <w:bCs/>
                <w:sz w:val="20"/>
                <w:szCs w:val="20"/>
              </w:rPr>
              <w:t xml:space="preserve"> </w:t>
            </w:r>
            <w:r w:rsidR="00CE5204" w:rsidRPr="00735705">
              <w:rPr>
                <w:rFonts w:ascii="Arial" w:hAnsi="Arial"/>
                <w:b w:val="0"/>
                <w:bCs/>
                <w:sz w:val="20"/>
                <w:szCs w:val="20"/>
              </w:rPr>
              <w:t xml:space="preserve">changes in </w:t>
            </w:r>
            <w:r w:rsidR="0052482B" w:rsidRPr="00735705">
              <w:rPr>
                <w:rFonts w:ascii="Arial" w:hAnsi="Arial"/>
                <w:b w:val="0"/>
                <w:bCs/>
                <w:sz w:val="20"/>
                <w:szCs w:val="20"/>
              </w:rPr>
              <w:t xml:space="preserve">Resilient and Sustainable Systems for Health (RSSH) </w:t>
            </w:r>
            <w:r w:rsidR="00CE5204" w:rsidRPr="00735705">
              <w:rPr>
                <w:rFonts w:ascii="Arial" w:hAnsi="Arial"/>
                <w:b w:val="0"/>
                <w:bCs/>
                <w:sz w:val="20"/>
                <w:szCs w:val="20"/>
              </w:rPr>
              <w:t>investments needed</w:t>
            </w:r>
            <w:r w:rsidR="0052482B" w:rsidRPr="00735705">
              <w:rPr>
                <w:rFonts w:ascii="Arial" w:hAnsi="Arial"/>
                <w:b w:val="0"/>
                <w:bCs/>
                <w:sz w:val="20"/>
                <w:szCs w:val="20"/>
              </w:rPr>
              <w:t xml:space="preserve"> </w:t>
            </w:r>
            <w:r w:rsidR="00CE5204" w:rsidRPr="00735705">
              <w:rPr>
                <w:rFonts w:ascii="Arial" w:hAnsi="Arial"/>
                <w:b w:val="0"/>
                <w:bCs/>
                <w:sz w:val="20"/>
                <w:szCs w:val="20"/>
              </w:rPr>
              <w:t>in order to maximize Reproductive Maternal Neonatal and Child Health impact</w:t>
            </w:r>
            <w:r w:rsidR="0052482B" w:rsidRPr="00735705">
              <w:rPr>
                <w:rFonts w:ascii="Arial" w:hAnsi="Arial"/>
                <w:b w:val="0"/>
                <w:bCs/>
                <w:sz w:val="20"/>
                <w:szCs w:val="20"/>
              </w:rPr>
              <w:t>, (</w:t>
            </w:r>
            <w:r w:rsidRPr="00735705">
              <w:rPr>
                <w:rFonts w:ascii="Arial" w:hAnsi="Arial"/>
                <w:b w:val="0"/>
                <w:bCs/>
                <w:sz w:val="20"/>
                <w:szCs w:val="20"/>
              </w:rPr>
              <w:t>RMNCH</w:t>
            </w:r>
            <w:r w:rsidR="0052482B" w:rsidRPr="00735705">
              <w:rPr>
                <w:rFonts w:ascii="Arial" w:hAnsi="Arial"/>
                <w:b w:val="0"/>
                <w:bCs/>
                <w:sz w:val="20"/>
                <w:szCs w:val="20"/>
              </w:rPr>
              <w:t>)</w:t>
            </w:r>
            <w:r w:rsidR="00CE5204" w:rsidRPr="00735705">
              <w:rPr>
                <w:rFonts w:ascii="Arial" w:hAnsi="Arial"/>
                <w:b w:val="0"/>
                <w:bCs/>
                <w:sz w:val="20"/>
                <w:szCs w:val="20"/>
              </w:rPr>
              <w:t xml:space="preserve"> or other</w:t>
            </w:r>
            <w:r w:rsidRPr="00735705">
              <w:rPr>
                <w:rFonts w:ascii="Arial" w:hAnsi="Arial"/>
                <w:b w:val="0"/>
                <w:bCs/>
                <w:sz w:val="20"/>
                <w:szCs w:val="20"/>
              </w:rPr>
              <w:t xml:space="preserve"> </w:t>
            </w:r>
            <w:r w:rsidR="004A2BF6" w:rsidRPr="00735705">
              <w:rPr>
                <w:rFonts w:ascii="Arial" w:hAnsi="Arial"/>
                <w:b w:val="0"/>
                <w:bCs/>
                <w:sz w:val="20"/>
                <w:szCs w:val="20"/>
              </w:rPr>
              <w:t>RSSH areas</w:t>
            </w:r>
            <w:r w:rsidR="0052482B" w:rsidRPr="00735705">
              <w:rPr>
                <w:rFonts w:ascii="Arial" w:hAnsi="Arial"/>
                <w:b w:val="0"/>
                <w:bCs/>
                <w:sz w:val="20"/>
                <w:szCs w:val="20"/>
              </w:rPr>
              <w:t>?</w:t>
            </w:r>
          </w:p>
        </w:tc>
        <w:tc>
          <w:tcPr>
            <w:tcW w:w="992" w:type="dxa"/>
            <w:shd w:val="clear" w:color="auto" w:fill="FFFFFF" w:themeFill="background1"/>
            <w:vAlign w:val="center"/>
          </w:tcPr>
          <w:p w14:paraId="3AF9EFFB" w14:textId="55723E2C" w:rsidR="00CE5204" w:rsidRPr="00735705" w:rsidRDefault="00FC4D8E" w:rsidP="00765479">
            <w:pPr>
              <w:spacing w:after="0" w:line="240" w:lineRule="auto"/>
              <w:ind w:left="131"/>
              <w:rPr>
                <w:rFonts w:ascii="Arial" w:eastAsia="Cambria" w:hAnsi="Arial"/>
                <w:b w:val="0"/>
                <w:bCs/>
                <w:iCs/>
                <w:sz w:val="20"/>
                <w:szCs w:val="20"/>
              </w:rPr>
            </w:pPr>
            <w:sdt>
              <w:sdtPr>
                <w:rPr>
                  <w:rFonts w:ascii="Arial" w:eastAsia="Cambria" w:hAnsi="Arial"/>
                  <w:b w:val="0"/>
                  <w:bCs/>
                  <w:iCs/>
                  <w:sz w:val="20"/>
                  <w:szCs w:val="20"/>
                </w:rPr>
                <w:id w:val="20830109"/>
                <w14:checkbox>
                  <w14:checked w14:val="0"/>
                  <w14:checkedState w14:val="2612" w14:font="MS Gothic"/>
                  <w14:uncheckedState w14:val="2610" w14:font="MS Gothic"/>
                </w14:checkbox>
              </w:sdtPr>
              <w:sdtEndPr/>
              <w:sdtContent>
                <w:r w:rsidR="00FB5359">
                  <w:rPr>
                    <w:rFonts w:ascii="MS Gothic" w:eastAsia="MS Gothic" w:hAnsi="MS Gothic" w:hint="eastAsia"/>
                    <w:b w:val="0"/>
                    <w:bCs/>
                    <w:iCs/>
                    <w:sz w:val="20"/>
                    <w:szCs w:val="20"/>
                  </w:rPr>
                  <w:t>☐</w:t>
                </w:r>
              </w:sdtContent>
            </w:sdt>
            <w:r w:rsidR="00833796" w:rsidRPr="00735705">
              <w:rPr>
                <w:rFonts w:ascii="Arial" w:eastAsia="Cambria" w:hAnsi="Arial"/>
                <w:b w:val="0"/>
                <w:bCs/>
                <w:iCs/>
                <w:sz w:val="20"/>
                <w:szCs w:val="20"/>
              </w:rPr>
              <w:t xml:space="preserve"> </w:t>
            </w:r>
            <w:r w:rsidR="00CE5204" w:rsidRPr="00735705">
              <w:rPr>
                <w:rFonts w:ascii="Arial" w:eastAsia="Cambria" w:hAnsi="Arial"/>
                <w:b w:val="0"/>
                <w:bCs/>
                <w:iCs/>
                <w:sz w:val="20"/>
                <w:szCs w:val="20"/>
              </w:rPr>
              <w:t xml:space="preserve">Yes   </w:t>
            </w:r>
          </w:p>
          <w:p w14:paraId="217840A9" w14:textId="15A5EFDF" w:rsidR="00CE5204" w:rsidRPr="00735705" w:rsidRDefault="00FC4D8E" w:rsidP="00765479">
            <w:pPr>
              <w:spacing w:after="0" w:line="240" w:lineRule="auto"/>
              <w:ind w:left="131"/>
              <w:rPr>
                <w:rFonts w:ascii="Arial" w:eastAsia="Cambria" w:hAnsi="Arial"/>
                <w:b w:val="0"/>
                <w:sz w:val="20"/>
                <w:szCs w:val="20"/>
                <w:lang w:val="en-GB"/>
              </w:rPr>
            </w:pPr>
            <w:sdt>
              <w:sdtPr>
                <w:rPr>
                  <w:rFonts w:ascii="Arial" w:eastAsia="Cambria" w:hAnsi="Arial"/>
                  <w:b w:val="0"/>
                  <w:bCs/>
                  <w:iCs/>
                  <w:sz w:val="20"/>
                  <w:szCs w:val="20"/>
                </w:rPr>
                <w:id w:val="483205629"/>
                <w14:checkbox>
                  <w14:checked w14:val="1"/>
                  <w14:checkedState w14:val="2612" w14:font="MS Gothic"/>
                  <w14:uncheckedState w14:val="2610" w14:font="MS Gothic"/>
                </w14:checkbox>
              </w:sdtPr>
              <w:sdtEndPr/>
              <w:sdtContent>
                <w:r w:rsidR="009C64C7" w:rsidRPr="00735705">
                  <w:rPr>
                    <w:rFonts w:ascii="MS Gothic" w:eastAsia="MS Gothic" w:hAnsi="MS Gothic" w:hint="eastAsia"/>
                    <w:b w:val="0"/>
                    <w:bCs/>
                    <w:iCs/>
                    <w:sz w:val="20"/>
                    <w:szCs w:val="20"/>
                  </w:rPr>
                  <w:t>☒</w:t>
                </w:r>
              </w:sdtContent>
            </w:sdt>
            <w:r w:rsidR="00CE5204" w:rsidRPr="00735705">
              <w:rPr>
                <w:rFonts w:ascii="Arial" w:eastAsia="Cambria" w:hAnsi="Arial"/>
                <w:b w:val="0"/>
                <w:bCs/>
                <w:iCs/>
                <w:sz w:val="20"/>
                <w:szCs w:val="20"/>
              </w:rPr>
              <w:t xml:space="preserve"> No</w:t>
            </w:r>
          </w:p>
        </w:tc>
      </w:tr>
      <w:tr w:rsidR="00CE5204" w:rsidRPr="00735705" w14:paraId="260A3460" w14:textId="77777777" w:rsidTr="00765479">
        <w:tblPrEx>
          <w:tblCellMar>
            <w:left w:w="10" w:type="dxa"/>
            <w:right w:w="10" w:type="dxa"/>
          </w:tblCellMar>
          <w:tblLook w:val="04A0" w:firstRow="1" w:lastRow="0" w:firstColumn="1" w:lastColumn="0" w:noHBand="0" w:noVBand="1"/>
        </w:tblPrEx>
        <w:trPr>
          <w:trHeight w:val="1"/>
        </w:trPr>
        <w:tc>
          <w:tcPr>
            <w:tcW w:w="9209" w:type="dxa"/>
            <w:gridSpan w:val="2"/>
            <w:shd w:val="clear" w:color="auto" w:fill="EEECE1" w:themeFill="background2"/>
            <w:tcMar>
              <w:top w:w="0" w:type="dxa"/>
              <w:left w:w="108" w:type="dxa"/>
              <w:bottom w:w="0" w:type="dxa"/>
              <w:right w:w="108" w:type="dxa"/>
            </w:tcMar>
            <w:vAlign w:val="center"/>
          </w:tcPr>
          <w:p w14:paraId="6C056540" w14:textId="77777777" w:rsidR="00CE5204" w:rsidRPr="00735705" w:rsidRDefault="00CE5204" w:rsidP="00765479">
            <w:pPr>
              <w:spacing w:after="0" w:line="240" w:lineRule="auto"/>
              <w:jc w:val="both"/>
              <w:rPr>
                <w:rFonts w:ascii="Arial" w:eastAsia="Cambria" w:hAnsi="Arial"/>
                <w:b w:val="0"/>
                <w:sz w:val="20"/>
                <w:szCs w:val="20"/>
                <w:lang w:val="en-GB"/>
              </w:rPr>
            </w:pPr>
            <w:r w:rsidRPr="00735705">
              <w:rPr>
                <w:rFonts w:ascii="Arial" w:eastAsia="MS Mincho" w:hAnsi="Arial"/>
                <w:b w:val="0"/>
                <w:color w:val="000000"/>
                <w:kern w:val="24"/>
                <w:sz w:val="20"/>
                <w:szCs w:val="20"/>
              </w:rPr>
              <w:t>Objective 3 to Promote and Protect Human Rights and Gender Equality</w:t>
            </w:r>
          </w:p>
        </w:tc>
      </w:tr>
      <w:tr w:rsidR="00CE5204" w:rsidRPr="00735705" w14:paraId="0D50BA75" w14:textId="77777777" w:rsidTr="00765479">
        <w:tblPrEx>
          <w:tblCellMar>
            <w:left w:w="10" w:type="dxa"/>
            <w:right w:w="10" w:type="dxa"/>
          </w:tblCellMar>
          <w:tblLook w:val="04A0" w:firstRow="1" w:lastRow="0" w:firstColumn="1" w:lastColumn="0" w:noHBand="0" w:noVBand="1"/>
        </w:tblPrEx>
        <w:trPr>
          <w:trHeight w:val="269"/>
        </w:trPr>
        <w:tc>
          <w:tcPr>
            <w:tcW w:w="8217" w:type="dxa"/>
            <w:shd w:val="clear" w:color="auto" w:fill="F2F2F2" w:themeFill="background1" w:themeFillShade="F2"/>
            <w:tcMar>
              <w:top w:w="0" w:type="dxa"/>
              <w:left w:w="108" w:type="dxa"/>
              <w:bottom w:w="0" w:type="dxa"/>
              <w:right w:w="108" w:type="dxa"/>
            </w:tcMar>
            <w:vAlign w:val="center"/>
            <w:hideMark/>
          </w:tcPr>
          <w:p w14:paraId="7087FE8B" w14:textId="20653063" w:rsidR="00CE5204" w:rsidRPr="00735705" w:rsidRDefault="00CE5204" w:rsidP="00765479">
            <w:pPr>
              <w:spacing w:after="0" w:line="240" w:lineRule="auto"/>
              <w:jc w:val="both"/>
              <w:rPr>
                <w:rFonts w:ascii="Arial" w:eastAsia="Cambria" w:hAnsi="Arial"/>
                <w:b w:val="0"/>
                <w:sz w:val="20"/>
                <w:szCs w:val="20"/>
              </w:rPr>
            </w:pPr>
            <w:r w:rsidRPr="00735705">
              <w:rPr>
                <w:rFonts w:ascii="Arial" w:hAnsi="Arial"/>
                <w:b w:val="0"/>
                <w:bCs/>
                <w:sz w:val="20"/>
                <w:szCs w:val="20"/>
              </w:rPr>
              <w:t>Is there a need for intensifying efforts to address human rights and gender-related barriers to services and to ensure appropriate focus on interventions that respond to key and vulnerable populations?</w:t>
            </w:r>
            <w:r w:rsidRPr="00735705">
              <w:rPr>
                <w:rFonts w:ascii="Arial" w:eastAsia="Cambria" w:hAnsi="Arial"/>
                <w:b w:val="0"/>
                <w:sz w:val="20"/>
                <w:szCs w:val="20"/>
              </w:rPr>
              <w:t xml:space="preserve"> </w:t>
            </w:r>
          </w:p>
        </w:tc>
        <w:tc>
          <w:tcPr>
            <w:tcW w:w="992" w:type="dxa"/>
            <w:shd w:val="clear" w:color="auto" w:fill="FFFFFF" w:themeFill="background1"/>
            <w:vAlign w:val="center"/>
          </w:tcPr>
          <w:p w14:paraId="2C3D1920" w14:textId="3F3AF706" w:rsidR="00CE5204" w:rsidRPr="00735705" w:rsidRDefault="00FC4D8E" w:rsidP="00765479">
            <w:pPr>
              <w:spacing w:after="0" w:line="240" w:lineRule="auto"/>
              <w:ind w:left="131"/>
              <w:rPr>
                <w:rFonts w:ascii="Arial" w:eastAsia="Cambria" w:hAnsi="Arial"/>
                <w:b w:val="0"/>
                <w:sz w:val="20"/>
                <w:szCs w:val="20"/>
              </w:rPr>
            </w:pPr>
            <w:sdt>
              <w:sdtPr>
                <w:rPr>
                  <w:rFonts w:ascii="Arial" w:eastAsia="Cambria" w:hAnsi="Arial"/>
                  <w:b w:val="0"/>
                  <w:sz w:val="20"/>
                  <w:szCs w:val="20"/>
                </w:rPr>
                <w:id w:val="542097686"/>
                <w14:checkbox>
                  <w14:checked w14:val="0"/>
                  <w14:checkedState w14:val="2612" w14:font="MS Gothic"/>
                  <w14:uncheckedState w14:val="2610" w14:font="MS Gothic"/>
                </w14:checkbox>
              </w:sdtPr>
              <w:sdtEndPr/>
              <w:sdtContent>
                <w:r w:rsidR="00FB5359">
                  <w:rPr>
                    <w:rFonts w:ascii="MS Gothic" w:eastAsia="MS Gothic" w:hAnsi="MS Gothic" w:hint="eastAsia"/>
                    <w:b w:val="0"/>
                    <w:sz w:val="20"/>
                    <w:szCs w:val="20"/>
                  </w:rPr>
                  <w:t>☐</w:t>
                </w:r>
              </w:sdtContent>
            </w:sdt>
            <w:r w:rsidR="00833796" w:rsidRPr="00735705">
              <w:rPr>
                <w:rFonts w:ascii="Arial" w:eastAsia="Cambria" w:hAnsi="Arial"/>
                <w:b w:val="0"/>
                <w:sz w:val="20"/>
                <w:szCs w:val="20"/>
              </w:rPr>
              <w:t xml:space="preserve"> </w:t>
            </w:r>
            <w:r w:rsidR="00CE5204" w:rsidRPr="00735705">
              <w:rPr>
                <w:rFonts w:ascii="Arial" w:eastAsia="Cambria" w:hAnsi="Arial"/>
                <w:b w:val="0"/>
                <w:sz w:val="20"/>
                <w:szCs w:val="20"/>
              </w:rPr>
              <w:t xml:space="preserve">Yes   </w:t>
            </w:r>
          </w:p>
          <w:p w14:paraId="3EF9B991" w14:textId="50EE9E89" w:rsidR="00CE5204" w:rsidRPr="00735705" w:rsidRDefault="00FC4D8E" w:rsidP="00765479">
            <w:pPr>
              <w:spacing w:after="0" w:line="240" w:lineRule="auto"/>
              <w:ind w:left="131"/>
              <w:rPr>
                <w:rFonts w:ascii="Arial" w:eastAsia="Cambria" w:hAnsi="Arial"/>
                <w:b w:val="0"/>
                <w:sz w:val="20"/>
                <w:szCs w:val="20"/>
              </w:rPr>
            </w:pPr>
            <w:sdt>
              <w:sdtPr>
                <w:rPr>
                  <w:rFonts w:ascii="Arial" w:eastAsia="Cambria" w:hAnsi="Arial"/>
                  <w:b w:val="0"/>
                  <w:sz w:val="20"/>
                  <w:szCs w:val="20"/>
                </w:rPr>
                <w:id w:val="-557401951"/>
                <w14:checkbox>
                  <w14:checked w14:val="1"/>
                  <w14:checkedState w14:val="2612" w14:font="MS Gothic"/>
                  <w14:uncheckedState w14:val="2610" w14:font="MS Gothic"/>
                </w14:checkbox>
              </w:sdtPr>
              <w:sdtEndPr/>
              <w:sdtContent>
                <w:r w:rsidR="009C64C7" w:rsidRPr="00735705">
                  <w:rPr>
                    <w:rFonts w:ascii="MS Gothic" w:eastAsia="MS Gothic" w:hAnsi="MS Gothic" w:hint="eastAsia"/>
                    <w:b w:val="0"/>
                    <w:sz w:val="20"/>
                    <w:szCs w:val="20"/>
                  </w:rPr>
                  <w:t>☒</w:t>
                </w:r>
              </w:sdtContent>
            </w:sdt>
            <w:r w:rsidR="00CE5204" w:rsidRPr="00735705">
              <w:rPr>
                <w:rFonts w:ascii="Arial" w:eastAsia="Cambria" w:hAnsi="Arial"/>
                <w:b w:val="0"/>
                <w:sz w:val="20"/>
                <w:szCs w:val="20"/>
              </w:rPr>
              <w:t xml:space="preserve"> No</w:t>
            </w:r>
          </w:p>
        </w:tc>
      </w:tr>
      <w:tr w:rsidR="00CE5204" w:rsidRPr="00735705" w14:paraId="473C157E" w14:textId="77777777" w:rsidTr="00E45AAA">
        <w:tblPrEx>
          <w:tblCellMar>
            <w:left w:w="10" w:type="dxa"/>
            <w:right w:w="10" w:type="dxa"/>
          </w:tblCellMar>
          <w:tblLook w:val="04A0" w:firstRow="1" w:lastRow="0" w:firstColumn="1" w:lastColumn="0" w:noHBand="0" w:noVBand="1"/>
        </w:tblPrEx>
        <w:trPr>
          <w:trHeight w:val="242"/>
        </w:trPr>
        <w:tc>
          <w:tcPr>
            <w:tcW w:w="9209" w:type="dxa"/>
            <w:gridSpan w:val="2"/>
            <w:shd w:val="clear" w:color="auto" w:fill="BFBFBF" w:themeFill="background1" w:themeFillShade="BF"/>
            <w:tcMar>
              <w:top w:w="0" w:type="dxa"/>
              <w:left w:w="108" w:type="dxa"/>
              <w:bottom w:w="0" w:type="dxa"/>
              <w:right w:w="108" w:type="dxa"/>
            </w:tcMar>
            <w:vAlign w:val="center"/>
            <w:hideMark/>
          </w:tcPr>
          <w:p w14:paraId="6D0DD89E" w14:textId="77777777" w:rsidR="00CE5204" w:rsidRPr="00735705" w:rsidRDefault="00CE5204" w:rsidP="008552E5">
            <w:pPr>
              <w:numPr>
                <w:ilvl w:val="0"/>
                <w:numId w:val="8"/>
              </w:numPr>
              <w:spacing w:after="0" w:line="240" w:lineRule="auto"/>
              <w:ind w:left="313" w:hanging="313"/>
              <w:contextualSpacing/>
              <w:rPr>
                <w:rFonts w:ascii="Arial" w:eastAsia="MS Mincho" w:hAnsi="Arial"/>
                <w:b w:val="0"/>
                <w:color w:val="000000"/>
                <w:kern w:val="24"/>
                <w:sz w:val="20"/>
                <w:szCs w:val="20"/>
              </w:rPr>
            </w:pPr>
            <w:r w:rsidRPr="00735705">
              <w:rPr>
                <w:rFonts w:ascii="Arial" w:eastAsia="MS Mincho" w:hAnsi="Arial"/>
                <w:b w:val="0"/>
                <w:color w:val="000000"/>
                <w:kern w:val="24"/>
                <w:sz w:val="20"/>
                <w:szCs w:val="20"/>
              </w:rPr>
              <w:lastRenderedPageBreak/>
              <w:t>Effectiveness of implementation approaches</w:t>
            </w:r>
          </w:p>
        </w:tc>
      </w:tr>
      <w:tr w:rsidR="00CE5204" w:rsidRPr="00735705" w14:paraId="2890EC04" w14:textId="77777777" w:rsidTr="00765479">
        <w:tblPrEx>
          <w:tblCellMar>
            <w:left w:w="10" w:type="dxa"/>
            <w:right w:w="10" w:type="dxa"/>
          </w:tblCellMar>
          <w:tblLook w:val="04A0" w:firstRow="1" w:lastRow="0" w:firstColumn="1" w:lastColumn="0" w:noHBand="0" w:noVBand="1"/>
        </w:tblPrEx>
        <w:trPr>
          <w:trHeight w:val="255"/>
        </w:trPr>
        <w:tc>
          <w:tcPr>
            <w:tcW w:w="8217" w:type="dxa"/>
            <w:shd w:val="clear" w:color="auto" w:fill="F2F2F2" w:themeFill="background1" w:themeFillShade="F2"/>
            <w:tcMar>
              <w:top w:w="0" w:type="dxa"/>
              <w:left w:w="108" w:type="dxa"/>
              <w:bottom w:w="0" w:type="dxa"/>
              <w:right w:w="108" w:type="dxa"/>
            </w:tcMar>
            <w:vAlign w:val="center"/>
            <w:hideMark/>
          </w:tcPr>
          <w:p w14:paraId="6711526C" w14:textId="7763D2EF" w:rsidR="00CE5204" w:rsidRPr="00735705" w:rsidRDefault="00CE5204" w:rsidP="00765479">
            <w:pPr>
              <w:spacing w:after="0" w:line="240" w:lineRule="auto"/>
              <w:jc w:val="both"/>
              <w:rPr>
                <w:rFonts w:ascii="Arial" w:eastAsia="Cambria" w:hAnsi="Arial"/>
                <w:b w:val="0"/>
                <w:sz w:val="20"/>
                <w:szCs w:val="20"/>
              </w:rPr>
            </w:pPr>
            <w:r w:rsidRPr="00735705">
              <w:rPr>
                <w:rFonts w:ascii="Arial" w:hAnsi="Arial"/>
                <w:b w:val="0"/>
                <w:bCs/>
                <w:sz w:val="20"/>
                <w:szCs w:val="20"/>
                <w:shd w:val="clear" w:color="auto" w:fill="F2F2F2" w:themeFill="background1" w:themeFillShade="F2"/>
              </w:rPr>
              <w:t>Are the current implementation arrangements effective to deliver on the program objectives and anticipated impact (including the P</w:t>
            </w:r>
            <w:r w:rsidR="00017CC4" w:rsidRPr="00735705">
              <w:rPr>
                <w:rFonts w:ascii="Arial" w:hAnsi="Arial"/>
                <w:b w:val="0"/>
                <w:bCs/>
                <w:sz w:val="20"/>
                <w:szCs w:val="20"/>
                <w:shd w:val="clear" w:color="auto" w:fill="F2F2F2" w:themeFill="background1" w:themeFillShade="F2"/>
              </w:rPr>
              <w:t xml:space="preserve">rincipal </w:t>
            </w:r>
            <w:r w:rsidRPr="00735705">
              <w:rPr>
                <w:rFonts w:ascii="Arial" w:hAnsi="Arial"/>
                <w:b w:val="0"/>
                <w:bCs/>
                <w:sz w:val="20"/>
                <w:szCs w:val="20"/>
                <w:shd w:val="clear" w:color="auto" w:fill="F2F2F2" w:themeFill="background1" w:themeFillShade="F2"/>
              </w:rPr>
              <w:t>R</w:t>
            </w:r>
            <w:r w:rsidR="00017CC4" w:rsidRPr="00735705">
              <w:rPr>
                <w:rFonts w:ascii="Arial" w:hAnsi="Arial"/>
                <w:b w:val="0"/>
                <w:bCs/>
                <w:sz w:val="20"/>
                <w:szCs w:val="20"/>
                <w:shd w:val="clear" w:color="auto" w:fill="F2F2F2" w:themeFill="background1" w:themeFillShade="F2"/>
              </w:rPr>
              <w:t>ecipient</w:t>
            </w:r>
            <w:r w:rsidRPr="00735705">
              <w:rPr>
                <w:rFonts w:ascii="Arial" w:hAnsi="Arial"/>
                <w:b w:val="0"/>
                <w:bCs/>
                <w:sz w:val="20"/>
                <w:szCs w:val="20"/>
                <w:shd w:val="clear" w:color="auto" w:fill="F2F2F2" w:themeFill="background1" w:themeFillShade="F2"/>
              </w:rPr>
              <w:t xml:space="preserve"> and the main </w:t>
            </w:r>
            <w:r w:rsidR="00017CC4" w:rsidRPr="00735705">
              <w:rPr>
                <w:rFonts w:ascii="Arial" w:hAnsi="Arial"/>
                <w:b w:val="0"/>
                <w:bCs/>
                <w:sz w:val="20"/>
                <w:szCs w:val="20"/>
                <w:shd w:val="clear" w:color="auto" w:fill="F2F2F2" w:themeFill="background1" w:themeFillShade="F2"/>
              </w:rPr>
              <w:t>sub-recipients</w:t>
            </w:r>
            <w:r w:rsidRPr="00735705">
              <w:rPr>
                <w:rFonts w:ascii="Arial" w:hAnsi="Arial"/>
                <w:b w:val="0"/>
                <w:bCs/>
                <w:sz w:val="20"/>
                <w:szCs w:val="20"/>
                <w:shd w:val="clear" w:color="auto" w:fill="F2F2F2" w:themeFill="background1" w:themeFillShade="F2"/>
              </w:rPr>
              <w:t>)?</w:t>
            </w:r>
          </w:p>
        </w:tc>
        <w:tc>
          <w:tcPr>
            <w:tcW w:w="992" w:type="dxa"/>
            <w:shd w:val="clear" w:color="auto" w:fill="FFFFFF" w:themeFill="background1"/>
            <w:vAlign w:val="center"/>
          </w:tcPr>
          <w:p w14:paraId="1E93D64C" w14:textId="7DB8CD62" w:rsidR="00CE5204" w:rsidRPr="00735705" w:rsidRDefault="00FC4D8E" w:rsidP="00765479">
            <w:pPr>
              <w:spacing w:after="0" w:line="240" w:lineRule="auto"/>
              <w:ind w:left="131"/>
              <w:rPr>
                <w:rFonts w:ascii="Arial" w:eastAsia="Cambria" w:hAnsi="Arial"/>
                <w:b w:val="0"/>
                <w:sz w:val="20"/>
                <w:szCs w:val="20"/>
              </w:rPr>
            </w:pPr>
            <w:sdt>
              <w:sdtPr>
                <w:rPr>
                  <w:rFonts w:ascii="Arial" w:eastAsia="Cambria" w:hAnsi="Arial"/>
                  <w:b w:val="0"/>
                  <w:sz w:val="20"/>
                  <w:szCs w:val="20"/>
                </w:rPr>
                <w:id w:val="-1983775109"/>
                <w14:checkbox>
                  <w14:checked w14:val="1"/>
                  <w14:checkedState w14:val="2612" w14:font="MS Gothic"/>
                  <w14:uncheckedState w14:val="2610" w14:font="MS Gothic"/>
                </w14:checkbox>
              </w:sdtPr>
              <w:sdtEndPr/>
              <w:sdtContent>
                <w:r w:rsidR="009C64C7" w:rsidRPr="00735705">
                  <w:rPr>
                    <w:rFonts w:ascii="MS Gothic" w:eastAsia="MS Gothic" w:hAnsi="MS Gothic" w:hint="eastAsia"/>
                    <w:b w:val="0"/>
                    <w:sz w:val="20"/>
                    <w:szCs w:val="20"/>
                  </w:rPr>
                  <w:t>☒</w:t>
                </w:r>
              </w:sdtContent>
            </w:sdt>
            <w:r w:rsidR="00CE5204" w:rsidRPr="00735705">
              <w:rPr>
                <w:rFonts w:ascii="Arial" w:eastAsia="Cambria" w:hAnsi="Arial"/>
                <w:b w:val="0"/>
                <w:sz w:val="20"/>
                <w:szCs w:val="20"/>
              </w:rPr>
              <w:t xml:space="preserve"> Yes   </w:t>
            </w:r>
            <w:sdt>
              <w:sdtPr>
                <w:rPr>
                  <w:rFonts w:ascii="Arial" w:eastAsia="Cambria" w:hAnsi="Arial"/>
                  <w:b w:val="0"/>
                  <w:sz w:val="20"/>
                  <w:szCs w:val="20"/>
                </w:rPr>
                <w:id w:val="574563717"/>
                <w14:checkbox>
                  <w14:checked w14:val="0"/>
                  <w14:checkedState w14:val="2612" w14:font="MS Gothic"/>
                  <w14:uncheckedState w14:val="2610" w14:font="MS Gothic"/>
                </w14:checkbox>
              </w:sdtPr>
              <w:sdtEndPr/>
              <w:sdtContent>
                <w:r w:rsidR="00FB5359">
                  <w:rPr>
                    <w:rFonts w:ascii="MS Gothic" w:eastAsia="MS Gothic" w:hAnsi="MS Gothic" w:hint="eastAsia"/>
                    <w:b w:val="0"/>
                    <w:sz w:val="20"/>
                    <w:szCs w:val="20"/>
                  </w:rPr>
                  <w:t>☐</w:t>
                </w:r>
              </w:sdtContent>
            </w:sdt>
            <w:r w:rsidR="00CE5204" w:rsidRPr="00735705">
              <w:rPr>
                <w:rFonts w:ascii="Arial" w:eastAsia="Cambria" w:hAnsi="Arial"/>
                <w:b w:val="0"/>
                <w:sz w:val="20"/>
                <w:szCs w:val="20"/>
              </w:rPr>
              <w:t xml:space="preserve"> No</w:t>
            </w:r>
          </w:p>
        </w:tc>
      </w:tr>
      <w:tr w:rsidR="00CE5204" w:rsidRPr="00735705" w14:paraId="5671ABB0" w14:textId="77777777" w:rsidTr="00E45AAA">
        <w:tblPrEx>
          <w:tblCellMar>
            <w:left w:w="10" w:type="dxa"/>
            <w:right w:w="10" w:type="dxa"/>
          </w:tblCellMar>
          <w:tblLook w:val="04A0" w:firstRow="1" w:lastRow="0" w:firstColumn="1" w:lastColumn="0" w:noHBand="0" w:noVBand="1"/>
        </w:tblPrEx>
        <w:trPr>
          <w:trHeight w:val="158"/>
        </w:trPr>
        <w:tc>
          <w:tcPr>
            <w:tcW w:w="9209" w:type="dxa"/>
            <w:gridSpan w:val="2"/>
            <w:shd w:val="clear" w:color="auto" w:fill="BFBFBF" w:themeFill="background1" w:themeFillShade="BF"/>
            <w:tcMar>
              <w:top w:w="0" w:type="dxa"/>
              <w:left w:w="108" w:type="dxa"/>
              <w:bottom w:w="0" w:type="dxa"/>
              <w:right w:w="108" w:type="dxa"/>
            </w:tcMar>
            <w:vAlign w:val="center"/>
            <w:hideMark/>
          </w:tcPr>
          <w:p w14:paraId="5ABB1717" w14:textId="77777777" w:rsidR="00CE5204" w:rsidRPr="00735705" w:rsidRDefault="00CE5204" w:rsidP="008552E5">
            <w:pPr>
              <w:numPr>
                <w:ilvl w:val="0"/>
                <w:numId w:val="8"/>
              </w:numPr>
              <w:spacing w:after="0" w:line="240" w:lineRule="auto"/>
              <w:ind w:left="313" w:hanging="313"/>
              <w:contextualSpacing/>
              <w:rPr>
                <w:rFonts w:ascii="Arial" w:eastAsia="MS Mincho" w:hAnsi="Arial"/>
                <w:b w:val="0"/>
                <w:color w:val="000000"/>
                <w:kern w:val="24"/>
                <w:sz w:val="20"/>
                <w:szCs w:val="20"/>
              </w:rPr>
            </w:pPr>
            <w:r w:rsidRPr="00735705">
              <w:rPr>
                <w:rFonts w:ascii="Arial" w:eastAsia="MS Mincho" w:hAnsi="Arial"/>
                <w:b w:val="0"/>
                <w:color w:val="000000"/>
                <w:kern w:val="24"/>
                <w:sz w:val="20"/>
                <w:szCs w:val="20"/>
              </w:rPr>
              <w:t xml:space="preserve">Sustainability, transition and co-financing  </w:t>
            </w:r>
          </w:p>
        </w:tc>
      </w:tr>
      <w:tr w:rsidR="00CE5204" w:rsidRPr="00735705" w14:paraId="2A5566A9" w14:textId="77777777" w:rsidTr="00765479">
        <w:tblPrEx>
          <w:tblCellMar>
            <w:left w:w="10" w:type="dxa"/>
            <w:right w:w="10" w:type="dxa"/>
          </w:tblCellMar>
          <w:tblLook w:val="04A0" w:firstRow="1" w:lastRow="0" w:firstColumn="1" w:lastColumn="0" w:noHBand="0" w:noVBand="1"/>
        </w:tblPrEx>
        <w:trPr>
          <w:trHeight w:val="534"/>
        </w:trPr>
        <w:tc>
          <w:tcPr>
            <w:tcW w:w="8217" w:type="dxa"/>
            <w:shd w:val="clear" w:color="auto" w:fill="F2F2F2" w:themeFill="background1" w:themeFillShade="F2"/>
            <w:tcMar>
              <w:top w:w="0" w:type="dxa"/>
              <w:left w:w="108" w:type="dxa"/>
              <w:bottom w:w="0" w:type="dxa"/>
              <w:right w:w="108" w:type="dxa"/>
            </w:tcMar>
            <w:vAlign w:val="center"/>
            <w:hideMark/>
          </w:tcPr>
          <w:p w14:paraId="61D47313" w14:textId="47DC715D" w:rsidR="00CE5204" w:rsidRPr="00735705" w:rsidRDefault="00CE5204" w:rsidP="00765479">
            <w:pPr>
              <w:spacing w:after="0" w:line="240" w:lineRule="auto"/>
              <w:jc w:val="both"/>
              <w:rPr>
                <w:rFonts w:ascii="Arial" w:eastAsia="Cambria" w:hAnsi="Arial"/>
                <w:b w:val="0"/>
                <w:sz w:val="20"/>
                <w:szCs w:val="20"/>
              </w:rPr>
            </w:pPr>
            <w:r w:rsidRPr="00735705">
              <w:rPr>
                <w:rFonts w:ascii="Arial" w:hAnsi="Arial"/>
                <w:b w:val="0"/>
                <w:bCs/>
                <w:sz w:val="20"/>
                <w:szCs w:val="20"/>
              </w:rPr>
              <w:t>Are there changes in domestic or international financing (e.g. due to withdrawal of a major donor or significant increase in domestic allocation/funding), resulting in material impact on funding availability for programmatic interventions and sustainability?</w:t>
            </w:r>
            <w:r w:rsidRPr="00735705">
              <w:rPr>
                <w:rFonts w:ascii="Arial" w:eastAsia="Cambria" w:hAnsi="Arial"/>
                <w:b w:val="0"/>
                <w:sz w:val="20"/>
                <w:szCs w:val="20"/>
              </w:rPr>
              <w:t xml:space="preserve"> </w:t>
            </w:r>
          </w:p>
        </w:tc>
        <w:tc>
          <w:tcPr>
            <w:tcW w:w="992" w:type="dxa"/>
            <w:shd w:val="clear" w:color="auto" w:fill="FFFFFF" w:themeFill="background1"/>
            <w:vAlign w:val="center"/>
          </w:tcPr>
          <w:p w14:paraId="2E4F8E93" w14:textId="2A9F8709" w:rsidR="00CE5204" w:rsidRPr="00735705" w:rsidRDefault="00FC4D8E" w:rsidP="00765479">
            <w:pPr>
              <w:spacing w:after="0" w:line="240" w:lineRule="auto"/>
              <w:ind w:left="131"/>
              <w:rPr>
                <w:rFonts w:ascii="Arial" w:eastAsia="Cambria" w:hAnsi="Arial"/>
                <w:b w:val="0"/>
                <w:sz w:val="20"/>
                <w:szCs w:val="20"/>
              </w:rPr>
            </w:pPr>
            <w:sdt>
              <w:sdtPr>
                <w:rPr>
                  <w:rFonts w:ascii="Arial" w:eastAsia="Cambria" w:hAnsi="Arial"/>
                  <w:b w:val="0"/>
                  <w:sz w:val="20"/>
                  <w:szCs w:val="20"/>
                </w:rPr>
                <w:id w:val="1950730505"/>
                <w14:checkbox>
                  <w14:checked w14:val="0"/>
                  <w14:checkedState w14:val="2612" w14:font="MS Gothic"/>
                  <w14:uncheckedState w14:val="2610" w14:font="MS Gothic"/>
                </w14:checkbox>
              </w:sdtPr>
              <w:sdtEndPr/>
              <w:sdtContent>
                <w:r w:rsidR="00FB5359">
                  <w:rPr>
                    <w:rFonts w:ascii="MS Gothic" w:eastAsia="MS Gothic" w:hAnsi="MS Gothic" w:hint="eastAsia"/>
                    <w:b w:val="0"/>
                    <w:sz w:val="20"/>
                    <w:szCs w:val="20"/>
                  </w:rPr>
                  <w:t>☐</w:t>
                </w:r>
              </w:sdtContent>
            </w:sdt>
            <w:r w:rsidR="00833796" w:rsidRPr="00735705">
              <w:rPr>
                <w:rFonts w:ascii="Arial" w:eastAsia="Cambria" w:hAnsi="Arial"/>
                <w:b w:val="0"/>
                <w:sz w:val="20"/>
                <w:szCs w:val="20"/>
              </w:rPr>
              <w:t xml:space="preserve"> </w:t>
            </w:r>
            <w:r w:rsidR="00CE5204" w:rsidRPr="00735705">
              <w:rPr>
                <w:rFonts w:ascii="Arial" w:eastAsia="Cambria" w:hAnsi="Arial"/>
                <w:b w:val="0"/>
                <w:sz w:val="20"/>
                <w:szCs w:val="20"/>
              </w:rPr>
              <w:t xml:space="preserve">Yes   </w:t>
            </w:r>
          </w:p>
          <w:p w14:paraId="3D1D5BBE" w14:textId="54B292FE" w:rsidR="00CE5204" w:rsidRPr="00735705" w:rsidRDefault="00FC4D8E" w:rsidP="00765479">
            <w:pPr>
              <w:spacing w:after="0" w:line="240" w:lineRule="auto"/>
              <w:ind w:left="131"/>
              <w:rPr>
                <w:rFonts w:ascii="Arial" w:eastAsia="Cambria" w:hAnsi="Arial"/>
                <w:b w:val="0"/>
                <w:sz w:val="20"/>
                <w:szCs w:val="20"/>
              </w:rPr>
            </w:pPr>
            <w:sdt>
              <w:sdtPr>
                <w:rPr>
                  <w:rFonts w:ascii="Arial" w:eastAsia="Cambria" w:hAnsi="Arial"/>
                  <w:b w:val="0"/>
                  <w:sz w:val="20"/>
                  <w:szCs w:val="20"/>
                </w:rPr>
                <w:id w:val="-805236393"/>
                <w14:checkbox>
                  <w14:checked w14:val="1"/>
                  <w14:checkedState w14:val="2612" w14:font="MS Gothic"/>
                  <w14:uncheckedState w14:val="2610" w14:font="MS Gothic"/>
                </w14:checkbox>
              </w:sdtPr>
              <w:sdtEndPr/>
              <w:sdtContent>
                <w:r w:rsidR="009C64C7" w:rsidRPr="00735705">
                  <w:rPr>
                    <w:rFonts w:ascii="MS Gothic" w:eastAsia="MS Gothic" w:hAnsi="MS Gothic" w:hint="eastAsia"/>
                    <w:b w:val="0"/>
                    <w:sz w:val="20"/>
                    <w:szCs w:val="20"/>
                  </w:rPr>
                  <w:t>☒</w:t>
                </w:r>
              </w:sdtContent>
            </w:sdt>
            <w:r w:rsidR="00CE5204" w:rsidRPr="00735705">
              <w:rPr>
                <w:rFonts w:ascii="Arial" w:eastAsia="Cambria" w:hAnsi="Arial"/>
                <w:b w:val="0"/>
                <w:sz w:val="20"/>
                <w:szCs w:val="20"/>
              </w:rPr>
              <w:t xml:space="preserve"> No</w:t>
            </w:r>
          </w:p>
        </w:tc>
      </w:tr>
      <w:tr w:rsidR="00CE5204" w:rsidRPr="00735705" w14:paraId="14BEF6BF" w14:textId="77777777" w:rsidTr="00765479">
        <w:tblPrEx>
          <w:tblCellMar>
            <w:left w:w="10" w:type="dxa"/>
            <w:right w:w="10" w:type="dxa"/>
          </w:tblCellMar>
          <w:tblLook w:val="04A0" w:firstRow="1" w:lastRow="0" w:firstColumn="1" w:lastColumn="0" w:noHBand="0" w:noVBand="1"/>
        </w:tblPrEx>
        <w:trPr>
          <w:trHeight w:val="493"/>
        </w:trPr>
        <w:tc>
          <w:tcPr>
            <w:tcW w:w="8217" w:type="dxa"/>
            <w:shd w:val="clear" w:color="auto" w:fill="F2F2F2" w:themeFill="background1" w:themeFillShade="F2"/>
            <w:tcMar>
              <w:top w:w="0" w:type="dxa"/>
              <w:left w:w="108" w:type="dxa"/>
              <w:bottom w:w="0" w:type="dxa"/>
              <w:right w:w="108" w:type="dxa"/>
            </w:tcMar>
            <w:vAlign w:val="center"/>
          </w:tcPr>
          <w:p w14:paraId="295024AF" w14:textId="563CC672" w:rsidR="00CE5204" w:rsidRPr="00735705" w:rsidRDefault="00CE5204" w:rsidP="00765479">
            <w:pPr>
              <w:spacing w:after="0" w:line="240" w:lineRule="auto"/>
              <w:jc w:val="both"/>
              <w:rPr>
                <w:rFonts w:ascii="Arial" w:eastAsia="Cambria" w:hAnsi="Arial"/>
                <w:b w:val="0"/>
                <w:sz w:val="20"/>
                <w:szCs w:val="20"/>
              </w:rPr>
            </w:pPr>
            <w:r w:rsidRPr="00735705">
              <w:rPr>
                <w:rFonts w:ascii="Arial" w:hAnsi="Arial"/>
                <w:b w:val="0"/>
                <w:bCs/>
                <w:sz w:val="20"/>
                <w:szCs w:val="20"/>
              </w:rPr>
              <w:t>Is your country’s 2017</w:t>
            </w:r>
            <w:r w:rsidR="00416ADB" w:rsidRPr="00735705">
              <w:rPr>
                <w:rFonts w:ascii="Arial" w:hAnsi="Arial"/>
                <w:b w:val="0"/>
                <w:bCs/>
                <w:sz w:val="20"/>
                <w:szCs w:val="20"/>
              </w:rPr>
              <w:t>-</w:t>
            </w:r>
            <w:r w:rsidRPr="00735705">
              <w:rPr>
                <w:rFonts w:ascii="Arial" w:hAnsi="Arial"/>
                <w:b w:val="0"/>
                <w:bCs/>
                <w:sz w:val="20"/>
                <w:szCs w:val="20"/>
              </w:rPr>
              <w:t>2019 Global Fund allocation for the disease component is significantly lower as compared to the current grants’ spending levels</w:t>
            </w:r>
            <w:r w:rsidRPr="00735705">
              <w:rPr>
                <w:rFonts w:ascii="Arial" w:hAnsi="Arial"/>
                <w:b w:val="0"/>
                <w:bCs/>
                <w:sz w:val="20"/>
                <w:szCs w:val="20"/>
                <w:vertAlign w:val="superscript"/>
              </w:rPr>
              <w:footnoteReference w:id="2"/>
            </w:r>
            <w:r w:rsidRPr="00735705">
              <w:rPr>
                <w:rFonts w:ascii="Arial" w:hAnsi="Arial"/>
                <w:b w:val="0"/>
                <w:bCs/>
                <w:sz w:val="20"/>
                <w:szCs w:val="20"/>
              </w:rPr>
              <w:t xml:space="preserve">? </w:t>
            </w:r>
          </w:p>
        </w:tc>
        <w:tc>
          <w:tcPr>
            <w:tcW w:w="992" w:type="dxa"/>
            <w:shd w:val="clear" w:color="auto" w:fill="FFFFFF" w:themeFill="background1"/>
            <w:vAlign w:val="center"/>
          </w:tcPr>
          <w:p w14:paraId="029C0566" w14:textId="24682FD9" w:rsidR="00CE5204" w:rsidRPr="00735705" w:rsidRDefault="00FC4D8E" w:rsidP="00765479">
            <w:pPr>
              <w:spacing w:after="0" w:line="240" w:lineRule="auto"/>
              <w:ind w:left="131"/>
              <w:rPr>
                <w:rFonts w:ascii="Arial" w:eastAsia="Cambria" w:hAnsi="Arial"/>
                <w:b w:val="0"/>
                <w:sz w:val="20"/>
                <w:szCs w:val="20"/>
              </w:rPr>
            </w:pPr>
            <w:sdt>
              <w:sdtPr>
                <w:rPr>
                  <w:rFonts w:ascii="Arial" w:eastAsia="Cambria" w:hAnsi="Arial"/>
                  <w:b w:val="0"/>
                  <w:sz w:val="20"/>
                  <w:szCs w:val="20"/>
                </w:rPr>
                <w:id w:val="-590393678"/>
                <w14:checkbox>
                  <w14:checked w14:val="0"/>
                  <w14:checkedState w14:val="2612" w14:font="MS Gothic"/>
                  <w14:uncheckedState w14:val="2610" w14:font="MS Gothic"/>
                </w14:checkbox>
              </w:sdtPr>
              <w:sdtEndPr/>
              <w:sdtContent>
                <w:r w:rsidR="00DD75B4">
                  <w:rPr>
                    <w:rFonts w:ascii="MS Gothic" w:eastAsia="MS Gothic" w:hAnsi="MS Gothic" w:hint="eastAsia"/>
                    <w:b w:val="0"/>
                    <w:sz w:val="20"/>
                    <w:szCs w:val="20"/>
                  </w:rPr>
                  <w:t>☐</w:t>
                </w:r>
              </w:sdtContent>
            </w:sdt>
            <w:r w:rsidR="00833796" w:rsidRPr="00765479">
              <w:rPr>
                <w:rFonts w:ascii="Arial" w:eastAsia="Cambria" w:hAnsi="Arial"/>
                <w:b w:val="0"/>
                <w:sz w:val="20"/>
                <w:szCs w:val="20"/>
              </w:rPr>
              <w:t xml:space="preserve"> </w:t>
            </w:r>
            <w:r w:rsidR="00CE5204" w:rsidRPr="00765479">
              <w:rPr>
                <w:rFonts w:ascii="Arial" w:eastAsia="Cambria" w:hAnsi="Arial"/>
                <w:b w:val="0"/>
                <w:sz w:val="20"/>
                <w:szCs w:val="20"/>
              </w:rPr>
              <w:t>Yes</w:t>
            </w:r>
            <w:r w:rsidR="00CE5204" w:rsidRPr="00735705">
              <w:rPr>
                <w:rFonts w:ascii="Arial" w:eastAsia="Cambria" w:hAnsi="Arial"/>
                <w:b w:val="0"/>
                <w:sz w:val="20"/>
                <w:szCs w:val="20"/>
              </w:rPr>
              <w:t xml:space="preserve">   </w:t>
            </w:r>
          </w:p>
          <w:p w14:paraId="3687D9E5" w14:textId="4CB55668" w:rsidR="00CE5204" w:rsidRPr="00735705" w:rsidRDefault="00FC4D8E" w:rsidP="00765479">
            <w:pPr>
              <w:spacing w:after="0" w:line="240" w:lineRule="auto"/>
              <w:ind w:left="131"/>
              <w:rPr>
                <w:rFonts w:ascii="Arial" w:eastAsia="Cambria" w:hAnsi="Arial"/>
                <w:b w:val="0"/>
                <w:bCs/>
                <w:iCs/>
                <w:sz w:val="20"/>
                <w:szCs w:val="20"/>
              </w:rPr>
            </w:pPr>
            <w:sdt>
              <w:sdtPr>
                <w:rPr>
                  <w:rFonts w:ascii="Arial" w:eastAsia="Cambria" w:hAnsi="Arial"/>
                  <w:b w:val="0"/>
                  <w:sz w:val="20"/>
                  <w:szCs w:val="20"/>
                </w:rPr>
                <w:id w:val="1330405837"/>
                <w14:checkbox>
                  <w14:checked w14:val="1"/>
                  <w14:checkedState w14:val="2612" w14:font="MS Gothic"/>
                  <w14:uncheckedState w14:val="2610" w14:font="MS Gothic"/>
                </w14:checkbox>
              </w:sdtPr>
              <w:sdtEndPr/>
              <w:sdtContent>
                <w:r w:rsidR="00DD75B4">
                  <w:rPr>
                    <w:rFonts w:ascii="MS Gothic" w:eastAsia="MS Gothic" w:hAnsi="MS Gothic" w:hint="eastAsia"/>
                    <w:b w:val="0"/>
                    <w:sz w:val="20"/>
                    <w:szCs w:val="20"/>
                  </w:rPr>
                  <w:t>☒</w:t>
                </w:r>
              </w:sdtContent>
            </w:sdt>
            <w:r w:rsidR="00CE5204" w:rsidRPr="00735705">
              <w:rPr>
                <w:rFonts w:ascii="Arial" w:eastAsia="Cambria" w:hAnsi="Arial"/>
                <w:b w:val="0"/>
                <w:sz w:val="20"/>
                <w:szCs w:val="20"/>
              </w:rPr>
              <w:t xml:space="preserve"> No</w:t>
            </w:r>
          </w:p>
        </w:tc>
      </w:tr>
      <w:tr w:rsidR="0052482B" w:rsidRPr="00735705" w14:paraId="50C37A46" w14:textId="77777777" w:rsidTr="00E45AAA">
        <w:tblPrEx>
          <w:tblCellMar>
            <w:left w:w="10" w:type="dxa"/>
            <w:right w:w="10" w:type="dxa"/>
          </w:tblCellMar>
          <w:tblLook w:val="04A0" w:firstRow="1" w:lastRow="0" w:firstColumn="1" w:lastColumn="0" w:noHBand="0" w:noVBand="1"/>
        </w:tblPrEx>
        <w:trPr>
          <w:trHeight w:val="129"/>
        </w:trPr>
        <w:tc>
          <w:tcPr>
            <w:tcW w:w="9209" w:type="dxa"/>
            <w:gridSpan w:val="2"/>
            <w:shd w:val="clear" w:color="auto" w:fill="BFBFBF" w:themeFill="background1" w:themeFillShade="BF"/>
            <w:tcMar>
              <w:top w:w="0" w:type="dxa"/>
              <w:left w:w="108" w:type="dxa"/>
              <w:bottom w:w="0" w:type="dxa"/>
              <w:right w:w="108" w:type="dxa"/>
            </w:tcMar>
            <w:vAlign w:val="center"/>
            <w:hideMark/>
          </w:tcPr>
          <w:p w14:paraId="29522E35" w14:textId="29CEA7FD" w:rsidR="0052482B" w:rsidRPr="00735705" w:rsidRDefault="0052482B" w:rsidP="008552E5">
            <w:pPr>
              <w:numPr>
                <w:ilvl w:val="0"/>
                <w:numId w:val="8"/>
              </w:numPr>
              <w:spacing w:after="0" w:line="240" w:lineRule="auto"/>
              <w:ind w:left="313" w:hanging="313"/>
              <w:contextualSpacing/>
              <w:rPr>
                <w:rFonts w:ascii="Arial" w:eastAsia="MS Mincho" w:hAnsi="Arial"/>
                <w:b w:val="0"/>
                <w:color w:val="000000"/>
                <w:kern w:val="24"/>
                <w:sz w:val="20"/>
                <w:szCs w:val="20"/>
              </w:rPr>
            </w:pPr>
            <w:r w:rsidRPr="00735705">
              <w:rPr>
                <w:rFonts w:ascii="Arial" w:eastAsia="MS Mincho" w:hAnsi="Arial"/>
                <w:b w:val="0"/>
                <w:color w:val="000000"/>
                <w:kern w:val="24"/>
                <w:sz w:val="20"/>
                <w:szCs w:val="20"/>
              </w:rPr>
              <w:t>Others:</w:t>
            </w:r>
            <w:r w:rsidR="00E45AAA">
              <w:rPr>
                <w:rFonts w:ascii="Arial" w:eastAsia="MS Mincho" w:hAnsi="Arial"/>
                <w:b w:val="0"/>
                <w:color w:val="000000"/>
                <w:kern w:val="24"/>
                <w:sz w:val="20"/>
                <w:szCs w:val="20"/>
              </w:rPr>
              <w:t xml:space="preserve"> n/a</w:t>
            </w:r>
          </w:p>
        </w:tc>
      </w:tr>
    </w:tbl>
    <w:p w14:paraId="1BF8F899" w14:textId="281EEFF7" w:rsidR="0048135A" w:rsidRPr="00E45AAA" w:rsidRDefault="0048135A">
      <w:pPr>
        <w:spacing w:after="0" w:line="240" w:lineRule="auto"/>
        <w:rPr>
          <w:rFonts w:ascii="Arial" w:hAnsi="Arial"/>
          <w:b w:val="0"/>
          <w:sz w:val="10"/>
          <w:szCs w:val="10"/>
        </w:rPr>
      </w:pPr>
    </w:p>
    <w:tbl>
      <w:tblPr>
        <w:tblW w:w="9243"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243"/>
      </w:tblGrid>
      <w:tr w:rsidR="00C7583B" w:rsidRPr="00735705" w14:paraId="20E05111" w14:textId="77777777" w:rsidTr="007E1785">
        <w:trPr>
          <w:trHeight w:val="274"/>
        </w:trPr>
        <w:tc>
          <w:tcPr>
            <w:tcW w:w="9243" w:type="dxa"/>
            <w:shd w:val="clear" w:color="auto" w:fill="C6D9F1" w:themeFill="text2" w:themeFillTint="33"/>
          </w:tcPr>
          <w:p w14:paraId="5E132E33" w14:textId="63B518A2" w:rsidR="00C7583B" w:rsidRPr="00735705" w:rsidRDefault="009877B2" w:rsidP="00765479">
            <w:pPr>
              <w:spacing w:after="0" w:line="240" w:lineRule="auto"/>
              <w:jc w:val="both"/>
              <w:rPr>
                <w:rFonts w:ascii="Arial" w:hAnsi="Arial"/>
                <w:b w:val="0"/>
                <w:sz w:val="20"/>
                <w:szCs w:val="20"/>
              </w:rPr>
            </w:pPr>
            <w:r w:rsidRPr="00735705">
              <w:rPr>
                <w:rFonts w:ascii="Arial" w:hAnsi="Arial"/>
                <w:b w:val="0"/>
                <w:bCs/>
                <w:sz w:val="20"/>
                <w:szCs w:val="20"/>
              </w:rPr>
              <w:t>1.2.</w:t>
            </w:r>
            <w:r w:rsidR="00C7583B" w:rsidRPr="00735705">
              <w:rPr>
                <w:rFonts w:ascii="Arial" w:hAnsi="Arial"/>
                <w:b w:val="0"/>
                <w:bCs/>
                <w:sz w:val="20"/>
                <w:szCs w:val="20"/>
              </w:rPr>
              <w:t xml:space="preserve"> </w:t>
            </w:r>
            <w:r w:rsidR="00C37E4F" w:rsidRPr="00735705">
              <w:rPr>
                <w:rFonts w:ascii="Arial" w:hAnsi="Arial"/>
                <w:b w:val="0"/>
                <w:bCs/>
                <w:sz w:val="20"/>
                <w:szCs w:val="20"/>
              </w:rPr>
              <w:t>Summary of</w:t>
            </w:r>
            <w:r w:rsidR="00AD1A5E" w:rsidRPr="00735705">
              <w:rPr>
                <w:rFonts w:ascii="Arial" w:hAnsi="Arial"/>
                <w:b w:val="0"/>
                <w:bCs/>
                <w:sz w:val="20"/>
                <w:szCs w:val="20"/>
              </w:rPr>
              <w:t xml:space="preserve"> </w:t>
            </w:r>
            <w:r w:rsidR="005C07F4" w:rsidRPr="00735705">
              <w:rPr>
                <w:rFonts w:ascii="Arial" w:hAnsi="Arial"/>
                <w:b w:val="0"/>
                <w:bCs/>
                <w:sz w:val="20"/>
                <w:szCs w:val="20"/>
              </w:rPr>
              <w:t>country context</w:t>
            </w:r>
          </w:p>
        </w:tc>
      </w:tr>
      <w:tr w:rsidR="00120983" w:rsidRPr="00735705" w14:paraId="53B19E69" w14:textId="77777777" w:rsidTr="007E1785">
        <w:trPr>
          <w:trHeight w:val="274"/>
        </w:trPr>
        <w:tc>
          <w:tcPr>
            <w:tcW w:w="9243" w:type="dxa"/>
            <w:tcBorders>
              <w:bottom w:val="single" w:sz="4" w:space="0" w:color="808080" w:themeColor="background1" w:themeShade="80"/>
            </w:tcBorders>
            <w:shd w:val="clear" w:color="auto" w:fill="F2F2F2" w:themeFill="background1" w:themeFillShade="F2"/>
          </w:tcPr>
          <w:p w14:paraId="793CCE8C" w14:textId="77777777" w:rsidR="008A073A" w:rsidRPr="00735705" w:rsidRDefault="00AD1A5E" w:rsidP="00765479">
            <w:pPr>
              <w:spacing w:after="0" w:line="240" w:lineRule="auto"/>
              <w:jc w:val="both"/>
              <w:rPr>
                <w:rFonts w:ascii="Arial" w:hAnsi="Arial"/>
                <w:b w:val="0"/>
                <w:sz w:val="20"/>
                <w:szCs w:val="20"/>
              </w:rPr>
            </w:pPr>
            <w:r w:rsidRPr="00735705">
              <w:rPr>
                <w:rFonts w:ascii="Arial" w:hAnsi="Arial"/>
                <w:b w:val="0"/>
                <w:sz w:val="20"/>
                <w:szCs w:val="20"/>
              </w:rPr>
              <w:t xml:space="preserve">Given </w:t>
            </w:r>
            <w:r w:rsidR="00601EEF" w:rsidRPr="00735705">
              <w:rPr>
                <w:rFonts w:ascii="Arial" w:hAnsi="Arial"/>
                <w:b w:val="0"/>
                <w:sz w:val="20"/>
                <w:szCs w:val="20"/>
              </w:rPr>
              <w:t xml:space="preserve">the above, </w:t>
            </w:r>
          </w:p>
          <w:p w14:paraId="5BDD538A" w14:textId="22CE097D" w:rsidR="005C07F4" w:rsidRPr="00735705" w:rsidRDefault="007A2AB8" w:rsidP="008552E5">
            <w:pPr>
              <w:pStyle w:val="ListParagraph"/>
              <w:numPr>
                <w:ilvl w:val="0"/>
                <w:numId w:val="2"/>
              </w:numPr>
              <w:spacing w:after="0" w:line="240" w:lineRule="auto"/>
              <w:jc w:val="both"/>
              <w:rPr>
                <w:rFonts w:ascii="Arial" w:hAnsi="Arial"/>
                <w:b w:val="0"/>
                <w:sz w:val="20"/>
                <w:szCs w:val="20"/>
              </w:rPr>
            </w:pPr>
            <w:r w:rsidRPr="00735705">
              <w:rPr>
                <w:rFonts w:ascii="Arial" w:hAnsi="Arial"/>
                <w:b w:val="0"/>
                <w:sz w:val="20"/>
                <w:szCs w:val="20"/>
              </w:rPr>
              <w:t>D</w:t>
            </w:r>
            <w:r w:rsidR="005C07F4" w:rsidRPr="00735705">
              <w:rPr>
                <w:rFonts w:ascii="Arial" w:hAnsi="Arial"/>
                <w:b w:val="0"/>
                <w:sz w:val="20"/>
                <w:szCs w:val="20"/>
              </w:rPr>
              <w:t xml:space="preserve">escribe </w:t>
            </w:r>
            <w:r w:rsidR="009877B2" w:rsidRPr="00735705">
              <w:rPr>
                <w:rFonts w:ascii="Arial" w:hAnsi="Arial"/>
                <w:b w:val="0"/>
                <w:sz w:val="20"/>
                <w:szCs w:val="20"/>
              </w:rPr>
              <w:t xml:space="preserve">the </w:t>
            </w:r>
            <w:r w:rsidR="002A7DE9" w:rsidRPr="00735705">
              <w:rPr>
                <w:rFonts w:ascii="Arial" w:hAnsi="Arial"/>
                <w:b w:val="0"/>
                <w:sz w:val="20"/>
                <w:szCs w:val="20"/>
              </w:rPr>
              <w:t xml:space="preserve">reasons for programmatic changes </w:t>
            </w:r>
            <w:r w:rsidR="008B57A3" w:rsidRPr="00735705">
              <w:rPr>
                <w:rFonts w:ascii="Arial" w:hAnsi="Arial"/>
                <w:b w:val="0"/>
                <w:sz w:val="20"/>
                <w:szCs w:val="20"/>
              </w:rPr>
              <w:t xml:space="preserve">which form the basis of </w:t>
            </w:r>
            <w:r w:rsidR="005C07F4" w:rsidRPr="00735705">
              <w:rPr>
                <w:rFonts w:ascii="Arial" w:hAnsi="Arial"/>
                <w:b w:val="0"/>
                <w:sz w:val="20"/>
                <w:szCs w:val="20"/>
              </w:rPr>
              <w:t>your funding request</w:t>
            </w:r>
            <w:r w:rsidR="002A7DE9" w:rsidRPr="00735705">
              <w:rPr>
                <w:rFonts w:ascii="Arial" w:hAnsi="Arial"/>
                <w:b w:val="0"/>
                <w:sz w:val="20"/>
                <w:szCs w:val="20"/>
              </w:rPr>
              <w:t>, as applicable (e.g. refocusing to high impact interventions, epidemiological changes, alignment with the latest normative guidelines, changes to funding landscape, etc.)</w:t>
            </w:r>
          </w:p>
          <w:p w14:paraId="0DAE9E8E" w14:textId="2F582877" w:rsidR="00A4189F" w:rsidRPr="00735705" w:rsidRDefault="007A2AB8" w:rsidP="008552E5">
            <w:pPr>
              <w:pStyle w:val="ListParagraph"/>
              <w:numPr>
                <w:ilvl w:val="0"/>
                <w:numId w:val="2"/>
              </w:numPr>
              <w:spacing w:after="0" w:line="240" w:lineRule="auto"/>
              <w:jc w:val="both"/>
              <w:rPr>
                <w:rFonts w:ascii="Arial" w:hAnsi="Arial"/>
                <w:b w:val="0"/>
                <w:sz w:val="20"/>
                <w:szCs w:val="20"/>
              </w:rPr>
            </w:pPr>
            <w:r w:rsidRPr="00735705">
              <w:rPr>
                <w:rFonts w:ascii="Arial" w:hAnsi="Arial"/>
                <w:b w:val="0"/>
                <w:sz w:val="20"/>
                <w:szCs w:val="20"/>
              </w:rPr>
              <w:t>A</w:t>
            </w:r>
            <w:r w:rsidR="008A073A" w:rsidRPr="00735705">
              <w:rPr>
                <w:rFonts w:ascii="Arial" w:hAnsi="Arial"/>
                <w:b w:val="0"/>
                <w:sz w:val="20"/>
                <w:szCs w:val="20"/>
              </w:rPr>
              <w:t>s applicable, spec</w:t>
            </w:r>
            <w:r w:rsidR="00E31776" w:rsidRPr="00735705">
              <w:rPr>
                <w:rFonts w:ascii="Arial" w:hAnsi="Arial"/>
                <w:b w:val="0"/>
                <w:sz w:val="20"/>
                <w:szCs w:val="20"/>
              </w:rPr>
              <w:t xml:space="preserve">ify how these changes relate to </w:t>
            </w:r>
            <w:r w:rsidR="005C07F4" w:rsidRPr="00735705">
              <w:rPr>
                <w:rFonts w:ascii="Arial" w:hAnsi="Arial"/>
                <w:b w:val="0"/>
                <w:sz w:val="20"/>
                <w:szCs w:val="20"/>
              </w:rPr>
              <w:t>key and vulnerable populations and human-rights and gender considerations;</w:t>
            </w:r>
          </w:p>
          <w:p w14:paraId="1CB4807B" w14:textId="6C453AA8" w:rsidR="00120983" w:rsidRPr="007E1785" w:rsidRDefault="00243BCC" w:rsidP="00765479">
            <w:pPr>
              <w:pStyle w:val="ListParagraph"/>
              <w:numPr>
                <w:ilvl w:val="0"/>
                <w:numId w:val="2"/>
              </w:numPr>
              <w:spacing w:after="0" w:line="240" w:lineRule="auto"/>
              <w:jc w:val="both"/>
              <w:rPr>
                <w:rFonts w:ascii="Arial" w:hAnsi="Arial"/>
                <w:b w:val="0"/>
                <w:sz w:val="20"/>
                <w:szCs w:val="20"/>
              </w:rPr>
            </w:pPr>
            <w:r w:rsidRPr="00735705">
              <w:rPr>
                <w:rFonts w:ascii="Arial" w:hAnsi="Arial"/>
                <w:b w:val="0"/>
                <w:sz w:val="20"/>
                <w:szCs w:val="20"/>
              </w:rPr>
              <w:t>D</w:t>
            </w:r>
            <w:r w:rsidR="007A2AB8" w:rsidRPr="00735705">
              <w:rPr>
                <w:rFonts w:ascii="Arial" w:hAnsi="Arial"/>
                <w:b w:val="0"/>
                <w:sz w:val="20"/>
                <w:szCs w:val="20"/>
              </w:rPr>
              <w:t>escribe how</w:t>
            </w:r>
            <w:r w:rsidR="008B57A3" w:rsidRPr="00735705">
              <w:rPr>
                <w:rFonts w:ascii="Arial" w:hAnsi="Arial"/>
                <w:b w:val="0"/>
                <w:sz w:val="20"/>
                <w:szCs w:val="20"/>
              </w:rPr>
              <w:t xml:space="preserve"> the request</w:t>
            </w:r>
            <w:r w:rsidR="005C07F4" w:rsidRPr="00735705">
              <w:rPr>
                <w:rFonts w:ascii="Arial" w:hAnsi="Arial"/>
                <w:b w:val="0"/>
                <w:sz w:val="20"/>
                <w:szCs w:val="20"/>
              </w:rPr>
              <w:t xml:space="preserve"> builds on lessons-learned from existing and other donors’ programs.</w:t>
            </w:r>
          </w:p>
        </w:tc>
      </w:tr>
      <w:tr w:rsidR="00645ECF" w:rsidRPr="00735705" w14:paraId="35093C04" w14:textId="77777777" w:rsidTr="007E1785">
        <w:trPr>
          <w:trHeight w:val="274"/>
        </w:trPr>
        <w:tc>
          <w:tcPr>
            <w:tcW w:w="9243" w:type="dxa"/>
            <w:shd w:val="clear" w:color="auto" w:fill="auto"/>
          </w:tcPr>
          <w:p w14:paraId="41AAF910" w14:textId="4DC94BBD" w:rsidR="00EC68D5" w:rsidRDefault="00645ECF" w:rsidP="00645ECF">
            <w:pPr>
              <w:spacing w:before="120" w:after="120" w:line="240" w:lineRule="auto"/>
              <w:jc w:val="both"/>
              <w:rPr>
                <w:rFonts w:ascii="Arial" w:eastAsia="MS Mincho" w:hAnsi="Arial"/>
                <w:b w:val="0"/>
                <w:noProof/>
              </w:rPr>
            </w:pPr>
            <w:r w:rsidRPr="00223B98">
              <w:rPr>
                <w:rFonts w:ascii="Arial" w:hAnsi="Arial"/>
                <w:b w:val="0"/>
              </w:rPr>
              <w:t>The Republic of Kazakhstan gained independence after the break-up of the Soviet Union in 1991 and has experienced strong economic growth since 2000. I</w:t>
            </w:r>
            <w:r w:rsidRPr="00223B98">
              <w:rPr>
                <w:rFonts w:ascii="Arial" w:eastAsia="MS Mincho" w:hAnsi="Arial"/>
                <w:b w:val="0"/>
                <w:noProof/>
              </w:rPr>
              <w:t xml:space="preserve">n less than two decades, as the national economic situation improved, Kazakstan has transitioned from lower-middle-income to upper-middle-income </w:t>
            </w:r>
            <w:r>
              <w:rPr>
                <w:rFonts w:ascii="Arial" w:eastAsia="MS Mincho" w:hAnsi="Arial"/>
                <w:b w:val="0"/>
                <w:noProof/>
              </w:rPr>
              <w:t>country</w:t>
            </w:r>
            <w:r w:rsidR="00FF70D9">
              <w:rPr>
                <w:rFonts w:ascii="Arial" w:eastAsia="MS Mincho" w:hAnsi="Arial"/>
                <w:b w:val="0"/>
                <w:noProof/>
              </w:rPr>
              <w:t xml:space="preserve"> (UMIC)</w:t>
            </w:r>
            <w:r>
              <w:rPr>
                <w:rFonts w:ascii="Arial" w:eastAsia="MS Mincho" w:hAnsi="Arial"/>
                <w:b w:val="0"/>
                <w:noProof/>
              </w:rPr>
              <w:t xml:space="preserve"> </w:t>
            </w:r>
            <w:r w:rsidRPr="00223B98">
              <w:rPr>
                <w:rFonts w:ascii="Arial" w:eastAsia="MS Mincho" w:hAnsi="Arial"/>
                <w:b w:val="0"/>
                <w:noProof/>
              </w:rPr>
              <w:t>in 2006. The Gross National Income (GNI) reached USD 11,390  per capita in 2015 (source: World Bank), surpa</w:t>
            </w:r>
            <w:r w:rsidR="004E718C">
              <w:rPr>
                <w:rFonts w:ascii="Arial" w:eastAsia="MS Mincho" w:hAnsi="Arial"/>
                <w:b w:val="0"/>
                <w:noProof/>
              </w:rPr>
              <w:t>ssi</w:t>
            </w:r>
            <w:r w:rsidRPr="00223B98">
              <w:rPr>
                <w:rFonts w:ascii="Arial" w:eastAsia="MS Mincho" w:hAnsi="Arial"/>
                <w:b w:val="0"/>
                <w:noProof/>
              </w:rPr>
              <w:t>ng many countries in EECA region and sug</w:t>
            </w:r>
            <w:r w:rsidR="004E718C">
              <w:rPr>
                <w:rFonts w:ascii="Arial" w:eastAsia="MS Mincho" w:hAnsi="Arial"/>
                <w:b w:val="0"/>
                <w:noProof/>
              </w:rPr>
              <w:t>g</w:t>
            </w:r>
            <w:r w:rsidRPr="00223B98">
              <w:rPr>
                <w:rFonts w:ascii="Arial" w:eastAsia="MS Mincho" w:hAnsi="Arial"/>
                <w:b w:val="0"/>
                <w:noProof/>
              </w:rPr>
              <w:t>esting Kazakhst</w:t>
            </w:r>
            <w:r>
              <w:rPr>
                <w:rFonts w:ascii="Arial" w:eastAsia="MS Mincho" w:hAnsi="Arial"/>
                <w:b w:val="0"/>
                <w:noProof/>
              </w:rPr>
              <w:t xml:space="preserve">an </w:t>
            </w:r>
            <w:r w:rsidRPr="00223B98">
              <w:rPr>
                <w:rFonts w:ascii="Arial" w:eastAsia="MS Mincho" w:hAnsi="Arial"/>
                <w:b w:val="0"/>
                <w:noProof/>
              </w:rPr>
              <w:t>is in a strong position to</w:t>
            </w:r>
            <w:r>
              <w:rPr>
                <w:rFonts w:ascii="Arial" w:eastAsia="MS Mincho" w:hAnsi="Arial"/>
                <w:b w:val="0"/>
                <w:noProof/>
              </w:rPr>
              <w:t xml:space="preserve"> take over financing of </w:t>
            </w:r>
            <w:r w:rsidRPr="00223B98">
              <w:rPr>
                <w:rFonts w:ascii="Arial" w:eastAsia="MS Mincho" w:hAnsi="Arial"/>
                <w:b w:val="0"/>
                <w:noProof/>
              </w:rPr>
              <w:t xml:space="preserve">HIV response. </w:t>
            </w:r>
            <w:r w:rsidR="00214286" w:rsidRPr="00214286">
              <w:rPr>
                <w:rFonts w:ascii="Arial" w:hAnsi="Arial"/>
                <w:b w:val="0"/>
              </w:rPr>
              <w:t>With a total population of 17.5 million (2015 estimate) and a territory of 2,727,300 km², Kazakhstan has a land area equal to that of Western Europe but one of</w:t>
            </w:r>
            <w:r w:rsidR="00765056">
              <w:rPr>
                <w:rFonts w:ascii="Arial" w:hAnsi="Arial"/>
                <w:b w:val="0"/>
              </w:rPr>
              <w:t xml:space="preserve"> the lowest population density</w:t>
            </w:r>
            <w:r w:rsidR="00214286" w:rsidRPr="00214286">
              <w:rPr>
                <w:rFonts w:ascii="Arial" w:hAnsi="Arial"/>
                <w:b w:val="0"/>
              </w:rPr>
              <w:t xml:space="preserve"> (6 people per square kilometer)</w:t>
            </w:r>
            <w:r w:rsidR="00214286" w:rsidRPr="00214286">
              <w:rPr>
                <w:rFonts w:ascii="Arial" w:eastAsia="Times New Roman" w:hAnsi="Arial"/>
                <w:b w:val="0"/>
                <w:lang w:eastAsia="ru-RU"/>
              </w:rPr>
              <w:t>. Administratively, the country comprises 16 territorial units, including 14 regions (oblasts)</w:t>
            </w:r>
            <w:r w:rsidR="004E718C">
              <w:rPr>
                <w:rFonts w:ascii="Arial" w:eastAsia="Times New Roman" w:hAnsi="Arial"/>
                <w:b w:val="0"/>
                <w:lang w:eastAsia="ru-RU"/>
              </w:rPr>
              <w:t xml:space="preserve"> and two cities (Astana and Almaty)</w:t>
            </w:r>
            <w:r w:rsidR="00214286" w:rsidRPr="00214286">
              <w:rPr>
                <w:rFonts w:ascii="Arial" w:eastAsia="Times New Roman" w:hAnsi="Arial"/>
                <w:b w:val="0"/>
                <w:lang w:eastAsia="ru-RU"/>
              </w:rPr>
              <w:t>.</w:t>
            </w:r>
            <w:r w:rsidR="00DD3372">
              <w:rPr>
                <w:rFonts w:ascii="Arial" w:eastAsia="Times New Roman" w:hAnsi="Arial"/>
                <w:b w:val="0"/>
                <w:lang w:eastAsia="ru-RU"/>
              </w:rPr>
              <w:t xml:space="preserve"> </w:t>
            </w:r>
          </w:p>
          <w:p w14:paraId="4E8F0384" w14:textId="130BB870" w:rsidR="001C25D0" w:rsidRPr="001C25D0" w:rsidRDefault="00645ECF" w:rsidP="001C25D0">
            <w:pPr>
              <w:spacing w:before="120" w:after="120" w:line="240" w:lineRule="auto"/>
              <w:jc w:val="both"/>
              <w:rPr>
                <w:rFonts w:ascii="Arial" w:eastAsia="MS Mincho" w:hAnsi="Arial"/>
                <w:b w:val="0"/>
                <w:noProof/>
              </w:rPr>
            </w:pPr>
            <w:r w:rsidRPr="00223B98">
              <w:rPr>
                <w:rFonts w:ascii="Arial" w:eastAsia="MS Mincho" w:hAnsi="Arial"/>
                <w:b w:val="0"/>
                <w:noProof/>
              </w:rPr>
              <w:t>Since 2011</w:t>
            </w:r>
            <w:r>
              <w:rPr>
                <w:rFonts w:ascii="Arial" w:eastAsia="MS Mincho" w:hAnsi="Arial"/>
                <w:b w:val="0"/>
                <w:noProof/>
              </w:rPr>
              <w:t xml:space="preserve">, </w:t>
            </w:r>
            <w:r w:rsidRPr="00223B98">
              <w:rPr>
                <w:rFonts w:ascii="Arial" w:eastAsia="MS Mincho" w:hAnsi="Arial"/>
                <w:b w:val="0"/>
                <w:noProof/>
              </w:rPr>
              <w:t>Kazakhstan</w:t>
            </w:r>
            <w:r>
              <w:rPr>
                <w:rFonts w:ascii="Arial" w:eastAsia="MS Mincho" w:hAnsi="Arial"/>
                <w:b w:val="0"/>
                <w:noProof/>
              </w:rPr>
              <w:t xml:space="preserve"> </w:t>
            </w:r>
            <w:r w:rsidRPr="00223B98">
              <w:rPr>
                <w:rFonts w:ascii="Arial" w:eastAsia="MS Mincho" w:hAnsi="Arial"/>
                <w:b w:val="0"/>
                <w:noProof/>
              </w:rPr>
              <w:t>was no</w:t>
            </w:r>
            <w:r>
              <w:rPr>
                <w:rFonts w:ascii="Arial" w:eastAsia="MS Mincho" w:hAnsi="Arial"/>
                <w:b w:val="0"/>
                <w:noProof/>
              </w:rPr>
              <w:t xml:space="preserve">t </w:t>
            </w:r>
            <w:r w:rsidRPr="00223B98">
              <w:rPr>
                <w:rFonts w:ascii="Arial" w:eastAsia="MS Mincho" w:hAnsi="Arial"/>
                <w:b w:val="0"/>
                <w:noProof/>
              </w:rPr>
              <w:t xml:space="preserve">eligible to apply for </w:t>
            </w:r>
            <w:r w:rsidR="00705DFF">
              <w:rPr>
                <w:rFonts w:ascii="Arial" w:eastAsia="MS Mincho" w:hAnsi="Arial"/>
                <w:b w:val="0"/>
                <w:noProof/>
              </w:rPr>
              <w:t>The Global Fund (</w:t>
            </w:r>
            <w:r>
              <w:rPr>
                <w:rFonts w:ascii="Arial" w:eastAsia="MS Mincho" w:hAnsi="Arial"/>
                <w:b w:val="0"/>
                <w:noProof/>
              </w:rPr>
              <w:t>TGF</w:t>
            </w:r>
            <w:r w:rsidR="00705DFF">
              <w:rPr>
                <w:rFonts w:ascii="Arial" w:eastAsia="MS Mincho" w:hAnsi="Arial"/>
                <w:b w:val="0"/>
                <w:noProof/>
              </w:rPr>
              <w:t>)</w:t>
            </w:r>
            <w:r>
              <w:rPr>
                <w:rFonts w:ascii="Arial" w:eastAsia="MS Mincho" w:hAnsi="Arial"/>
                <w:b w:val="0"/>
                <w:noProof/>
              </w:rPr>
              <w:t xml:space="preserve"> </w:t>
            </w:r>
            <w:r w:rsidRPr="00223B98">
              <w:rPr>
                <w:rFonts w:ascii="Arial" w:eastAsia="MS Mincho" w:hAnsi="Arial"/>
                <w:b w:val="0"/>
                <w:noProof/>
              </w:rPr>
              <w:t>HIV grant</w:t>
            </w:r>
            <w:r>
              <w:rPr>
                <w:rFonts w:ascii="Arial" w:eastAsia="MS Mincho" w:hAnsi="Arial"/>
                <w:b w:val="0"/>
                <w:noProof/>
              </w:rPr>
              <w:t xml:space="preserve"> because it </w:t>
            </w:r>
            <w:r w:rsidR="0067314F">
              <w:rPr>
                <w:rFonts w:ascii="Arial" w:eastAsia="MS Mincho" w:hAnsi="Arial"/>
                <w:b w:val="0"/>
                <w:noProof/>
              </w:rPr>
              <w:t xml:space="preserve">was </w:t>
            </w:r>
            <w:r w:rsidR="007E1785">
              <w:rPr>
                <w:rFonts w:ascii="Arial" w:eastAsia="MS Mincho" w:hAnsi="Arial"/>
                <w:b w:val="0"/>
                <w:noProof/>
              </w:rPr>
              <w:t>classified UMIC</w:t>
            </w:r>
            <w:r w:rsidRPr="00223B98">
              <w:rPr>
                <w:rFonts w:ascii="Arial" w:eastAsia="MS Mincho" w:hAnsi="Arial"/>
                <w:b w:val="0"/>
                <w:noProof/>
              </w:rPr>
              <w:t xml:space="preserve"> with low HIV prevalence in KAP (less than 5%)</w:t>
            </w:r>
            <w:r w:rsidR="00214286">
              <w:rPr>
                <w:rFonts w:ascii="Arial" w:eastAsia="MS Mincho" w:hAnsi="Arial"/>
                <w:b w:val="0"/>
                <w:noProof/>
              </w:rPr>
              <w:t xml:space="preserve">. </w:t>
            </w:r>
            <w:r w:rsidRPr="00223B98">
              <w:rPr>
                <w:rFonts w:ascii="Arial" w:eastAsia="MS Mincho" w:hAnsi="Arial"/>
                <w:b w:val="0"/>
                <w:noProof/>
              </w:rPr>
              <w:t xml:space="preserve">However, given increased disease burden in </w:t>
            </w:r>
            <w:r>
              <w:rPr>
                <w:rFonts w:ascii="Arial" w:eastAsia="MS Mincho" w:hAnsi="Arial"/>
                <w:b w:val="0"/>
                <w:noProof/>
              </w:rPr>
              <w:t>key populations (K</w:t>
            </w:r>
            <w:r w:rsidRPr="00223B98">
              <w:rPr>
                <w:rFonts w:ascii="Arial" w:eastAsia="MS Mincho" w:hAnsi="Arial"/>
                <w:b w:val="0"/>
                <w:noProof/>
              </w:rPr>
              <w:t>P</w:t>
            </w:r>
            <w:r>
              <w:rPr>
                <w:rFonts w:ascii="Arial" w:eastAsia="MS Mincho" w:hAnsi="Arial"/>
                <w:b w:val="0"/>
                <w:noProof/>
              </w:rPr>
              <w:t xml:space="preserve">) </w:t>
            </w:r>
            <w:r w:rsidRPr="00782ECB">
              <w:rPr>
                <w:rFonts w:ascii="Arial" w:eastAsia="MS Mincho" w:hAnsi="Arial"/>
                <w:b w:val="0"/>
                <w:noProof/>
              </w:rPr>
              <w:t>(</w:t>
            </w:r>
            <w:r w:rsidR="004F5FEC" w:rsidRPr="00782ECB">
              <w:rPr>
                <w:rFonts w:ascii="Arial" w:eastAsia="MS Mincho" w:hAnsi="Arial"/>
                <w:b w:val="0"/>
                <w:noProof/>
              </w:rPr>
              <w:t>8.</w:t>
            </w:r>
            <w:r w:rsidR="00782ECB" w:rsidRPr="00782ECB">
              <w:rPr>
                <w:rFonts w:ascii="Arial" w:eastAsia="MS Mincho" w:hAnsi="Arial"/>
                <w:b w:val="0"/>
                <w:noProof/>
              </w:rPr>
              <w:t>46</w:t>
            </w:r>
            <w:r w:rsidRPr="00782ECB">
              <w:rPr>
                <w:rFonts w:ascii="Arial" w:eastAsia="MS Mincho" w:hAnsi="Arial"/>
                <w:b w:val="0"/>
                <w:noProof/>
              </w:rPr>
              <w:t>%</w:t>
            </w:r>
            <w:r w:rsidRPr="004F5FEC">
              <w:rPr>
                <w:rFonts w:ascii="Arial" w:eastAsia="MS Mincho" w:hAnsi="Arial"/>
                <w:b w:val="0"/>
                <w:noProof/>
              </w:rPr>
              <w:t xml:space="preserve"> HIV prevalence in PWID)</w:t>
            </w:r>
            <w:r w:rsidRPr="00223B98">
              <w:rPr>
                <w:rFonts w:ascii="Arial" w:eastAsia="MS Mincho" w:hAnsi="Arial"/>
                <w:b w:val="0"/>
                <w:noProof/>
              </w:rPr>
              <w:t xml:space="preserve">, Kazakhstan </w:t>
            </w:r>
            <w:r w:rsidR="007E1785">
              <w:rPr>
                <w:rFonts w:ascii="Arial" w:eastAsia="MS Mincho" w:hAnsi="Arial"/>
                <w:b w:val="0"/>
                <w:noProof/>
              </w:rPr>
              <w:t>became</w:t>
            </w:r>
            <w:r w:rsidRPr="00223B98">
              <w:rPr>
                <w:rFonts w:ascii="Arial" w:eastAsia="MS Mincho" w:hAnsi="Arial"/>
                <w:b w:val="0"/>
                <w:noProof/>
              </w:rPr>
              <w:t xml:space="preserve"> eligible for </w:t>
            </w:r>
            <w:r w:rsidR="00885847">
              <w:rPr>
                <w:rFonts w:ascii="Arial" w:eastAsia="MS Mincho" w:hAnsi="Arial"/>
                <w:b w:val="0"/>
                <w:noProof/>
              </w:rPr>
              <w:t xml:space="preserve">TGF </w:t>
            </w:r>
            <w:r w:rsidRPr="00223B98">
              <w:rPr>
                <w:rFonts w:ascii="Arial" w:eastAsia="MS Mincho" w:hAnsi="Arial"/>
                <w:b w:val="0"/>
                <w:noProof/>
              </w:rPr>
              <w:t>2017</w:t>
            </w:r>
            <w:r>
              <w:rPr>
                <w:rFonts w:ascii="Arial" w:eastAsia="MS Mincho" w:hAnsi="Arial"/>
                <w:b w:val="0"/>
                <w:noProof/>
              </w:rPr>
              <w:t xml:space="preserve">-2019 </w:t>
            </w:r>
            <w:r w:rsidR="007E1785">
              <w:rPr>
                <w:rFonts w:ascii="Arial" w:eastAsia="MS Mincho" w:hAnsi="Arial"/>
                <w:b w:val="0"/>
                <w:noProof/>
              </w:rPr>
              <w:t>allocation</w:t>
            </w:r>
            <w:r w:rsidR="00885847">
              <w:rPr>
                <w:rFonts w:ascii="Arial" w:eastAsia="MS Mincho" w:hAnsi="Arial"/>
                <w:b w:val="0"/>
                <w:noProof/>
              </w:rPr>
              <w:t xml:space="preserve">. In </w:t>
            </w:r>
            <w:r w:rsidRPr="00223B98">
              <w:rPr>
                <w:rFonts w:ascii="Arial" w:eastAsia="MS Mincho" w:hAnsi="Arial"/>
                <w:b w:val="0"/>
                <w:noProof/>
              </w:rPr>
              <w:t>December 2016</w:t>
            </w:r>
            <w:r w:rsidR="00885847">
              <w:rPr>
                <w:rFonts w:ascii="Arial" w:eastAsia="MS Mincho" w:hAnsi="Arial"/>
                <w:b w:val="0"/>
                <w:noProof/>
              </w:rPr>
              <w:t xml:space="preserve">, </w:t>
            </w:r>
            <w:r w:rsidRPr="00223B98">
              <w:rPr>
                <w:rFonts w:ascii="Arial" w:eastAsia="MS Mincho" w:hAnsi="Arial"/>
                <w:b w:val="0"/>
                <w:noProof/>
              </w:rPr>
              <w:t xml:space="preserve">TGF has </w:t>
            </w:r>
            <w:r w:rsidR="00885847">
              <w:rPr>
                <w:rFonts w:ascii="Arial" w:eastAsia="MS Mincho" w:hAnsi="Arial"/>
                <w:b w:val="0"/>
                <w:noProof/>
              </w:rPr>
              <w:t xml:space="preserve">invited </w:t>
            </w:r>
            <w:r w:rsidRPr="00223B98">
              <w:rPr>
                <w:rFonts w:ascii="Arial" w:eastAsia="MS Mincho" w:hAnsi="Arial"/>
                <w:b w:val="0"/>
                <w:noProof/>
              </w:rPr>
              <w:t>Kazakhstan</w:t>
            </w:r>
            <w:r w:rsidR="00885847">
              <w:rPr>
                <w:rFonts w:ascii="Arial" w:eastAsia="MS Mincho" w:hAnsi="Arial"/>
                <w:b w:val="0"/>
                <w:noProof/>
              </w:rPr>
              <w:t xml:space="preserve"> to apply for </w:t>
            </w:r>
            <w:r w:rsidR="001C25D0">
              <w:rPr>
                <w:rFonts w:ascii="Arial" w:eastAsia="MS Mincho" w:hAnsi="Arial"/>
                <w:b w:val="0"/>
                <w:noProof/>
              </w:rPr>
              <w:t>support</w:t>
            </w:r>
            <w:r w:rsidRPr="00223B98">
              <w:rPr>
                <w:rFonts w:ascii="Arial" w:eastAsia="MS Mincho" w:hAnsi="Arial"/>
                <w:b w:val="0"/>
                <w:noProof/>
              </w:rPr>
              <w:t xml:space="preserve"> </w:t>
            </w:r>
            <w:r w:rsidR="00743C5E">
              <w:rPr>
                <w:rFonts w:ascii="Arial" w:eastAsia="MS Mincho" w:hAnsi="Arial"/>
                <w:b w:val="0"/>
                <w:noProof/>
              </w:rPr>
              <w:t>on the condition</w:t>
            </w:r>
            <w:r w:rsidRPr="00223B98">
              <w:rPr>
                <w:rFonts w:ascii="Arial" w:eastAsia="MS Mincho" w:hAnsi="Arial"/>
                <w:b w:val="0"/>
                <w:noProof/>
              </w:rPr>
              <w:t xml:space="preserve"> that</w:t>
            </w:r>
            <w:r w:rsidR="001C25D0">
              <w:rPr>
                <w:rFonts w:ascii="Arial" w:eastAsia="MS Mincho" w:hAnsi="Arial"/>
                <w:b w:val="0"/>
                <w:noProof/>
              </w:rPr>
              <w:t xml:space="preserve"> the </w:t>
            </w:r>
            <w:r w:rsidR="001C25D0" w:rsidRPr="001C25D0">
              <w:rPr>
                <w:rFonts w:ascii="Arial" w:eastAsia="MS Mincho" w:hAnsi="Arial"/>
                <w:b w:val="0"/>
                <w:noProof/>
              </w:rPr>
              <w:t xml:space="preserve">funding request for the HIV activities should be focused on strengthening legal framework, funding mechanisms and implementation arrangements for the delivery of HIV activities to </w:t>
            </w:r>
            <w:r w:rsidR="001C25D0">
              <w:rPr>
                <w:rFonts w:ascii="Arial" w:eastAsia="MS Mincho" w:hAnsi="Arial"/>
                <w:b w:val="0"/>
                <w:noProof/>
              </w:rPr>
              <w:t>KP</w:t>
            </w:r>
            <w:r w:rsidR="001C25D0" w:rsidRPr="001C25D0">
              <w:rPr>
                <w:rFonts w:ascii="Arial" w:eastAsia="MS Mincho" w:hAnsi="Arial"/>
                <w:b w:val="0"/>
                <w:noProof/>
              </w:rPr>
              <w:t xml:space="preserve"> such as people who inject drugs</w:t>
            </w:r>
            <w:r w:rsidR="001C25D0">
              <w:rPr>
                <w:rFonts w:ascii="Arial" w:eastAsia="MS Mincho" w:hAnsi="Arial"/>
                <w:b w:val="0"/>
                <w:noProof/>
              </w:rPr>
              <w:t xml:space="preserve"> (PWID)</w:t>
            </w:r>
            <w:r w:rsidR="001C25D0" w:rsidRPr="001C25D0">
              <w:rPr>
                <w:rFonts w:ascii="Arial" w:eastAsia="MS Mincho" w:hAnsi="Arial"/>
                <w:b w:val="0"/>
                <w:noProof/>
              </w:rPr>
              <w:t>, men who have sex with men</w:t>
            </w:r>
            <w:r w:rsidR="001C25D0">
              <w:rPr>
                <w:rFonts w:ascii="Arial" w:eastAsia="MS Mincho" w:hAnsi="Arial"/>
                <w:b w:val="0"/>
                <w:noProof/>
              </w:rPr>
              <w:t xml:space="preserve"> (MSM)</w:t>
            </w:r>
            <w:r w:rsidR="001C25D0" w:rsidRPr="001C25D0">
              <w:rPr>
                <w:rFonts w:ascii="Arial" w:eastAsia="MS Mincho" w:hAnsi="Arial"/>
                <w:b w:val="0"/>
                <w:noProof/>
              </w:rPr>
              <w:t xml:space="preserve"> and sex workers</w:t>
            </w:r>
            <w:r w:rsidR="001C25D0">
              <w:rPr>
                <w:rFonts w:ascii="Arial" w:eastAsia="MS Mincho" w:hAnsi="Arial"/>
                <w:b w:val="0"/>
                <w:noProof/>
              </w:rPr>
              <w:t xml:space="preserve"> (SW)</w:t>
            </w:r>
            <w:r w:rsidR="001C25D0" w:rsidRPr="001C25D0">
              <w:rPr>
                <w:rFonts w:ascii="Arial" w:eastAsia="MS Mincho" w:hAnsi="Arial"/>
                <w:b w:val="0"/>
                <w:noProof/>
              </w:rPr>
              <w:t>, including social contracting schemes for non-governmental organizations</w:t>
            </w:r>
            <w:r w:rsidR="001C25D0">
              <w:rPr>
                <w:rFonts w:ascii="Arial" w:eastAsia="MS Mincho" w:hAnsi="Arial"/>
                <w:b w:val="0"/>
                <w:noProof/>
              </w:rPr>
              <w:t xml:space="preserve"> (NGOs)</w:t>
            </w:r>
            <w:r w:rsidR="001C25D0" w:rsidRPr="001C25D0">
              <w:rPr>
                <w:rFonts w:ascii="Arial" w:eastAsia="MS Mincho" w:hAnsi="Arial"/>
                <w:b w:val="0"/>
                <w:noProof/>
              </w:rPr>
              <w:t>. </w:t>
            </w:r>
          </w:p>
          <w:p w14:paraId="2D6D5A71" w14:textId="6CB75E30" w:rsidR="00B70E54" w:rsidRDefault="00645ECF" w:rsidP="0083748F">
            <w:pPr>
              <w:spacing w:before="120" w:after="120" w:line="240" w:lineRule="auto"/>
              <w:jc w:val="both"/>
              <w:rPr>
                <w:rFonts w:ascii="Arial" w:hAnsi="Arial"/>
                <w:b w:val="0"/>
              </w:rPr>
            </w:pPr>
            <w:r w:rsidRPr="00223B98">
              <w:rPr>
                <w:rFonts w:ascii="Arial" w:hAnsi="Arial"/>
                <w:b w:val="0"/>
              </w:rPr>
              <w:t xml:space="preserve">Kazakhstan has a concentrated </w:t>
            </w:r>
            <w:r w:rsidR="009D1B7F">
              <w:rPr>
                <w:rFonts w:ascii="Arial" w:hAnsi="Arial"/>
                <w:b w:val="0"/>
              </w:rPr>
              <w:t xml:space="preserve">HIV </w:t>
            </w:r>
            <w:r w:rsidRPr="00223B98">
              <w:rPr>
                <w:rFonts w:ascii="Arial" w:hAnsi="Arial"/>
                <w:b w:val="0"/>
              </w:rPr>
              <w:t>epidemic, with an estimated prevalence in adult general population of 0.2.</w:t>
            </w:r>
            <w:r w:rsidR="009D1B7F">
              <w:rPr>
                <w:rStyle w:val="FootnoteReference"/>
                <w:rFonts w:ascii="Arial" w:hAnsi="Arial"/>
                <w:b w:val="0"/>
              </w:rPr>
              <w:footnoteReference w:id="3"/>
            </w:r>
            <w:r w:rsidRPr="00223B98">
              <w:rPr>
                <w:rFonts w:ascii="Arial" w:hAnsi="Arial"/>
                <w:b w:val="0"/>
              </w:rPr>
              <w:t xml:space="preserve"> The epidemic continues to be concentrated among key populations, mostly </w:t>
            </w:r>
            <w:r w:rsidR="008C17D3">
              <w:rPr>
                <w:rFonts w:ascii="Arial" w:hAnsi="Arial"/>
                <w:b w:val="0"/>
              </w:rPr>
              <w:t xml:space="preserve">PWID </w:t>
            </w:r>
            <w:r w:rsidRPr="00223B98">
              <w:rPr>
                <w:rFonts w:ascii="Arial" w:hAnsi="Arial"/>
                <w:b w:val="0"/>
              </w:rPr>
              <w:t>in civilian and prison sectors, with an increa</w:t>
            </w:r>
            <w:r w:rsidR="008C17D3">
              <w:rPr>
                <w:rFonts w:ascii="Arial" w:hAnsi="Arial"/>
                <w:b w:val="0"/>
              </w:rPr>
              <w:t>sing contribution of MSM</w:t>
            </w:r>
            <w:r w:rsidRPr="00223B98">
              <w:rPr>
                <w:rFonts w:ascii="Arial" w:hAnsi="Arial"/>
                <w:b w:val="0"/>
              </w:rPr>
              <w:t>.</w:t>
            </w:r>
            <w:r w:rsidR="008C17D3">
              <w:rPr>
                <w:rFonts w:ascii="Arial" w:hAnsi="Arial"/>
                <w:b w:val="0"/>
              </w:rPr>
              <w:t xml:space="preserve"> </w:t>
            </w:r>
            <w:r w:rsidRPr="00223B98">
              <w:rPr>
                <w:rFonts w:ascii="Arial" w:hAnsi="Arial"/>
                <w:b w:val="0"/>
              </w:rPr>
              <w:t xml:space="preserve">According to national </w:t>
            </w:r>
            <w:r w:rsidR="008C17D3">
              <w:rPr>
                <w:rFonts w:ascii="Arial" w:hAnsi="Arial"/>
                <w:b w:val="0"/>
              </w:rPr>
              <w:t xml:space="preserve">statistics, by the end of 2016, Republican AIDS Center (RAC) </w:t>
            </w:r>
            <w:r w:rsidR="00933574">
              <w:rPr>
                <w:rFonts w:ascii="Arial" w:hAnsi="Arial"/>
                <w:b w:val="0"/>
              </w:rPr>
              <w:t xml:space="preserve">registered </w:t>
            </w:r>
            <w:r w:rsidRPr="00223B98">
              <w:rPr>
                <w:rFonts w:ascii="Arial" w:hAnsi="Arial"/>
                <w:b w:val="0"/>
              </w:rPr>
              <w:t>a cumulative number of 27,126 HIV cases</w:t>
            </w:r>
            <w:r w:rsidR="00933574">
              <w:rPr>
                <w:rFonts w:ascii="Arial" w:hAnsi="Arial"/>
                <w:b w:val="0"/>
              </w:rPr>
              <w:t xml:space="preserve">. </w:t>
            </w:r>
            <w:r w:rsidRPr="00223B98">
              <w:rPr>
                <w:rFonts w:ascii="Arial" w:hAnsi="Arial"/>
                <w:b w:val="0"/>
              </w:rPr>
              <w:t>From them, 8,013 person</w:t>
            </w:r>
            <w:r w:rsidR="00B70E54">
              <w:rPr>
                <w:rFonts w:ascii="Arial" w:hAnsi="Arial"/>
                <w:b w:val="0"/>
              </w:rPr>
              <w:t>s</w:t>
            </w:r>
            <w:r w:rsidRPr="00223B98">
              <w:rPr>
                <w:rFonts w:ascii="Arial" w:hAnsi="Arial"/>
                <w:b w:val="0"/>
              </w:rPr>
              <w:t xml:space="preserve"> died. The number of </w:t>
            </w:r>
            <w:r w:rsidR="00705DFF">
              <w:rPr>
                <w:rFonts w:ascii="Arial" w:hAnsi="Arial"/>
                <w:b w:val="0"/>
              </w:rPr>
              <w:t>people living with HIV (</w:t>
            </w:r>
            <w:r w:rsidRPr="00223B98">
              <w:rPr>
                <w:rFonts w:ascii="Arial" w:hAnsi="Arial"/>
                <w:b w:val="0"/>
              </w:rPr>
              <w:t>PLHIV</w:t>
            </w:r>
            <w:r w:rsidR="00705DFF">
              <w:rPr>
                <w:rFonts w:ascii="Arial" w:hAnsi="Arial"/>
                <w:b w:val="0"/>
              </w:rPr>
              <w:t>)</w:t>
            </w:r>
            <w:r w:rsidRPr="00223B98">
              <w:rPr>
                <w:rFonts w:ascii="Arial" w:hAnsi="Arial"/>
                <w:b w:val="0"/>
              </w:rPr>
              <w:t xml:space="preserve"> as of </w:t>
            </w:r>
            <w:r w:rsidR="00933574">
              <w:rPr>
                <w:rFonts w:ascii="Arial" w:hAnsi="Arial"/>
                <w:b w:val="0"/>
              </w:rPr>
              <w:t xml:space="preserve">1 </w:t>
            </w:r>
            <w:r w:rsidRPr="00223B98">
              <w:rPr>
                <w:rFonts w:ascii="Arial" w:hAnsi="Arial"/>
                <w:b w:val="0"/>
              </w:rPr>
              <w:t xml:space="preserve">January 2017 </w:t>
            </w:r>
            <w:r w:rsidR="00933574">
              <w:rPr>
                <w:rFonts w:ascii="Arial" w:hAnsi="Arial"/>
                <w:b w:val="0"/>
              </w:rPr>
              <w:t xml:space="preserve">was </w:t>
            </w:r>
            <w:r w:rsidRPr="00223B98">
              <w:rPr>
                <w:rFonts w:ascii="Arial" w:hAnsi="Arial"/>
                <w:b w:val="0"/>
              </w:rPr>
              <w:t>19,113, with a national prevalence of 108.9 per 100,000 population. The 5 most affected administrative-territorial units are Pavlodar oblast (216,5), Karaganda oblast (202.1), Almaty city (200.7), East</w:t>
            </w:r>
            <w:r w:rsidR="00F87724">
              <w:rPr>
                <w:rFonts w:ascii="Arial" w:hAnsi="Arial"/>
                <w:b w:val="0"/>
              </w:rPr>
              <w:t xml:space="preserve"> Kazakhstan oblast (173.0) and </w:t>
            </w:r>
            <w:proofErr w:type="spellStart"/>
            <w:r w:rsidR="00F87724">
              <w:rPr>
                <w:rFonts w:ascii="Arial" w:hAnsi="Arial"/>
                <w:b w:val="0"/>
              </w:rPr>
              <w:t>K</w:t>
            </w:r>
            <w:r w:rsidRPr="00223B98">
              <w:rPr>
                <w:rFonts w:ascii="Arial" w:hAnsi="Arial"/>
                <w:b w:val="0"/>
              </w:rPr>
              <w:t>ostanay</w:t>
            </w:r>
            <w:proofErr w:type="spellEnd"/>
            <w:r w:rsidRPr="00223B98">
              <w:rPr>
                <w:rFonts w:ascii="Arial" w:hAnsi="Arial"/>
                <w:b w:val="0"/>
              </w:rPr>
              <w:t xml:space="preserve"> oblast (148.7</w:t>
            </w:r>
            <w:r w:rsidRPr="007E1785">
              <w:rPr>
                <w:rFonts w:ascii="Arial" w:hAnsi="Arial"/>
                <w:b w:val="0"/>
              </w:rPr>
              <w:t>) (</w:t>
            </w:r>
            <w:r w:rsidR="00933574" w:rsidRPr="007E1785">
              <w:rPr>
                <w:rFonts w:ascii="Arial" w:hAnsi="Arial"/>
                <w:b w:val="0"/>
              </w:rPr>
              <w:t xml:space="preserve">see Figure </w:t>
            </w:r>
            <w:r w:rsidR="004F5FEC" w:rsidRPr="007E1785">
              <w:rPr>
                <w:rFonts w:ascii="Arial" w:hAnsi="Arial"/>
                <w:b w:val="0"/>
              </w:rPr>
              <w:t>1</w:t>
            </w:r>
            <w:r w:rsidR="00933574" w:rsidRPr="007E1785">
              <w:rPr>
                <w:rFonts w:ascii="Arial" w:hAnsi="Arial"/>
                <w:b w:val="0"/>
              </w:rPr>
              <w:t>).</w:t>
            </w:r>
            <w:r w:rsidR="00933574">
              <w:rPr>
                <w:rFonts w:ascii="Arial" w:hAnsi="Arial"/>
                <w:b w:val="0"/>
              </w:rPr>
              <w:t xml:space="preserve"> </w:t>
            </w:r>
            <w:r w:rsidR="0083748F" w:rsidRPr="00E45AAA">
              <w:rPr>
                <w:rFonts w:ascii="Arial" w:hAnsi="Arial"/>
                <w:b w:val="0"/>
                <w:i/>
              </w:rPr>
              <w:t xml:space="preserve">Important to note, that the current funding request is focused on earlier implementation </w:t>
            </w:r>
            <w:r w:rsidR="00B031A1" w:rsidRPr="00E45AAA">
              <w:rPr>
                <w:rFonts w:ascii="Arial" w:hAnsi="Arial"/>
                <w:b w:val="0"/>
                <w:i/>
              </w:rPr>
              <w:t>for</w:t>
            </w:r>
            <w:r w:rsidR="0083748F" w:rsidRPr="00E45AAA">
              <w:rPr>
                <w:rFonts w:ascii="Arial" w:hAnsi="Arial"/>
                <w:b w:val="0"/>
                <w:i/>
              </w:rPr>
              <w:t xml:space="preserve"> social contracting to boost HIV service coverage in two most affected </w:t>
            </w:r>
            <w:r w:rsidR="00B031A1" w:rsidRPr="00E45AAA">
              <w:rPr>
                <w:rFonts w:ascii="Arial" w:hAnsi="Arial"/>
                <w:b w:val="0"/>
                <w:i/>
              </w:rPr>
              <w:t>territories, Kara</w:t>
            </w:r>
            <w:r w:rsidR="0083748F" w:rsidRPr="00E45AAA">
              <w:rPr>
                <w:rFonts w:ascii="Arial" w:hAnsi="Arial"/>
                <w:b w:val="0"/>
                <w:i/>
              </w:rPr>
              <w:t xml:space="preserve">ganda oblast and Almaty city (along with Astana city starting Year 3). </w:t>
            </w:r>
            <w:r w:rsidR="00EA3AF8" w:rsidRPr="00E45AAA">
              <w:rPr>
                <w:rFonts w:ascii="Arial" w:hAnsi="Arial"/>
                <w:b w:val="0"/>
                <w:i/>
              </w:rPr>
              <w:t xml:space="preserve">Additional information and arguments are elaborated under </w:t>
            </w:r>
            <w:r w:rsidR="0083748F" w:rsidRPr="00E45AAA">
              <w:rPr>
                <w:rFonts w:ascii="Arial" w:hAnsi="Arial"/>
                <w:b w:val="0"/>
                <w:i/>
              </w:rPr>
              <w:t xml:space="preserve">Section </w:t>
            </w:r>
            <w:r w:rsidR="00EA3AF8" w:rsidRPr="00E45AAA">
              <w:rPr>
                <w:rFonts w:ascii="Arial" w:hAnsi="Arial"/>
                <w:b w:val="0"/>
                <w:i/>
              </w:rPr>
              <w:t xml:space="preserve">2.1. </w:t>
            </w:r>
            <w:r w:rsidR="0083748F" w:rsidRPr="00E45AAA">
              <w:rPr>
                <w:rFonts w:ascii="Arial" w:hAnsi="Arial"/>
                <w:b w:val="0"/>
                <w:i/>
              </w:rPr>
              <w:t>below.</w:t>
            </w:r>
            <w:r w:rsidR="0083748F">
              <w:rPr>
                <w:rFonts w:ascii="Arial" w:hAnsi="Arial"/>
                <w:b w:val="0"/>
              </w:rPr>
              <w:t xml:space="preserve"> </w:t>
            </w:r>
          </w:p>
          <w:p w14:paraId="05FF728A" w14:textId="671DA585" w:rsidR="00645ECF" w:rsidRPr="00933574" w:rsidRDefault="00933574" w:rsidP="00933574">
            <w:pPr>
              <w:spacing w:before="120" w:after="120" w:line="240" w:lineRule="auto"/>
              <w:jc w:val="both"/>
              <w:rPr>
                <w:rFonts w:ascii="Arial" w:hAnsi="Arial"/>
                <w:b w:val="0"/>
                <w:i/>
              </w:rPr>
            </w:pPr>
            <w:r w:rsidRPr="007E1785">
              <w:rPr>
                <w:rFonts w:ascii="Arial" w:hAnsi="Arial"/>
                <w:b w:val="0"/>
                <w:i/>
              </w:rPr>
              <w:lastRenderedPageBreak/>
              <w:t xml:space="preserve">Figure </w:t>
            </w:r>
            <w:r w:rsidR="004F5FEC" w:rsidRPr="007E1785">
              <w:rPr>
                <w:rFonts w:ascii="Arial" w:hAnsi="Arial"/>
                <w:b w:val="0"/>
                <w:i/>
              </w:rPr>
              <w:t>1</w:t>
            </w:r>
            <w:r w:rsidRPr="007E1785">
              <w:rPr>
                <w:rFonts w:ascii="Arial" w:hAnsi="Arial"/>
                <w:b w:val="0"/>
                <w:i/>
              </w:rPr>
              <w:t>.</w:t>
            </w:r>
            <w:r w:rsidRPr="00933574">
              <w:rPr>
                <w:rFonts w:ascii="Arial" w:hAnsi="Arial"/>
                <w:b w:val="0"/>
                <w:i/>
              </w:rPr>
              <w:t xml:space="preserve"> HIV prevalence, per regions, 2016</w:t>
            </w:r>
            <w:r w:rsidR="00645ECF" w:rsidRPr="00933574">
              <w:rPr>
                <w:rFonts w:ascii="Arial" w:hAnsi="Arial"/>
                <w:b w:val="0"/>
                <w:i/>
              </w:rPr>
              <w:t xml:space="preserve">. </w:t>
            </w:r>
          </w:p>
          <w:p w14:paraId="33D9C757" w14:textId="40365494" w:rsidR="00645ECF" w:rsidRPr="00223B98" w:rsidRDefault="00197829" w:rsidP="00CE5015">
            <w:pPr>
              <w:spacing w:after="0" w:line="240" w:lineRule="auto"/>
              <w:jc w:val="center"/>
              <w:rPr>
                <w:rFonts w:ascii="Arial" w:hAnsi="Arial"/>
                <w:b w:val="0"/>
              </w:rPr>
            </w:pPr>
            <w:r>
              <w:rPr>
                <w:rFonts w:ascii="Arial" w:hAnsi="Arial"/>
                <w:b w:val="0"/>
                <w:noProof/>
              </w:rPr>
              <w:drawing>
                <wp:inline distT="0" distB="0" distL="0" distR="0" wp14:anchorId="2EE481EE" wp14:editId="357D7100">
                  <wp:extent cx="4183767" cy="2241206"/>
                  <wp:effectExtent l="0" t="0" r="7620" b="0"/>
                  <wp:docPr id="4" name="Picture 4" descr="Pictur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icture1.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183767" cy="2241206"/>
                          </a:xfrm>
                          <a:prstGeom prst="rect">
                            <a:avLst/>
                          </a:prstGeom>
                          <a:noFill/>
                          <a:ln>
                            <a:noFill/>
                          </a:ln>
                        </pic:spPr>
                      </pic:pic>
                    </a:graphicData>
                  </a:graphic>
                </wp:inline>
              </w:drawing>
            </w:r>
          </w:p>
          <w:p w14:paraId="61F3E1C0" w14:textId="583D323E" w:rsidR="00645ECF" w:rsidRPr="00D704DD" w:rsidRDefault="00645ECF" w:rsidP="00E959C2">
            <w:pPr>
              <w:spacing w:before="120" w:after="120" w:line="240" w:lineRule="auto"/>
              <w:jc w:val="both"/>
              <w:rPr>
                <w:rFonts w:ascii="Arial" w:hAnsi="Arial"/>
                <w:b w:val="0"/>
              </w:rPr>
            </w:pPr>
            <w:r w:rsidRPr="00223B98">
              <w:rPr>
                <w:rFonts w:ascii="Arial" w:hAnsi="Arial"/>
                <w:b w:val="0"/>
              </w:rPr>
              <w:t xml:space="preserve">The annual number of people newly </w:t>
            </w:r>
            <w:r w:rsidRPr="00032B20">
              <w:rPr>
                <w:rFonts w:ascii="Arial" w:hAnsi="Arial"/>
                <w:b w:val="0"/>
                <w:color w:val="000000" w:themeColor="text1"/>
              </w:rPr>
              <w:t xml:space="preserve">diagnosed with HIV increased </w:t>
            </w:r>
            <w:r w:rsidRPr="00A25923">
              <w:rPr>
                <w:rFonts w:ascii="Arial" w:hAnsi="Arial"/>
                <w:b w:val="0"/>
              </w:rPr>
              <w:t xml:space="preserve">from 1,988 in 2010 to 2,725 in </w:t>
            </w:r>
            <w:r w:rsidRPr="00A22C5F">
              <w:rPr>
                <w:rFonts w:ascii="Arial" w:hAnsi="Arial"/>
                <w:b w:val="0"/>
              </w:rPr>
              <w:t xml:space="preserve">2016, </w:t>
            </w:r>
            <w:r w:rsidRPr="004A62AD">
              <w:rPr>
                <w:rFonts w:ascii="Arial" w:hAnsi="Arial"/>
                <w:b w:val="0"/>
              </w:rPr>
              <w:t xml:space="preserve">with an increasing trend </w:t>
            </w:r>
            <w:r w:rsidR="00FF0D80" w:rsidRPr="000B341C">
              <w:rPr>
                <w:rFonts w:ascii="Arial" w:hAnsi="Arial"/>
                <w:b w:val="0"/>
              </w:rPr>
              <w:t>in recent</w:t>
            </w:r>
            <w:r w:rsidRPr="000B341C">
              <w:rPr>
                <w:rFonts w:ascii="Arial" w:hAnsi="Arial"/>
                <w:b w:val="0"/>
              </w:rPr>
              <w:t xml:space="preserve"> years</w:t>
            </w:r>
            <w:r w:rsidR="004A62AD">
              <w:rPr>
                <w:rFonts w:ascii="Arial" w:hAnsi="Arial"/>
                <w:b w:val="0"/>
              </w:rPr>
              <w:t xml:space="preserve"> </w:t>
            </w:r>
            <w:r w:rsidR="004A62AD" w:rsidRPr="000B341C">
              <w:rPr>
                <w:rFonts w:ascii="Arial" w:hAnsi="Arial"/>
                <w:b w:val="0"/>
              </w:rPr>
              <w:t>(398 in 2016 versus 2015)</w:t>
            </w:r>
            <w:r w:rsidRPr="000B341C">
              <w:rPr>
                <w:rFonts w:ascii="Arial" w:hAnsi="Arial"/>
                <w:b w:val="0"/>
              </w:rPr>
              <w:t xml:space="preserve">, due to </w:t>
            </w:r>
            <w:r w:rsidR="00FF0D80" w:rsidRPr="000B341C">
              <w:rPr>
                <w:rFonts w:ascii="Arial" w:hAnsi="Arial"/>
                <w:b w:val="0"/>
              </w:rPr>
              <w:t xml:space="preserve">scale up of </w:t>
            </w:r>
            <w:r w:rsidRPr="000B341C">
              <w:rPr>
                <w:rFonts w:ascii="Arial" w:hAnsi="Arial"/>
                <w:b w:val="0"/>
              </w:rPr>
              <w:t>HTC uptake (12</w:t>
            </w:r>
            <w:r w:rsidRPr="004A62AD">
              <w:rPr>
                <w:rFonts w:ascii="Arial" w:hAnsi="Arial"/>
                <w:b w:val="0"/>
              </w:rPr>
              <w:t>% of the population</w:t>
            </w:r>
            <w:r w:rsidRPr="00032B20">
              <w:rPr>
                <w:rFonts w:ascii="Arial" w:hAnsi="Arial"/>
                <w:b w:val="0"/>
                <w:color w:val="000000" w:themeColor="text1"/>
              </w:rPr>
              <w:t xml:space="preserve"> annually). </w:t>
            </w:r>
            <w:r w:rsidR="00032B20" w:rsidRPr="00032B20">
              <w:rPr>
                <w:rFonts w:ascii="Arial" w:hAnsi="Arial"/>
                <w:b w:val="0"/>
                <w:color w:val="000000" w:themeColor="text1"/>
              </w:rPr>
              <w:t xml:space="preserve">Among </w:t>
            </w:r>
            <w:r w:rsidR="00032B20">
              <w:rPr>
                <w:rFonts w:ascii="Arial" w:hAnsi="Arial"/>
                <w:b w:val="0"/>
                <w:color w:val="000000" w:themeColor="text1"/>
              </w:rPr>
              <w:t>all</w:t>
            </w:r>
            <w:r w:rsidR="00032B20" w:rsidRPr="00032B20">
              <w:rPr>
                <w:rFonts w:ascii="Arial" w:hAnsi="Arial"/>
                <w:b w:val="0"/>
                <w:color w:val="000000" w:themeColor="text1"/>
              </w:rPr>
              <w:t xml:space="preserve"> HIV </w:t>
            </w:r>
            <w:r w:rsidR="00032B20">
              <w:rPr>
                <w:rFonts w:ascii="Arial" w:hAnsi="Arial"/>
                <w:b w:val="0"/>
                <w:color w:val="000000" w:themeColor="text1"/>
              </w:rPr>
              <w:t xml:space="preserve">registered </w:t>
            </w:r>
            <w:r w:rsidR="00032B20" w:rsidRPr="00032B20">
              <w:rPr>
                <w:rFonts w:ascii="Arial" w:hAnsi="Arial"/>
                <w:b w:val="0"/>
                <w:color w:val="000000" w:themeColor="text1"/>
              </w:rPr>
              <w:t xml:space="preserve">cases, men </w:t>
            </w:r>
            <w:r w:rsidR="00032B20">
              <w:rPr>
                <w:rFonts w:ascii="Arial" w:hAnsi="Arial"/>
                <w:b w:val="0"/>
                <w:color w:val="000000" w:themeColor="text1"/>
              </w:rPr>
              <w:t xml:space="preserve">are </w:t>
            </w:r>
            <w:r w:rsidR="00032B20" w:rsidRPr="00032B20">
              <w:rPr>
                <w:rFonts w:ascii="Arial" w:hAnsi="Arial"/>
                <w:b w:val="0"/>
                <w:color w:val="000000" w:themeColor="text1"/>
              </w:rPr>
              <w:t xml:space="preserve">still predominant </w:t>
            </w:r>
            <w:r w:rsidR="00032B20" w:rsidRPr="009479F5">
              <w:rPr>
                <w:rFonts w:ascii="Arial" w:hAnsi="Arial"/>
                <w:b w:val="0"/>
                <w:color w:val="000000" w:themeColor="text1"/>
              </w:rPr>
              <w:t>(</w:t>
            </w:r>
            <w:r w:rsidR="009479F5" w:rsidRPr="009479F5">
              <w:rPr>
                <w:rFonts w:ascii="Arial" w:hAnsi="Arial"/>
                <w:b w:val="0"/>
                <w:color w:val="000000" w:themeColor="text1"/>
              </w:rPr>
              <w:t>64.8</w:t>
            </w:r>
            <w:r w:rsidR="00032B20" w:rsidRPr="009479F5">
              <w:rPr>
                <w:rFonts w:ascii="Arial" w:hAnsi="Arial"/>
                <w:b w:val="0"/>
                <w:color w:val="000000" w:themeColor="text1"/>
              </w:rPr>
              <w:t>%); however</w:t>
            </w:r>
            <w:r w:rsidR="00032B20" w:rsidRPr="00032B20">
              <w:rPr>
                <w:rFonts w:ascii="Arial" w:hAnsi="Arial"/>
                <w:b w:val="0"/>
                <w:color w:val="000000" w:themeColor="text1"/>
              </w:rPr>
              <w:t xml:space="preserve">, </w:t>
            </w:r>
            <w:r w:rsidR="00032B20">
              <w:rPr>
                <w:rFonts w:ascii="Arial" w:hAnsi="Arial"/>
                <w:b w:val="0"/>
                <w:color w:val="000000" w:themeColor="text1"/>
              </w:rPr>
              <w:t xml:space="preserve">the proportion of men among those newly diagnosed declined </w:t>
            </w:r>
            <w:r w:rsidR="00032B20" w:rsidRPr="003A07B4">
              <w:rPr>
                <w:rFonts w:ascii="Arial" w:hAnsi="Arial"/>
                <w:b w:val="0"/>
              </w:rPr>
              <w:t xml:space="preserve">over the last decade and the proportion of women increased </w:t>
            </w:r>
            <w:r w:rsidR="00A95605" w:rsidRPr="003A07B4">
              <w:rPr>
                <w:rFonts w:ascii="Arial" w:hAnsi="Arial"/>
                <w:b w:val="0"/>
              </w:rPr>
              <w:t>from 29% in 2006</w:t>
            </w:r>
            <w:r w:rsidR="00A95605">
              <w:rPr>
                <w:rFonts w:ascii="Arial" w:hAnsi="Arial"/>
                <w:b w:val="0"/>
              </w:rPr>
              <w:t xml:space="preserve"> </w:t>
            </w:r>
            <w:r w:rsidR="00032B20" w:rsidRPr="003A07B4">
              <w:rPr>
                <w:rFonts w:ascii="Arial" w:hAnsi="Arial"/>
                <w:b w:val="0"/>
              </w:rPr>
              <w:t xml:space="preserve">to 42.1% in 2016. </w:t>
            </w:r>
            <w:r w:rsidRPr="00032B20">
              <w:rPr>
                <w:rFonts w:ascii="Arial" w:hAnsi="Arial"/>
                <w:b w:val="0"/>
                <w:color w:val="000000" w:themeColor="text1"/>
              </w:rPr>
              <w:t xml:space="preserve">Injecting drug use is still a major factor in the transmission of HIV, accounting </w:t>
            </w:r>
            <w:r w:rsidR="00E959C2" w:rsidRPr="00032B20">
              <w:rPr>
                <w:rFonts w:ascii="Arial" w:hAnsi="Arial"/>
                <w:b w:val="0"/>
                <w:color w:val="000000" w:themeColor="text1"/>
              </w:rPr>
              <w:t>for 56.4% of all reported cases;</w:t>
            </w:r>
            <w:r w:rsidRPr="00032B20">
              <w:rPr>
                <w:rFonts w:ascii="Arial" w:hAnsi="Arial"/>
                <w:b w:val="0"/>
                <w:color w:val="000000" w:themeColor="text1"/>
              </w:rPr>
              <w:t xml:space="preserve"> </w:t>
            </w:r>
            <w:r w:rsidR="00E959C2" w:rsidRPr="00032B20">
              <w:rPr>
                <w:rFonts w:ascii="Arial" w:hAnsi="Arial"/>
                <w:b w:val="0"/>
                <w:color w:val="000000" w:themeColor="text1"/>
              </w:rPr>
              <w:t>h</w:t>
            </w:r>
            <w:r w:rsidRPr="00032B20">
              <w:rPr>
                <w:rFonts w:ascii="Arial" w:hAnsi="Arial"/>
                <w:b w:val="0"/>
                <w:color w:val="000000" w:themeColor="text1"/>
              </w:rPr>
              <w:t xml:space="preserve">owever, transmission through heterosexual sex increased over last decade and by 2011, heterosexual sex has surpassed injecting drug use as the primary </w:t>
            </w:r>
            <w:r w:rsidRPr="00223B98">
              <w:rPr>
                <w:rFonts w:ascii="Arial" w:hAnsi="Arial"/>
                <w:b w:val="0"/>
              </w:rPr>
              <w:t>mode of HIV transmission accounting for 62.5% of new cases in 2016</w:t>
            </w:r>
            <w:r w:rsidR="00D704DD">
              <w:rPr>
                <w:rFonts w:ascii="Arial" w:hAnsi="Arial"/>
                <w:b w:val="0"/>
              </w:rPr>
              <w:t>. Part</w:t>
            </w:r>
            <w:r w:rsidR="00D704DD" w:rsidRPr="00D704DD">
              <w:rPr>
                <w:rFonts w:ascii="Arial" w:hAnsi="Arial"/>
                <w:b w:val="0"/>
              </w:rPr>
              <w:t xml:space="preserve"> of </w:t>
            </w:r>
            <w:r w:rsidR="00D704DD">
              <w:rPr>
                <w:rFonts w:ascii="Arial" w:hAnsi="Arial"/>
                <w:b w:val="0"/>
              </w:rPr>
              <w:t xml:space="preserve">sexual transmissions </w:t>
            </w:r>
            <w:r w:rsidR="00D704DD" w:rsidRPr="00D704DD">
              <w:rPr>
                <w:rFonts w:ascii="Arial" w:hAnsi="Arial"/>
                <w:b w:val="0"/>
              </w:rPr>
              <w:t xml:space="preserve">are suspected to be from risk behaviors that </w:t>
            </w:r>
            <w:r w:rsidR="00D704DD">
              <w:rPr>
                <w:rFonts w:ascii="Arial" w:hAnsi="Arial"/>
                <w:b w:val="0"/>
              </w:rPr>
              <w:t xml:space="preserve">are not disclosed due stigma and </w:t>
            </w:r>
            <w:r w:rsidR="00D704DD" w:rsidRPr="00D704DD">
              <w:rPr>
                <w:rFonts w:ascii="Arial" w:hAnsi="Arial"/>
                <w:b w:val="0"/>
              </w:rPr>
              <w:t>reluctance to share these behaviors.</w:t>
            </w:r>
            <w:r w:rsidR="00D704DD">
              <w:rPr>
                <w:rFonts w:ascii="Arial" w:hAnsi="Arial"/>
                <w:b w:val="0"/>
              </w:rPr>
              <w:t xml:space="preserve"> </w:t>
            </w:r>
            <w:r w:rsidRPr="00223B98">
              <w:rPr>
                <w:rFonts w:ascii="Arial" w:hAnsi="Arial"/>
                <w:b w:val="0"/>
              </w:rPr>
              <w:t>The majority of PLHIV are in age group 25-39 years.</w:t>
            </w:r>
            <w:r w:rsidR="00E959C2">
              <w:rPr>
                <w:rFonts w:ascii="Arial" w:hAnsi="Arial"/>
                <w:b w:val="0"/>
              </w:rPr>
              <w:t xml:space="preserve"> </w:t>
            </w:r>
            <w:r w:rsidRPr="00223B98">
              <w:rPr>
                <w:rFonts w:ascii="Arial" w:hAnsi="Arial"/>
                <w:b w:val="0"/>
              </w:rPr>
              <w:t xml:space="preserve">The </w:t>
            </w:r>
            <w:r w:rsidR="00784C28">
              <w:rPr>
                <w:rFonts w:ascii="Arial" w:hAnsi="Arial"/>
                <w:b w:val="0"/>
              </w:rPr>
              <w:t>last</w:t>
            </w:r>
            <w:r w:rsidRPr="00223B98">
              <w:rPr>
                <w:rFonts w:ascii="Arial" w:hAnsi="Arial"/>
                <w:b w:val="0"/>
              </w:rPr>
              <w:t xml:space="preserve"> size estimations conducted in </w:t>
            </w:r>
            <w:r w:rsidR="003D511D" w:rsidRPr="00513239">
              <w:rPr>
                <w:rFonts w:ascii="Arial" w:hAnsi="Arial"/>
                <w:b w:val="0"/>
              </w:rPr>
              <w:t>2015-</w:t>
            </w:r>
            <w:r w:rsidRPr="00513239">
              <w:rPr>
                <w:rFonts w:ascii="Arial" w:hAnsi="Arial"/>
                <w:b w:val="0"/>
              </w:rPr>
              <w:t>2017</w:t>
            </w:r>
            <w:r w:rsidRPr="00223B98">
              <w:rPr>
                <w:rFonts w:ascii="Arial" w:hAnsi="Arial"/>
                <w:b w:val="0"/>
              </w:rPr>
              <w:t xml:space="preserve"> show</w:t>
            </w:r>
            <w:r w:rsidR="00E959C2">
              <w:rPr>
                <w:rFonts w:ascii="Arial" w:hAnsi="Arial"/>
                <w:b w:val="0"/>
              </w:rPr>
              <w:t>s</w:t>
            </w:r>
            <w:r w:rsidRPr="00223B98">
              <w:rPr>
                <w:rFonts w:ascii="Arial" w:hAnsi="Arial"/>
                <w:b w:val="0"/>
              </w:rPr>
              <w:t xml:space="preserve"> a population of 120,500 PWID, 19,000 SWs and 61,</w:t>
            </w:r>
            <w:r w:rsidRPr="000B341C">
              <w:rPr>
                <w:rFonts w:ascii="Arial" w:hAnsi="Arial"/>
                <w:b w:val="0"/>
              </w:rPr>
              <w:t xml:space="preserve">966 MSM </w:t>
            </w:r>
            <w:r w:rsidR="00E959C2" w:rsidRPr="000B341C">
              <w:rPr>
                <w:rFonts w:ascii="Arial" w:hAnsi="Arial"/>
                <w:b w:val="0"/>
              </w:rPr>
              <w:t xml:space="preserve">(see Table </w:t>
            </w:r>
            <w:r w:rsidR="004F5FEC" w:rsidRPr="000B341C">
              <w:rPr>
                <w:rFonts w:ascii="Arial" w:hAnsi="Arial"/>
                <w:b w:val="0"/>
              </w:rPr>
              <w:t>1</w:t>
            </w:r>
            <w:r w:rsidR="00E959C2" w:rsidRPr="000B341C">
              <w:rPr>
                <w:rFonts w:ascii="Arial" w:hAnsi="Arial"/>
                <w:b w:val="0"/>
              </w:rPr>
              <w:t>)</w:t>
            </w:r>
            <w:r w:rsidRPr="000B341C">
              <w:rPr>
                <w:rFonts w:ascii="Arial" w:hAnsi="Arial"/>
                <w:b w:val="0"/>
              </w:rPr>
              <w:t>.</w:t>
            </w:r>
            <w:r w:rsidR="00E10EAA" w:rsidRPr="000B341C">
              <w:rPr>
                <w:rFonts w:ascii="Arial" w:hAnsi="Arial"/>
                <w:b w:val="0"/>
              </w:rPr>
              <w:t xml:space="preserve"> </w:t>
            </w:r>
          </w:p>
          <w:p w14:paraId="64286474" w14:textId="1FFC41A2" w:rsidR="00645ECF" w:rsidRPr="00E959C2" w:rsidRDefault="00645ECF" w:rsidP="00E959C2">
            <w:pPr>
              <w:spacing w:before="120" w:after="120" w:line="240" w:lineRule="auto"/>
              <w:jc w:val="both"/>
              <w:rPr>
                <w:rFonts w:ascii="Arial" w:hAnsi="Arial"/>
                <w:b w:val="0"/>
                <w:i/>
              </w:rPr>
            </w:pPr>
            <w:r w:rsidRPr="000B341C">
              <w:rPr>
                <w:rFonts w:ascii="Arial" w:hAnsi="Arial"/>
                <w:b w:val="0"/>
                <w:i/>
              </w:rPr>
              <w:t xml:space="preserve">Table </w:t>
            </w:r>
            <w:r w:rsidR="004F5FEC" w:rsidRPr="000B341C">
              <w:rPr>
                <w:rFonts w:ascii="Arial" w:hAnsi="Arial"/>
                <w:b w:val="0"/>
                <w:i/>
              </w:rPr>
              <w:t>1</w:t>
            </w:r>
            <w:r w:rsidRPr="000B341C">
              <w:rPr>
                <w:rFonts w:ascii="Arial" w:hAnsi="Arial"/>
                <w:b w:val="0"/>
                <w:i/>
              </w:rPr>
              <w:t>: Size estimation of key populations, 2015/2017 Republic of Kazakhstan</w:t>
            </w:r>
            <w:r w:rsidR="000B341C">
              <w:rPr>
                <w:rStyle w:val="FootnoteReference"/>
                <w:rFonts w:ascii="Arial" w:hAnsi="Arial"/>
                <w:b w:val="0"/>
                <w:i/>
              </w:rPr>
              <w:footnoteReference w:id="4"/>
            </w:r>
          </w:p>
          <w:tbl>
            <w:tblPr>
              <w:tblStyle w:val="TableGrid"/>
              <w:tblW w:w="9355" w:type="dxa"/>
              <w:tblLayout w:type="fixed"/>
              <w:tblLook w:val="04A0" w:firstRow="1" w:lastRow="0" w:firstColumn="1" w:lastColumn="0" w:noHBand="0" w:noVBand="1"/>
            </w:tblPr>
            <w:tblGrid>
              <w:gridCol w:w="2695"/>
              <w:gridCol w:w="2160"/>
              <w:gridCol w:w="2250"/>
              <w:gridCol w:w="2250"/>
            </w:tblGrid>
            <w:tr w:rsidR="00645ECF" w:rsidRPr="00223B98" w14:paraId="0ED8D5C2" w14:textId="77777777" w:rsidTr="00FF5A82">
              <w:tc>
                <w:tcPr>
                  <w:tcW w:w="2695" w:type="dxa"/>
                </w:tcPr>
                <w:p w14:paraId="7CA2B0F2" w14:textId="77777777" w:rsidR="00645ECF" w:rsidRPr="00223B98" w:rsidRDefault="00645ECF" w:rsidP="00EC68D5">
                  <w:pPr>
                    <w:spacing w:after="0" w:line="240" w:lineRule="auto"/>
                    <w:jc w:val="both"/>
                    <w:rPr>
                      <w:rFonts w:ascii="Arial" w:eastAsia="Times New Roman" w:hAnsi="Arial"/>
                      <w:b w:val="0"/>
                      <w:bCs/>
                      <w:sz w:val="22"/>
                      <w:szCs w:val="22"/>
                    </w:rPr>
                  </w:pPr>
                </w:p>
              </w:tc>
              <w:tc>
                <w:tcPr>
                  <w:tcW w:w="2160" w:type="dxa"/>
                </w:tcPr>
                <w:p w14:paraId="086B28F5" w14:textId="0ADD705F" w:rsidR="00645ECF" w:rsidRPr="00223B98" w:rsidRDefault="00645ECF" w:rsidP="00784C28">
                  <w:pPr>
                    <w:spacing w:after="0" w:line="240" w:lineRule="auto"/>
                    <w:jc w:val="center"/>
                    <w:rPr>
                      <w:rFonts w:ascii="Arial" w:eastAsia="Times New Roman" w:hAnsi="Arial"/>
                      <w:b w:val="0"/>
                      <w:bCs/>
                      <w:sz w:val="22"/>
                      <w:szCs w:val="22"/>
                    </w:rPr>
                  </w:pPr>
                  <w:r w:rsidRPr="00223B98">
                    <w:rPr>
                      <w:rFonts w:ascii="Arial" w:eastAsia="Times New Roman" w:hAnsi="Arial"/>
                      <w:b w:val="0"/>
                      <w:bCs/>
                      <w:sz w:val="22"/>
                      <w:szCs w:val="22"/>
                    </w:rPr>
                    <w:t>PWID</w:t>
                  </w:r>
                  <w:r w:rsidR="003D511D">
                    <w:rPr>
                      <w:rFonts w:ascii="Arial" w:eastAsia="Times New Roman" w:hAnsi="Arial"/>
                      <w:b w:val="0"/>
                      <w:bCs/>
                      <w:sz w:val="22"/>
                      <w:szCs w:val="22"/>
                    </w:rPr>
                    <w:t>/2016</w:t>
                  </w:r>
                </w:p>
              </w:tc>
              <w:tc>
                <w:tcPr>
                  <w:tcW w:w="2250" w:type="dxa"/>
                </w:tcPr>
                <w:p w14:paraId="120EE7FE" w14:textId="68488369" w:rsidR="00645ECF" w:rsidRPr="00223B98" w:rsidRDefault="00645ECF" w:rsidP="00784C28">
                  <w:pPr>
                    <w:spacing w:after="0" w:line="240" w:lineRule="auto"/>
                    <w:jc w:val="center"/>
                    <w:rPr>
                      <w:rFonts w:ascii="Arial" w:eastAsia="Times New Roman" w:hAnsi="Arial"/>
                      <w:b w:val="0"/>
                      <w:bCs/>
                      <w:sz w:val="22"/>
                      <w:szCs w:val="22"/>
                    </w:rPr>
                  </w:pPr>
                  <w:r w:rsidRPr="00223B98">
                    <w:rPr>
                      <w:rFonts w:ascii="Arial" w:eastAsia="Times New Roman" w:hAnsi="Arial"/>
                      <w:b w:val="0"/>
                      <w:bCs/>
                      <w:sz w:val="22"/>
                      <w:szCs w:val="22"/>
                    </w:rPr>
                    <w:t>SW</w:t>
                  </w:r>
                  <w:r w:rsidR="003D511D">
                    <w:rPr>
                      <w:rFonts w:ascii="Arial" w:eastAsia="Times New Roman" w:hAnsi="Arial"/>
                      <w:b w:val="0"/>
                      <w:bCs/>
                      <w:sz w:val="22"/>
                      <w:szCs w:val="22"/>
                    </w:rPr>
                    <w:t>/2015</w:t>
                  </w:r>
                </w:p>
              </w:tc>
              <w:tc>
                <w:tcPr>
                  <w:tcW w:w="2250" w:type="dxa"/>
                </w:tcPr>
                <w:p w14:paraId="60E6BC76" w14:textId="5A563026" w:rsidR="00645ECF" w:rsidRPr="00223B98" w:rsidRDefault="00645ECF" w:rsidP="00784C28">
                  <w:pPr>
                    <w:spacing w:after="0" w:line="240" w:lineRule="auto"/>
                    <w:jc w:val="center"/>
                    <w:rPr>
                      <w:rFonts w:ascii="Arial" w:eastAsia="Times New Roman" w:hAnsi="Arial"/>
                      <w:b w:val="0"/>
                      <w:bCs/>
                      <w:sz w:val="22"/>
                      <w:szCs w:val="22"/>
                    </w:rPr>
                  </w:pPr>
                  <w:r w:rsidRPr="00223B98">
                    <w:rPr>
                      <w:rFonts w:ascii="Arial" w:eastAsia="Times New Roman" w:hAnsi="Arial"/>
                      <w:b w:val="0"/>
                      <w:bCs/>
                      <w:sz w:val="22"/>
                      <w:szCs w:val="22"/>
                    </w:rPr>
                    <w:t>MSM</w:t>
                  </w:r>
                  <w:r w:rsidR="003D511D">
                    <w:rPr>
                      <w:rFonts w:ascii="Arial" w:eastAsia="Times New Roman" w:hAnsi="Arial"/>
                      <w:b w:val="0"/>
                      <w:bCs/>
                      <w:sz w:val="22"/>
                      <w:szCs w:val="22"/>
                    </w:rPr>
                    <w:t>/2017</w:t>
                  </w:r>
                </w:p>
              </w:tc>
            </w:tr>
            <w:tr w:rsidR="00645ECF" w:rsidRPr="00223B98" w14:paraId="55EB7543" w14:textId="77777777" w:rsidTr="00FF5A82">
              <w:tc>
                <w:tcPr>
                  <w:tcW w:w="2695" w:type="dxa"/>
                </w:tcPr>
                <w:p w14:paraId="2F8D339E" w14:textId="77777777" w:rsidR="00645ECF" w:rsidRPr="00223B98" w:rsidRDefault="00645ECF" w:rsidP="00EC68D5">
                  <w:pPr>
                    <w:spacing w:after="0" w:line="240" w:lineRule="auto"/>
                    <w:jc w:val="both"/>
                    <w:rPr>
                      <w:rFonts w:ascii="Arial" w:eastAsia="Times New Roman" w:hAnsi="Arial"/>
                      <w:b w:val="0"/>
                      <w:bCs/>
                      <w:sz w:val="22"/>
                      <w:szCs w:val="22"/>
                    </w:rPr>
                  </w:pPr>
                  <w:r w:rsidRPr="00223B98">
                    <w:rPr>
                      <w:rFonts w:ascii="Arial" w:eastAsia="Times New Roman" w:hAnsi="Arial"/>
                      <w:b w:val="0"/>
                      <w:bCs/>
                      <w:sz w:val="22"/>
                      <w:szCs w:val="22"/>
                    </w:rPr>
                    <w:t xml:space="preserve">Republic of Kazakhstan </w:t>
                  </w:r>
                </w:p>
              </w:tc>
              <w:tc>
                <w:tcPr>
                  <w:tcW w:w="2160" w:type="dxa"/>
                </w:tcPr>
                <w:p w14:paraId="5701FA75" w14:textId="77777777" w:rsidR="00645ECF" w:rsidRPr="00223B98" w:rsidRDefault="00645ECF" w:rsidP="00784C28">
                  <w:pPr>
                    <w:spacing w:after="0" w:line="240" w:lineRule="auto"/>
                    <w:jc w:val="center"/>
                    <w:rPr>
                      <w:rFonts w:ascii="Arial" w:eastAsia="Times New Roman" w:hAnsi="Arial"/>
                      <w:b w:val="0"/>
                      <w:bCs/>
                      <w:sz w:val="22"/>
                      <w:szCs w:val="22"/>
                    </w:rPr>
                  </w:pPr>
                  <w:r w:rsidRPr="00223B98">
                    <w:rPr>
                      <w:rFonts w:ascii="Arial" w:eastAsia="Times New Roman" w:hAnsi="Arial"/>
                      <w:b w:val="0"/>
                      <w:bCs/>
                      <w:sz w:val="22"/>
                      <w:szCs w:val="22"/>
                    </w:rPr>
                    <w:t>120,500</w:t>
                  </w:r>
                </w:p>
              </w:tc>
              <w:tc>
                <w:tcPr>
                  <w:tcW w:w="2250" w:type="dxa"/>
                </w:tcPr>
                <w:p w14:paraId="01F22DFA" w14:textId="77777777" w:rsidR="00645ECF" w:rsidRPr="00223B98" w:rsidRDefault="00645ECF" w:rsidP="00784C28">
                  <w:pPr>
                    <w:spacing w:after="0" w:line="240" w:lineRule="auto"/>
                    <w:jc w:val="center"/>
                    <w:rPr>
                      <w:rFonts w:ascii="Arial" w:eastAsia="Times New Roman" w:hAnsi="Arial"/>
                      <w:b w:val="0"/>
                      <w:bCs/>
                      <w:sz w:val="22"/>
                      <w:szCs w:val="22"/>
                    </w:rPr>
                  </w:pPr>
                  <w:r w:rsidRPr="00223B98">
                    <w:rPr>
                      <w:rFonts w:ascii="Arial" w:eastAsia="Times New Roman" w:hAnsi="Arial"/>
                      <w:b w:val="0"/>
                      <w:bCs/>
                      <w:sz w:val="22"/>
                      <w:szCs w:val="22"/>
                    </w:rPr>
                    <w:t>19,100</w:t>
                  </w:r>
                </w:p>
              </w:tc>
              <w:tc>
                <w:tcPr>
                  <w:tcW w:w="2250" w:type="dxa"/>
                </w:tcPr>
                <w:p w14:paraId="42DA90A2" w14:textId="77777777" w:rsidR="00645ECF" w:rsidRPr="00223B98" w:rsidRDefault="00645ECF" w:rsidP="00784C28">
                  <w:pPr>
                    <w:spacing w:after="0" w:line="240" w:lineRule="auto"/>
                    <w:jc w:val="center"/>
                    <w:rPr>
                      <w:rFonts w:ascii="Arial" w:eastAsia="Times New Roman" w:hAnsi="Arial"/>
                      <w:b w:val="0"/>
                      <w:bCs/>
                      <w:sz w:val="22"/>
                      <w:szCs w:val="22"/>
                    </w:rPr>
                  </w:pPr>
                  <w:r w:rsidRPr="00223B98">
                    <w:rPr>
                      <w:rFonts w:ascii="Arial" w:eastAsia="Times New Roman" w:hAnsi="Arial"/>
                      <w:b w:val="0"/>
                      <w:bCs/>
                      <w:sz w:val="22"/>
                      <w:szCs w:val="22"/>
                    </w:rPr>
                    <w:t>61,966</w:t>
                  </w:r>
                </w:p>
              </w:tc>
            </w:tr>
            <w:tr w:rsidR="00645ECF" w:rsidRPr="00223B98" w14:paraId="0BA37C72" w14:textId="77777777" w:rsidTr="00FF5A82">
              <w:tc>
                <w:tcPr>
                  <w:tcW w:w="2695" w:type="dxa"/>
                </w:tcPr>
                <w:p w14:paraId="44FE7716" w14:textId="77777777" w:rsidR="00645ECF" w:rsidRPr="000B341C" w:rsidRDefault="00645ECF" w:rsidP="00EC68D5">
                  <w:pPr>
                    <w:spacing w:after="0" w:line="240" w:lineRule="auto"/>
                    <w:jc w:val="both"/>
                    <w:rPr>
                      <w:rFonts w:ascii="Arial" w:eastAsia="Times New Roman" w:hAnsi="Arial"/>
                      <w:b w:val="0"/>
                      <w:bCs/>
                      <w:i/>
                      <w:sz w:val="22"/>
                      <w:szCs w:val="22"/>
                    </w:rPr>
                  </w:pPr>
                  <w:r w:rsidRPr="000B341C">
                    <w:rPr>
                      <w:rFonts w:ascii="Arial" w:eastAsia="Times New Roman" w:hAnsi="Arial"/>
                      <w:b w:val="0"/>
                      <w:bCs/>
                      <w:i/>
                    </w:rPr>
                    <w:t>Karaganda oblast</w:t>
                  </w:r>
                </w:p>
              </w:tc>
              <w:tc>
                <w:tcPr>
                  <w:tcW w:w="2160" w:type="dxa"/>
                </w:tcPr>
                <w:p w14:paraId="712B6879" w14:textId="77777777" w:rsidR="00645ECF" w:rsidRPr="000B341C" w:rsidRDefault="00645ECF" w:rsidP="00784C28">
                  <w:pPr>
                    <w:spacing w:after="0" w:line="240" w:lineRule="auto"/>
                    <w:jc w:val="center"/>
                    <w:rPr>
                      <w:rFonts w:ascii="Arial" w:eastAsia="Times New Roman" w:hAnsi="Arial"/>
                      <w:b w:val="0"/>
                      <w:bCs/>
                      <w:i/>
                      <w:sz w:val="22"/>
                      <w:szCs w:val="22"/>
                    </w:rPr>
                  </w:pPr>
                  <w:r w:rsidRPr="000B341C">
                    <w:rPr>
                      <w:rFonts w:ascii="Arial" w:eastAsia="Times New Roman" w:hAnsi="Arial"/>
                      <w:b w:val="0"/>
                      <w:bCs/>
                      <w:i/>
                    </w:rPr>
                    <w:t>15,100</w:t>
                  </w:r>
                </w:p>
              </w:tc>
              <w:tc>
                <w:tcPr>
                  <w:tcW w:w="2250" w:type="dxa"/>
                </w:tcPr>
                <w:p w14:paraId="2953CFDC" w14:textId="77777777" w:rsidR="00645ECF" w:rsidRPr="000B341C" w:rsidRDefault="00645ECF" w:rsidP="00784C28">
                  <w:pPr>
                    <w:spacing w:after="0" w:line="240" w:lineRule="auto"/>
                    <w:jc w:val="center"/>
                    <w:rPr>
                      <w:rFonts w:ascii="Arial" w:eastAsia="Times New Roman" w:hAnsi="Arial"/>
                      <w:b w:val="0"/>
                      <w:bCs/>
                      <w:i/>
                      <w:sz w:val="22"/>
                      <w:szCs w:val="22"/>
                    </w:rPr>
                  </w:pPr>
                  <w:r w:rsidRPr="000B341C">
                    <w:rPr>
                      <w:rFonts w:ascii="Arial" w:eastAsia="Times New Roman" w:hAnsi="Arial"/>
                      <w:b w:val="0"/>
                      <w:bCs/>
                      <w:i/>
                    </w:rPr>
                    <w:t>1,100</w:t>
                  </w:r>
                </w:p>
              </w:tc>
              <w:tc>
                <w:tcPr>
                  <w:tcW w:w="2250" w:type="dxa"/>
                </w:tcPr>
                <w:p w14:paraId="0F5A05F7" w14:textId="77777777" w:rsidR="00645ECF" w:rsidRPr="000B341C" w:rsidRDefault="00645ECF" w:rsidP="00784C28">
                  <w:pPr>
                    <w:spacing w:after="0" w:line="240" w:lineRule="auto"/>
                    <w:jc w:val="center"/>
                    <w:rPr>
                      <w:rFonts w:ascii="Arial" w:eastAsia="Times New Roman" w:hAnsi="Arial"/>
                      <w:b w:val="0"/>
                      <w:bCs/>
                      <w:i/>
                      <w:sz w:val="22"/>
                      <w:szCs w:val="22"/>
                    </w:rPr>
                  </w:pPr>
                  <w:r w:rsidRPr="000B341C">
                    <w:rPr>
                      <w:rFonts w:ascii="Arial" w:eastAsia="Times New Roman" w:hAnsi="Arial"/>
                      <w:b w:val="0"/>
                      <w:bCs/>
                      <w:i/>
                    </w:rPr>
                    <w:t>4,860</w:t>
                  </w:r>
                </w:p>
              </w:tc>
            </w:tr>
            <w:tr w:rsidR="00645ECF" w:rsidRPr="00223B98" w14:paraId="5E16F1C2" w14:textId="77777777" w:rsidTr="00FF5A82">
              <w:tc>
                <w:tcPr>
                  <w:tcW w:w="2695" w:type="dxa"/>
                </w:tcPr>
                <w:p w14:paraId="19E9DF3C" w14:textId="77777777" w:rsidR="00645ECF" w:rsidRPr="000B341C" w:rsidRDefault="00645ECF" w:rsidP="00EC68D5">
                  <w:pPr>
                    <w:spacing w:after="0" w:line="240" w:lineRule="auto"/>
                    <w:jc w:val="both"/>
                    <w:rPr>
                      <w:rFonts w:ascii="Arial" w:eastAsia="Times New Roman" w:hAnsi="Arial"/>
                      <w:b w:val="0"/>
                      <w:bCs/>
                      <w:i/>
                      <w:sz w:val="22"/>
                      <w:szCs w:val="22"/>
                    </w:rPr>
                  </w:pPr>
                  <w:r w:rsidRPr="000B341C">
                    <w:rPr>
                      <w:rFonts w:ascii="Arial" w:eastAsia="Times New Roman" w:hAnsi="Arial"/>
                      <w:b w:val="0"/>
                      <w:bCs/>
                      <w:i/>
                    </w:rPr>
                    <w:t>Almaty city</w:t>
                  </w:r>
                </w:p>
              </w:tc>
              <w:tc>
                <w:tcPr>
                  <w:tcW w:w="2160" w:type="dxa"/>
                </w:tcPr>
                <w:p w14:paraId="3C25AEA7" w14:textId="77777777" w:rsidR="00645ECF" w:rsidRPr="000B341C" w:rsidRDefault="00645ECF" w:rsidP="00784C28">
                  <w:pPr>
                    <w:spacing w:after="0" w:line="240" w:lineRule="auto"/>
                    <w:jc w:val="center"/>
                    <w:rPr>
                      <w:rFonts w:ascii="Arial" w:eastAsia="Times New Roman" w:hAnsi="Arial"/>
                      <w:b w:val="0"/>
                      <w:bCs/>
                      <w:i/>
                      <w:sz w:val="22"/>
                      <w:szCs w:val="22"/>
                    </w:rPr>
                  </w:pPr>
                  <w:r w:rsidRPr="000B341C">
                    <w:rPr>
                      <w:rFonts w:ascii="Arial" w:eastAsia="Times New Roman" w:hAnsi="Arial"/>
                      <w:b w:val="0"/>
                      <w:bCs/>
                      <w:i/>
                    </w:rPr>
                    <w:t>9,200</w:t>
                  </w:r>
                </w:p>
              </w:tc>
              <w:tc>
                <w:tcPr>
                  <w:tcW w:w="2250" w:type="dxa"/>
                </w:tcPr>
                <w:p w14:paraId="0CAA1CCE" w14:textId="77777777" w:rsidR="00645ECF" w:rsidRPr="000B341C" w:rsidRDefault="00645ECF" w:rsidP="00784C28">
                  <w:pPr>
                    <w:spacing w:after="0" w:line="240" w:lineRule="auto"/>
                    <w:jc w:val="center"/>
                    <w:rPr>
                      <w:rFonts w:ascii="Arial" w:eastAsia="Times New Roman" w:hAnsi="Arial"/>
                      <w:b w:val="0"/>
                      <w:bCs/>
                      <w:i/>
                      <w:sz w:val="22"/>
                      <w:szCs w:val="22"/>
                    </w:rPr>
                  </w:pPr>
                  <w:r w:rsidRPr="000B341C">
                    <w:rPr>
                      <w:rFonts w:ascii="Arial" w:eastAsia="Times New Roman" w:hAnsi="Arial"/>
                      <w:b w:val="0"/>
                      <w:bCs/>
                      <w:i/>
                    </w:rPr>
                    <w:t>6,200</w:t>
                  </w:r>
                </w:p>
              </w:tc>
              <w:tc>
                <w:tcPr>
                  <w:tcW w:w="2250" w:type="dxa"/>
                </w:tcPr>
                <w:p w14:paraId="751FC008" w14:textId="77777777" w:rsidR="00645ECF" w:rsidRPr="000B341C" w:rsidRDefault="00645ECF" w:rsidP="00784C28">
                  <w:pPr>
                    <w:spacing w:after="0" w:line="240" w:lineRule="auto"/>
                    <w:jc w:val="center"/>
                    <w:rPr>
                      <w:rFonts w:ascii="Arial" w:eastAsia="Times New Roman" w:hAnsi="Arial"/>
                      <w:b w:val="0"/>
                      <w:bCs/>
                      <w:i/>
                      <w:sz w:val="22"/>
                      <w:szCs w:val="22"/>
                    </w:rPr>
                  </w:pPr>
                  <w:r w:rsidRPr="000B341C">
                    <w:rPr>
                      <w:rFonts w:ascii="Arial" w:eastAsia="Times New Roman" w:hAnsi="Arial"/>
                      <w:b w:val="0"/>
                      <w:bCs/>
                      <w:i/>
                    </w:rPr>
                    <w:t>6,007</w:t>
                  </w:r>
                </w:p>
              </w:tc>
            </w:tr>
            <w:tr w:rsidR="00645ECF" w:rsidRPr="00223B98" w14:paraId="1B9BB922" w14:textId="77777777" w:rsidTr="00FF5A82">
              <w:tc>
                <w:tcPr>
                  <w:tcW w:w="2695" w:type="dxa"/>
                </w:tcPr>
                <w:p w14:paraId="31458D3F" w14:textId="77777777" w:rsidR="00645ECF" w:rsidRPr="000B341C" w:rsidRDefault="00645ECF" w:rsidP="00EC68D5">
                  <w:pPr>
                    <w:spacing w:after="0" w:line="240" w:lineRule="auto"/>
                    <w:jc w:val="both"/>
                    <w:rPr>
                      <w:rFonts w:ascii="Arial" w:eastAsia="Times New Roman" w:hAnsi="Arial"/>
                      <w:b w:val="0"/>
                      <w:bCs/>
                      <w:i/>
                      <w:sz w:val="22"/>
                      <w:szCs w:val="22"/>
                    </w:rPr>
                  </w:pPr>
                  <w:r w:rsidRPr="000B341C">
                    <w:rPr>
                      <w:rFonts w:ascii="Arial" w:eastAsia="Times New Roman" w:hAnsi="Arial"/>
                      <w:b w:val="0"/>
                      <w:bCs/>
                      <w:i/>
                    </w:rPr>
                    <w:t>Astana city</w:t>
                  </w:r>
                </w:p>
              </w:tc>
              <w:tc>
                <w:tcPr>
                  <w:tcW w:w="2160" w:type="dxa"/>
                </w:tcPr>
                <w:p w14:paraId="544887B2" w14:textId="77777777" w:rsidR="00645ECF" w:rsidRPr="000B341C" w:rsidRDefault="00645ECF" w:rsidP="00784C28">
                  <w:pPr>
                    <w:spacing w:after="0" w:line="240" w:lineRule="auto"/>
                    <w:jc w:val="center"/>
                    <w:rPr>
                      <w:rFonts w:ascii="Arial" w:eastAsia="Times New Roman" w:hAnsi="Arial"/>
                      <w:b w:val="0"/>
                      <w:bCs/>
                      <w:i/>
                      <w:sz w:val="22"/>
                      <w:szCs w:val="22"/>
                    </w:rPr>
                  </w:pPr>
                  <w:r w:rsidRPr="000B341C">
                    <w:rPr>
                      <w:rFonts w:ascii="Arial" w:eastAsia="Times New Roman" w:hAnsi="Arial"/>
                      <w:b w:val="0"/>
                      <w:bCs/>
                      <w:i/>
                    </w:rPr>
                    <w:t>5,000</w:t>
                  </w:r>
                </w:p>
              </w:tc>
              <w:tc>
                <w:tcPr>
                  <w:tcW w:w="2250" w:type="dxa"/>
                </w:tcPr>
                <w:p w14:paraId="7D8AA162" w14:textId="77777777" w:rsidR="00645ECF" w:rsidRPr="000B341C" w:rsidRDefault="00645ECF" w:rsidP="00784C28">
                  <w:pPr>
                    <w:spacing w:after="0" w:line="240" w:lineRule="auto"/>
                    <w:jc w:val="center"/>
                    <w:rPr>
                      <w:rFonts w:ascii="Arial" w:eastAsia="Times New Roman" w:hAnsi="Arial"/>
                      <w:b w:val="0"/>
                      <w:bCs/>
                      <w:i/>
                      <w:sz w:val="22"/>
                      <w:szCs w:val="22"/>
                    </w:rPr>
                  </w:pPr>
                  <w:r w:rsidRPr="000B341C">
                    <w:rPr>
                      <w:rFonts w:ascii="Arial" w:eastAsia="Times New Roman" w:hAnsi="Arial"/>
                      <w:b w:val="0"/>
                      <w:bCs/>
                      <w:i/>
                    </w:rPr>
                    <w:t>1,600</w:t>
                  </w:r>
                </w:p>
              </w:tc>
              <w:tc>
                <w:tcPr>
                  <w:tcW w:w="2250" w:type="dxa"/>
                </w:tcPr>
                <w:p w14:paraId="4A5E381E" w14:textId="77777777" w:rsidR="00645ECF" w:rsidRPr="000B341C" w:rsidRDefault="00645ECF" w:rsidP="00784C28">
                  <w:pPr>
                    <w:spacing w:after="0" w:line="240" w:lineRule="auto"/>
                    <w:jc w:val="center"/>
                    <w:rPr>
                      <w:rFonts w:ascii="Arial" w:eastAsia="Times New Roman" w:hAnsi="Arial"/>
                      <w:b w:val="0"/>
                      <w:bCs/>
                      <w:i/>
                      <w:sz w:val="22"/>
                      <w:szCs w:val="22"/>
                    </w:rPr>
                  </w:pPr>
                  <w:r w:rsidRPr="000B341C">
                    <w:rPr>
                      <w:rFonts w:ascii="Arial" w:eastAsia="Times New Roman" w:hAnsi="Arial"/>
                      <w:b w:val="0"/>
                      <w:bCs/>
                      <w:i/>
                    </w:rPr>
                    <w:t>3,354</w:t>
                  </w:r>
                </w:p>
              </w:tc>
            </w:tr>
          </w:tbl>
          <w:p w14:paraId="401A05D9" w14:textId="4E281D8E" w:rsidR="00645ECF" w:rsidRPr="00784C28" w:rsidRDefault="00E959C2" w:rsidP="00E959C2">
            <w:pPr>
              <w:spacing w:before="120" w:after="120" w:line="240" w:lineRule="auto"/>
              <w:jc w:val="both"/>
              <w:rPr>
                <w:rFonts w:ascii="Arial" w:hAnsi="Arial"/>
                <w:b w:val="0"/>
              </w:rPr>
            </w:pPr>
            <w:r>
              <w:rPr>
                <w:rFonts w:ascii="Arial" w:hAnsi="Arial"/>
                <w:b w:val="0"/>
              </w:rPr>
              <w:t xml:space="preserve">According to </w:t>
            </w:r>
            <w:r w:rsidR="005E1846">
              <w:rPr>
                <w:rFonts w:ascii="Arial" w:hAnsi="Arial"/>
                <w:b w:val="0"/>
              </w:rPr>
              <w:t>Behavioral S</w:t>
            </w:r>
            <w:r w:rsidR="00645ECF" w:rsidRPr="00223B98">
              <w:rPr>
                <w:rFonts w:ascii="Arial" w:hAnsi="Arial"/>
                <w:b w:val="0"/>
              </w:rPr>
              <w:t xml:space="preserve">urveillance </w:t>
            </w:r>
            <w:r w:rsidR="005E1846">
              <w:rPr>
                <w:rFonts w:ascii="Arial" w:hAnsi="Arial"/>
                <w:b w:val="0"/>
              </w:rPr>
              <w:t xml:space="preserve">Survey (BSS) </w:t>
            </w:r>
            <w:r w:rsidR="00645ECF" w:rsidRPr="00223B98">
              <w:rPr>
                <w:rFonts w:ascii="Arial" w:hAnsi="Arial"/>
                <w:b w:val="0"/>
              </w:rPr>
              <w:t xml:space="preserve">conducted in 2015/2016, the HIV prevalence among PWID is </w:t>
            </w:r>
            <w:r w:rsidR="00F457D0">
              <w:rPr>
                <w:rFonts w:ascii="Arial" w:hAnsi="Arial"/>
                <w:b w:val="0"/>
              </w:rPr>
              <w:t>8.</w:t>
            </w:r>
            <w:r w:rsidR="002501F8">
              <w:rPr>
                <w:rFonts w:ascii="Arial" w:hAnsi="Arial"/>
                <w:b w:val="0"/>
              </w:rPr>
              <w:t>46</w:t>
            </w:r>
            <w:r>
              <w:rPr>
                <w:rFonts w:ascii="Arial" w:hAnsi="Arial"/>
                <w:b w:val="0"/>
              </w:rPr>
              <w:t>%</w:t>
            </w:r>
            <w:r w:rsidR="00645ECF" w:rsidRPr="00223B98">
              <w:rPr>
                <w:rFonts w:ascii="Arial" w:hAnsi="Arial"/>
                <w:b w:val="0"/>
              </w:rPr>
              <w:t xml:space="preserve"> in Kazakhstan, showing </w:t>
            </w:r>
            <w:r w:rsidR="00CC3CED">
              <w:rPr>
                <w:rFonts w:ascii="Arial" w:hAnsi="Arial"/>
                <w:b w:val="0"/>
              </w:rPr>
              <w:t xml:space="preserve">a slight </w:t>
            </w:r>
            <w:r w:rsidR="00645ECF" w:rsidRPr="00223B98">
              <w:rPr>
                <w:rFonts w:ascii="Arial" w:hAnsi="Arial"/>
                <w:b w:val="0"/>
              </w:rPr>
              <w:t>increas</w:t>
            </w:r>
            <w:r>
              <w:rPr>
                <w:rFonts w:ascii="Arial" w:hAnsi="Arial"/>
                <w:b w:val="0"/>
              </w:rPr>
              <w:t xml:space="preserve">e compared to </w:t>
            </w:r>
            <w:r w:rsidR="00242B9E">
              <w:rPr>
                <w:rFonts w:ascii="Arial" w:hAnsi="Arial"/>
                <w:b w:val="0"/>
              </w:rPr>
              <w:t>BS</w:t>
            </w:r>
            <w:r>
              <w:rPr>
                <w:rFonts w:ascii="Arial" w:hAnsi="Arial"/>
                <w:b w:val="0"/>
              </w:rPr>
              <w:t>S in 2014 (8.4</w:t>
            </w:r>
            <w:r w:rsidR="00645ECF" w:rsidRPr="00223B98">
              <w:rPr>
                <w:rFonts w:ascii="Arial" w:hAnsi="Arial"/>
                <w:b w:val="0"/>
              </w:rPr>
              <w:t>%)</w:t>
            </w:r>
            <w:r w:rsidR="00DB4A9A">
              <w:rPr>
                <w:rStyle w:val="FootnoteReference"/>
                <w:rFonts w:ascii="Arial" w:hAnsi="Arial"/>
                <w:b w:val="0"/>
              </w:rPr>
              <w:footnoteReference w:id="5"/>
            </w:r>
            <w:r w:rsidR="00645ECF" w:rsidRPr="00223B98">
              <w:rPr>
                <w:rFonts w:ascii="Arial" w:hAnsi="Arial"/>
                <w:b w:val="0"/>
              </w:rPr>
              <w:t xml:space="preserve">. </w:t>
            </w:r>
            <w:r w:rsidR="006940C3">
              <w:rPr>
                <w:rFonts w:ascii="Arial" w:hAnsi="Arial"/>
                <w:b w:val="0"/>
              </w:rPr>
              <w:t>T</w:t>
            </w:r>
            <w:r>
              <w:rPr>
                <w:rFonts w:ascii="Arial" w:hAnsi="Arial"/>
                <w:b w:val="0"/>
              </w:rPr>
              <w:t xml:space="preserve">he </w:t>
            </w:r>
            <w:r w:rsidRPr="00784C28">
              <w:rPr>
                <w:rFonts w:ascii="Arial" w:hAnsi="Arial"/>
                <w:b w:val="0"/>
              </w:rPr>
              <w:t>prevalence of HIV in SW presents</w:t>
            </w:r>
            <w:r w:rsidR="00645ECF" w:rsidRPr="00784C28">
              <w:rPr>
                <w:rFonts w:ascii="Arial" w:hAnsi="Arial"/>
                <w:b w:val="0"/>
              </w:rPr>
              <w:t xml:space="preserve"> an insignificant decrease from 1.49</w:t>
            </w:r>
            <w:r w:rsidRPr="00784C28">
              <w:rPr>
                <w:rFonts w:ascii="Arial" w:hAnsi="Arial"/>
                <w:b w:val="0"/>
              </w:rPr>
              <w:t>%</w:t>
            </w:r>
            <w:r w:rsidR="00645ECF" w:rsidRPr="00784C28">
              <w:rPr>
                <w:rFonts w:ascii="Arial" w:hAnsi="Arial"/>
                <w:b w:val="0"/>
              </w:rPr>
              <w:t xml:space="preserve"> in 2013 to 1.27</w:t>
            </w:r>
            <w:r w:rsidRPr="00784C28">
              <w:rPr>
                <w:rFonts w:ascii="Arial" w:hAnsi="Arial"/>
                <w:b w:val="0"/>
              </w:rPr>
              <w:t xml:space="preserve">% in 2015; </w:t>
            </w:r>
            <w:r w:rsidR="00645ECF" w:rsidRPr="00784C28">
              <w:rPr>
                <w:rFonts w:ascii="Arial" w:hAnsi="Arial"/>
                <w:b w:val="0"/>
              </w:rPr>
              <w:t>HIV prevalence in MSM was much higher in 2015 compared to 2013 (3.16</w:t>
            </w:r>
            <w:r w:rsidRPr="00784C28">
              <w:rPr>
                <w:rFonts w:ascii="Arial" w:hAnsi="Arial"/>
                <w:b w:val="0"/>
              </w:rPr>
              <w:t>%</w:t>
            </w:r>
            <w:r w:rsidR="00645ECF" w:rsidRPr="00784C28">
              <w:rPr>
                <w:rFonts w:ascii="Arial" w:hAnsi="Arial"/>
                <w:b w:val="0"/>
              </w:rPr>
              <w:t xml:space="preserve"> versus 1.16</w:t>
            </w:r>
            <w:r w:rsidRPr="00784C28">
              <w:rPr>
                <w:rFonts w:ascii="Arial" w:hAnsi="Arial"/>
                <w:b w:val="0"/>
              </w:rPr>
              <w:t>%</w:t>
            </w:r>
            <w:r w:rsidR="00645ECF" w:rsidRPr="00784C28">
              <w:rPr>
                <w:rFonts w:ascii="Arial" w:hAnsi="Arial"/>
                <w:b w:val="0"/>
              </w:rPr>
              <w:t>) (</w:t>
            </w:r>
            <w:r w:rsidR="00DB4A9A" w:rsidRPr="00784C28">
              <w:rPr>
                <w:rFonts w:ascii="Arial" w:hAnsi="Arial"/>
                <w:b w:val="0"/>
              </w:rPr>
              <w:t xml:space="preserve">see </w:t>
            </w:r>
            <w:r w:rsidR="00645ECF" w:rsidRPr="00784C28">
              <w:rPr>
                <w:rFonts w:ascii="Arial" w:hAnsi="Arial"/>
                <w:b w:val="0"/>
              </w:rPr>
              <w:t xml:space="preserve">Table </w:t>
            </w:r>
            <w:r w:rsidR="00F457D0" w:rsidRPr="00784C28">
              <w:rPr>
                <w:rFonts w:ascii="Arial" w:hAnsi="Arial"/>
                <w:b w:val="0"/>
              </w:rPr>
              <w:t>2</w:t>
            </w:r>
            <w:r w:rsidR="00645ECF" w:rsidRPr="00784C28">
              <w:rPr>
                <w:rFonts w:ascii="Arial" w:hAnsi="Arial"/>
                <w:b w:val="0"/>
              </w:rPr>
              <w:t>).</w:t>
            </w:r>
          </w:p>
          <w:p w14:paraId="415F2E06" w14:textId="3B9900D9" w:rsidR="00645ECF" w:rsidRPr="00E959C2" w:rsidRDefault="00645ECF" w:rsidP="00E959C2">
            <w:pPr>
              <w:spacing w:before="120" w:after="120" w:line="240" w:lineRule="auto"/>
              <w:jc w:val="both"/>
              <w:rPr>
                <w:rFonts w:ascii="Arial" w:hAnsi="Arial"/>
                <w:b w:val="0"/>
                <w:i/>
              </w:rPr>
            </w:pPr>
            <w:r w:rsidRPr="00784C28">
              <w:rPr>
                <w:rFonts w:ascii="Arial" w:hAnsi="Arial"/>
                <w:b w:val="0"/>
              </w:rPr>
              <w:t xml:space="preserve"> </w:t>
            </w:r>
            <w:r w:rsidRPr="00784C28">
              <w:rPr>
                <w:rFonts w:ascii="Arial" w:hAnsi="Arial"/>
                <w:b w:val="0"/>
                <w:i/>
              </w:rPr>
              <w:t xml:space="preserve">Table </w:t>
            </w:r>
            <w:r w:rsidR="00F457D0" w:rsidRPr="00784C28">
              <w:rPr>
                <w:rFonts w:ascii="Arial" w:hAnsi="Arial"/>
                <w:b w:val="0"/>
                <w:i/>
              </w:rPr>
              <w:t>2</w:t>
            </w:r>
            <w:r w:rsidRPr="00784C28">
              <w:rPr>
                <w:rFonts w:ascii="Arial" w:hAnsi="Arial"/>
                <w:b w:val="0"/>
                <w:i/>
              </w:rPr>
              <w:t>: HIV prevalence among key populations</w:t>
            </w:r>
            <w:r w:rsidR="00E959C2" w:rsidRPr="00784C28">
              <w:rPr>
                <w:rFonts w:ascii="Arial" w:hAnsi="Arial"/>
                <w:b w:val="0"/>
                <w:i/>
              </w:rPr>
              <w:t xml:space="preserve">, </w:t>
            </w:r>
            <w:r w:rsidR="00D06F94">
              <w:rPr>
                <w:rFonts w:ascii="Arial" w:hAnsi="Arial"/>
                <w:b w:val="0"/>
                <w:i/>
              </w:rPr>
              <w:t>BS</w:t>
            </w:r>
            <w:r w:rsidR="00E959C2" w:rsidRPr="00784C28">
              <w:rPr>
                <w:rFonts w:ascii="Arial" w:hAnsi="Arial"/>
                <w:b w:val="0"/>
                <w:i/>
              </w:rPr>
              <w:t>S 2013</w:t>
            </w:r>
            <w:r w:rsidR="00E959C2" w:rsidRPr="00E959C2">
              <w:rPr>
                <w:rFonts w:ascii="Arial" w:hAnsi="Arial"/>
                <w:b w:val="0"/>
                <w:i/>
              </w:rPr>
              <w:t>/2014 and 2015/2016</w:t>
            </w:r>
          </w:p>
          <w:tbl>
            <w:tblPr>
              <w:tblW w:w="9262"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02"/>
              <w:gridCol w:w="1080"/>
              <w:gridCol w:w="1170"/>
              <w:gridCol w:w="1170"/>
              <w:gridCol w:w="1170"/>
              <w:gridCol w:w="1080"/>
              <w:gridCol w:w="990"/>
            </w:tblGrid>
            <w:tr w:rsidR="00645ECF" w:rsidRPr="00223B98" w14:paraId="11E21131" w14:textId="77777777" w:rsidTr="00FF5A82">
              <w:trPr>
                <w:trHeight w:val="255"/>
              </w:trPr>
              <w:tc>
                <w:tcPr>
                  <w:tcW w:w="2602" w:type="dxa"/>
                  <w:vMerge w:val="restart"/>
                  <w:shd w:val="clear" w:color="auto" w:fill="auto"/>
                  <w:noWrap/>
                  <w:vAlign w:val="bottom"/>
                </w:tcPr>
                <w:p w14:paraId="7B756E00" w14:textId="77777777" w:rsidR="00645ECF" w:rsidRPr="00223B98" w:rsidRDefault="00645ECF" w:rsidP="00EC68D5">
                  <w:pPr>
                    <w:spacing w:after="0" w:line="240" w:lineRule="auto"/>
                    <w:jc w:val="both"/>
                    <w:rPr>
                      <w:rFonts w:ascii="Arial" w:eastAsia="Times New Roman" w:hAnsi="Arial"/>
                      <w:b w:val="0"/>
                    </w:rPr>
                  </w:pPr>
                  <w:r w:rsidRPr="00223B98">
                    <w:rPr>
                      <w:rFonts w:ascii="Arial" w:eastAsia="Times New Roman" w:hAnsi="Arial"/>
                      <w:b w:val="0"/>
                    </w:rPr>
                    <w:t> Site</w:t>
                  </w:r>
                </w:p>
              </w:tc>
              <w:tc>
                <w:tcPr>
                  <w:tcW w:w="2250" w:type="dxa"/>
                  <w:gridSpan w:val="2"/>
                  <w:shd w:val="clear" w:color="auto" w:fill="auto"/>
                  <w:noWrap/>
                  <w:vAlign w:val="bottom"/>
                </w:tcPr>
                <w:p w14:paraId="6309DD53" w14:textId="77777777" w:rsidR="00645ECF" w:rsidRPr="00223B98" w:rsidRDefault="00645ECF" w:rsidP="00784C28">
                  <w:pPr>
                    <w:spacing w:after="0" w:line="240" w:lineRule="auto"/>
                    <w:jc w:val="center"/>
                    <w:rPr>
                      <w:rFonts w:ascii="Arial" w:eastAsia="Times New Roman" w:hAnsi="Arial"/>
                      <w:b w:val="0"/>
                    </w:rPr>
                  </w:pPr>
                  <w:r w:rsidRPr="00223B98">
                    <w:rPr>
                      <w:rFonts w:ascii="Arial" w:eastAsia="Times New Roman" w:hAnsi="Arial"/>
                      <w:b w:val="0"/>
                      <w:bCs/>
                    </w:rPr>
                    <w:t>PWID</w:t>
                  </w:r>
                </w:p>
              </w:tc>
              <w:tc>
                <w:tcPr>
                  <w:tcW w:w="2340" w:type="dxa"/>
                  <w:gridSpan w:val="2"/>
                  <w:shd w:val="clear" w:color="auto" w:fill="auto"/>
                  <w:noWrap/>
                  <w:vAlign w:val="bottom"/>
                </w:tcPr>
                <w:p w14:paraId="0C7CA594" w14:textId="77777777" w:rsidR="00645ECF" w:rsidRPr="00223B98" w:rsidRDefault="00645ECF" w:rsidP="00784C28">
                  <w:pPr>
                    <w:spacing w:after="0" w:line="240" w:lineRule="auto"/>
                    <w:jc w:val="center"/>
                    <w:rPr>
                      <w:rFonts w:ascii="Arial" w:eastAsia="Times New Roman" w:hAnsi="Arial"/>
                      <w:b w:val="0"/>
                    </w:rPr>
                  </w:pPr>
                  <w:r w:rsidRPr="00223B98">
                    <w:rPr>
                      <w:rFonts w:ascii="Arial" w:eastAsia="Times New Roman" w:hAnsi="Arial"/>
                      <w:b w:val="0"/>
                      <w:bCs/>
                    </w:rPr>
                    <w:t>SW</w:t>
                  </w:r>
                </w:p>
              </w:tc>
              <w:tc>
                <w:tcPr>
                  <w:tcW w:w="2070" w:type="dxa"/>
                  <w:gridSpan w:val="2"/>
                  <w:shd w:val="clear" w:color="auto" w:fill="auto"/>
                  <w:noWrap/>
                  <w:vAlign w:val="bottom"/>
                </w:tcPr>
                <w:p w14:paraId="24E8CBE0" w14:textId="77777777" w:rsidR="00645ECF" w:rsidRPr="00223B98" w:rsidRDefault="00645ECF" w:rsidP="00784C28">
                  <w:pPr>
                    <w:spacing w:after="0" w:line="240" w:lineRule="auto"/>
                    <w:jc w:val="center"/>
                    <w:rPr>
                      <w:rFonts w:ascii="Arial" w:eastAsia="Times New Roman" w:hAnsi="Arial"/>
                      <w:b w:val="0"/>
                    </w:rPr>
                  </w:pPr>
                  <w:r w:rsidRPr="00223B98">
                    <w:rPr>
                      <w:rFonts w:ascii="Arial" w:eastAsia="Times New Roman" w:hAnsi="Arial"/>
                      <w:b w:val="0"/>
                      <w:bCs/>
                    </w:rPr>
                    <w:t>MSM</w:t>
                  </w:r>
                </w:p>
              </w:tc>
            </w:tr>
            <w:tr w:rsidR="00645ECF" w:rsidRPr="00223B98" w14:paraId="111D38BF" w14:textId="77777777" w:rsidTr="00FF5A82">
              <w:trPr>
                <w:trHeight w:val="255"/>
              </w:trPr>
              <w:tc>
                <w:tcPr>
                  <w:tcW w:w="2602" w:type="dxa"/>
                  <w:vMerge/>
                  <w:shd w:val="clear" w:color="auto" w:fill="auto"/>
                  <w:noWrap/>
                  <w:vAlign w:val="bottom"/>
                </w:tcPr>
                <w:p w14:paraId="28BA3CD9" w14:textId="77777777" w:rsidR="00645ECF" w:rsidRPr="00223B98" w:rsidRDefault="00645ECF" w:rsidP="00EC68D5">
                  <w:pPr>
                    <w:spacing w:after="0" w:line="240" w:lineRule="auto"/>
                    <w:jc w:val="both"/>
                    <w:rPr>
                      <w:rFonts w:ascii="Arial" w:eastAsia="Times New Roman" w:hAnsi="Arial"/>
                      <w:b w:val="0"/>
                    </w:rPr>
                  </w:pPr>
                </w:p>
              </w:tc>
              <w:tc>
                <w:tcPr>
                  <w:tcW w:w="1080" w:type="dxa"/>
                  <w:shd w:val="clear" w:color="auto" w:fill="auto"/>
                  <w:noWrap/>
                  <w:vAlign w:val="bottom"/>
                </w:tcPr>
                <w:p w14:paraId="0BBD2594" w14:textId="77777777" w:rsidR="00645ECF" w:rsidRPr="00223B98" w:rsidRDefault="00645ECF" w:rsidP="00784C28">
                  <w:pPr>
                    <w:spacing w:after="0" w:line="240" w:lineRule="auto"/>
                    <w:jc w:val="center"/>
                    <w:rPr>
                      <w:rFonts w:ascii="Arial" w:eastAsia="Times New Roman" w:hAnsi="Arial"/>
                      <w:b w:val="0"/>
                    </w:rPr>
                  </w:pPr>
                  <w:r w:rsidRPr="00223B98">
                    <w:rPr>
                      <w:rFonts w:ascii="Arial" w:eastAsia="Times New Roman" w:hAnsi="Arial"/>
                      <w:b w:val="0"/>
                    </w:rPr>
                    <w:t>2014</w:t>
                  </w:r>
                </w:p>
              </w:tc>
              <w:tc>
                <w:tcPr>
                  <w:tcW w:w="1170" w:type="dxa"/>
                  <w:shd w:val="clear" w:color="auto" w:fill="auto"/>
                  <w:noWrap/>
                  <w:vAlign w:val="bottom"/>
                </w:tcPr>
                <w:p w14:paraId="725762F3" w14:textId="77777777" w:rsidR="00645ECF" w:rsidRPr="00223B98" w:rsidRDefault="00645ECF" w:rsidP="00784C28">
                  <w:pPr>
                    <w:spacing w:after="0" w:line="240" w:lineRule="auto"/>
                    <w:jc w:val="center"/>
                    <w:rPr>
                      <w:rFonts w:ascii="Arial" w:eastAsia="Times New Roman" w:hAnsi="Arial"/>
                      <w:b w:val="0"/>
                    </w:rPr>
                  </w:pPr>
                  <w:r w:rsidRPr="00223B98">
                    <w:rPr>
                      <w:rFonts w:ascii="Arial" w:eastAsia="Times New Roman" w:hAnsi="Arial"/>
                      <w:b w:val="0"/>
                    </w:rPr>
                    <w:t>2016</w:t>
                  </w:r>
                </w:p>
              </w:tc>
              <w:tc>
                <w:tcPr>
                  <w:tcW w:w="1170" w:type="dxa"/>
                  <w:shd w:val="clear" w:color="auto" w:fill="auto"/>
                  <w:noWrap/>
                  <w:vAlign w:val="bottom"/>
                </w:tcPr>
                <w:p w14:paraId="1D7BE95C" w14:textId="77777777" w:rsidR="00645ECF" w:rsidRPr="00223B98" w:rsidRDefault="00645ECF" w:rsidP="00784C28">
                  <w:pPr>
                    <w:spacing w:after="0" w:line="240" w:lineRule="auto"/>
                    <w:jc w:val="center"/>
                    <w:rPr>
                      <w:rFonts w:ascii="Arial" w:eastAsia="Times New Roman" w:hAnsi="Arial"/>
                      <w:b w:val="0"/>
                    </w:rPr>
                  </w:pPr>
                  <w:r w:rsidRPr="00223B98">
                    <w:rPr>
                      <w:rFonts w:ascii="Arial" w:eastAsia="Times New Roman" w:hAnsi="Arial"/>
                      <w:b w:val="0"/>
                    </w:rPr>
                    <w:t>2013</w:t>
                  </w:r>
                </w:p>
              </w:tc>
              <w:tc>
                <w:tcPr>
                  <w:tcW w:w="1170" w:type="dxa"/>
                  <w:shd w:val="clear" w:color="auto" w:fill="auto"/>
                  <w:noWrap/>
                  <w:vAlign w:val="bottom"/>
                </w:tcPr>
                <w:p w14:paraId="35B4233F" w14:textId="77777777" w:rsidR="00645ECF" w:rsidRPr="00223B98" w:rsidRDefault="00645ECF" w:rsidP="00784C28">
                  <w:pPr>
                    <w:spacing w:after="0" w:line="240" w:lineRule="auto"/>
                    <w:jc w:val="center"/>
                    <w:rPr>
                      <w:rFonts w:ascii="Arial" w:eastAsia="Times New Roman" w:hAnsi="Arial"/>
                      <w:b w:val="0"/>
                    </w:rPr>
                  </w:pPr>
                  <w:r w:rsidRPr="00223B98">
                    <w:rPr>
                      <w:rFonts w:ascii="Arial" w:eastAsia="Times New Roman" w:hAnsi="Arial"/>
                      <w:b w:val="0"/>
                    </w:rPr>
                    <w:t>2015</w:t>
                  </w:r>
                </w:p>
              </w:tc>
              <w:tc>
                <w:tcPr>
                  <w:tcW w:w="1080" w:type="dxa"/>
                  <w:shd w:val="clear" w:color="auto" w:fill="auto"/>
                  <w:noWrap/>
                  <w:vAlign w:val="bottom"/>
                </w:tcPr>
                <w:p w14:paraId="5AB903E6" w14:textId="77777777" w:rsidR="00645ECF" w:rsidRPr="00223B98" w:rsidRDefault="00645ECF" w:rsidP="00784C28">
                  <w:pPr>
                    <w:spacing w:after="0" w:line="240" w:lineRule="auto"/>
                    <w:jc w:val="center"/>
                    <w:rPr>
                      <w:rFonts w:ascii="Arial" w:eastAsia="Times New Roman" w:hAnsi="Arial"/>
                      <w:b w:val="0"/>
                    </w:rPr>
                  </w:pPr>
                  <w:r w:rsidRPr="00223B98">
                    <w:rPr>
                      <w:rFonts w:ascii="Arial" w:eastAsia="Times New Roman" w:hAnsi="Arial"/>
                      <w:b w:val="0"/>
                    </w:rPr>
                    <w:t>2013</w:t>
                  </w:r>
                </w:p>
              </w:tc>
              <w:tc>
                <w:tcPr>
                  <w:tcW w:w="990" w:type="dxa"/>
                  <w:shd w:val="clear" w:color="auto" w:fill="auto"/>
                  <w:noWrap/>
                  <w:vAlign w:val="bottom"/>
                </w:tcPr>
                <w:p w14:paraId="06D76A7F" w14:textId="77777777" w:rsidR="00645ECF" w:rsidRPr="00223B98" w:rsidRDefault="00645ECF" w:rsidP="00784C28">
                  <w:pPr>
                    <w:spacing w:after="0" w:line="240" w:lineRule="auto"/>
                    <w:jc w:val="center"/>
                    <w:rPr>
                      <w:rFonts w:ascii="Arial" w:eastAsia="Times New Roman" w:hAnsi="Arial"/>
                      <w:b w:val="0"/>
                    </w:rPr>
                  </w:pPr>
                  <w:r w:rsidRPr="00223B98">
                    <w:rPr>
                      <w:rFonts w:ascii="Arial" w:eastAsia="Times New Roman" w:hAnsi="Arial"/>
                      <w:b w:val="0"/>
                    </w:rPr>
                    <w:t>2015</w:t>
                  </w:r>
                </w:p>
              </w:tc>
            </w:tr>
            <w:tr w:rsidR="00645ECF" w:rsidRPr="00223B98" w14:paraId="1C69A362" w14:textId="77777777" w:rsidTr="00FF5A82">
              <w:trPr>
                <w:trHeight w:val="255"/>
              </w:trPr>
              <w:tc>
                <w:tcPr>
                  <w:tcW w:w="2602" w:type="dxa"/>
                  <w:shd w:val="clear" w:color="auto" w:fill="auto"/>
                  <w:noWrap/>
                  <w:vAlign w:val="bottom"/>
                </w:tcPr>
                <w:p w14:paraId="2916AA1D" w14:textId="77777777" w:rsidR="00645ECF" w:rsidRPr="00223B98" w:rsidRDefault="00645ECF" w:rsidP="00EC68D5">
                  <w:pPr>
                    <w:spacing w:after="0" w:line="240" w:lineRule="auto"/>
                    <w:jc w:val="both"/>
                    <w:rPr>
                      <w:rFonts w:ascii="Arial" w:eastAsia="Times New Roman" w:hAnsi="Arial"/>
                      <w:b w:val="0"/>
                    </w:rPr>
                  </w:pPr>
                  <w:r w:rsidRPr="00223B98">
                    <w:rPr>
                      <w:rFonts w:ascii="Arial" w:eastAsia="Times New Roman" w:hAnsi="Arial"/>
                      <w:b w:val="0"/>
                    </w:rPr>
                    <w:t>Republic of Kazakhstan</w:t>
                  </w:r>
                </w:p>
              </w:tc>
              <w:tc>
                <w:tcPr>
                  <w:tcW w:w="1080" w:type="dxa"/>
                  <w:shd w:val="clear" w:color="auto" w:fill="auto"/>
                  <w:noWrap/>
                  <w:vAlign w:val="bottom"/>
                </w:tcPr>
                <w:p w14:paraId="6588F340" w14:textId="77777777" w:rsidR="00645ECF" w:rsidRPr="00E10EAA" w:rsidRDefault="00645ECF" w:rsidP="00784C28">
                  <w:pPr>
                    <w:spacing w:after="0" w:line="240" w:lineRule="auto"/>
                    <w:jc w:val="center"/>
                    <w:rPr>
                      <w:rFonts w:ascii="Arial" w:eastAsia="Times New Roman" w:hAnsi="Arial"/>
                      <w:b w:val="0"/>
                    </w:rPr>
                  </w:pPr>
                  <w:r w:rsidRPr="00E10EAA">
                    <w:rPr>
                      <w:rFonts w:ascii="Arial" w:eastAsia="Times New Roman" w:hAnsi="Arial"/>
                      <w:b w:val="0"/>
                    </w:rPr>
                    <w:t>8.4</w:t>
                  </w:r>
                </w:p>
              </w:tc>
              <w:tc>
                <w:tcPr>
                  <w:tcW w:w="1170" w:type="dxa"/>
                  <w:shd w:val="clear" w:color="auto" w:fill="auto"/>
                  <w:noWrap/>
                  <w:vAlign w:val="bottom"/>
                </w:tcPr>
                <w:p w14:paraId="51E8BA7C" w14:textId="57E97F92" w:rsidR="00645ECF" w:rsidRPr="00E10EAA" w:rsidRDefault="002501F8" w:rsidP="00784C28">
                  <w:pPr>
                    <w:spacing w:after="0" w:line="240" w:lineRule="auto"/>
                    <w:jc w:val="center"/>
                    <w:rPr>
                      <w:rFonts w:ascii="Arial" w:eastAsia="Times New Roman" w:hAnsi="Arial"/>
                      <w:b w:val="0"/>
                    </w:rPr>
                  </w:pPr>
                  <w:r w:rsidRPr="00784C28">
                    <w:rPr>
                      <w:rFonts w:ascii="Arial" w:eastAsia="Times New Roman" w:hAnsi="Arial"/>
                      <w:b w:val="0"/>
                    </w:rPr>
                    <w:t>8.46</w:t>
                  </w:r>
                </w:p>
              </w:tc>
              <w:tc>
                <w:tcPr>
                  <w:tcW w:w="1170" w:type="dxa"/>
                  <w:shd w:val="clear" w:color="auto" w:fill="auto"/>
                  <w:noWrap/>
                  <w:vAlign w:val="bottom"/>
                </w:tcPr>
                <w:p w14:paraId="684717E3" w14:textId="77777777" w:rsidR="00645ECF" w:rsidRPr="00223B98" w:rsidRDefault="00645ECF" w:rsidP="00784C28">
                  <w:pPr>
                    <w:spacing w:after="0" w:line="240" w:lineRule="auto"/>
                    <w:jc w:val="center"/>
                    <w:rPr>
                      <w:rFonts w:ascii="Arial" w:eastAsia="Times New Roman" w:hAnsi="Arial"/>
                      <w:b w:val="0"/>
                    </w:rPr>
                  </w:pPr>
                  <w:r w:rsidRPr="00223B98">
                    <w:rPr>
                      <w:rFonts w:ascii="Arial" w:eastAsia="Times New Roman" w:hAnsi="Arial"/>
                      <w:b w:val="0"/>
                    </w:rPr>
                    <w:t>1.49</w:t>
                  </w:r>
                </w:p>
              </w:tc>
              <w:tc>
                <w:tcPr>
                  <w:tcW w:w="1170" w:type="dxa"/>
                  <w:shd w:val="clear" w:color="auto" w:fill="auto"/>
                  <w:noWrap/>
                  <w:vAlign w:val="bottom"/>
                </w:tcPr>
                <w:p w14:paraId="0A6C4E70" w14:textId="77777777" w:rsidR="00645ECF" w:rsidRPr="00223B98" w:rsidRDefault="00645ECF" w:rsidP="00784C28">
                  <w:pPr>
                    <w:spacing w:after="0" w:line="240" w:lineRule="auto"/>
                    <w:jc w:val="center"/>
                    <w:rPr>
                      <w:rFonts w:ascii="Arial" w:eastAsia="Times New Roman" w:hAnsi="Arial"/>
                      <w:b w:val="0"/>
                    </w:rPr>
                  </w:pPr>
                  <w:r w:rsidRPr="00223B98">
                    <w:rPr>
                      <w:rFonts w:ascii="Arial" w:eastAsia="Times New Roman" w:hAnsi="Arial"/>
                      <w:b w:val="0"/>
                    </w:rPr>
                    <w:t>1.27</w:t>
                  </w:r>
                </w:p>
              </w:tc>
              <w:tc>
                <w:tcPr>
                  <w:tcW w:w="1080" w:type="dxa"/>
                  <w:shd w:val="clear" w:color="auto" w:fill="auto"/>
                  <w:noWrap/>
                  <w:vAlign w:val="bottom"/>
                </w:tcPr>
                <w:p w14:paraId="7809D289" w14:textId="77777777" w:rsidR="00645ECF" w:rsidRPr="00223B98" w:rsidRDefault="00645ECF" w:rsidP="00784C28">
                  <w:pPr>
                    <w:spacing w:after="0" w:line="240" w:lineRule="auto"/>
                    <w:jc w:val="center"/>
                    <w:rPr>
                      <w:rFonts w:ascii="Arial" w:eastAsia="Times New Roman" w:hAnsi="Arial"/>
                      <w:b w:val="0"/>
                    </w:rPr>
                  </w:pPr>
                  <w:r w:rsidRPr="00223B98">
                    <w:rPr>
                      <w:rFonts w:ascii="Arial" w:eastAsia="Times New Roman" w:hAnsi="Arial"/>
                      <w:b w:val="0"/>
                    </w:rPr>
                    <w:t>1.16</w:t>
                  </w:r>
                </w:p>
              </w:tc>
              <w:tc>
                <w:tcPr>
                  <w:tcW w:w="990" w:type="dxa"/>
                  <w:shd w:val="clear" w:color="auto" w:fill="auto"/>
                  <w:noWrap/>
                  <w:vAlign w:val="bottom"/>
                </w:tcPr>
                <w:p w14:paraId="2BDEC649" w14:textId="77777777" w:rsidR="00645ECF" w:rsidRPr="00223B98" w:rsidRDefault="00645ECF" w:rsidP="00784C28">
                  <w:pPr>
                    <w:spacing w:after="0" w:line="240" w:lineRule="auto"/>
                    <w:jc w:val="center"/>
                    <w:rPr>
                      <w:rFonts w:ascii="Arial" w:eastAsia="Times New Roman" w:hAnsi="Arial"/>
                      <w:b w:val="0"/>
                    </w:rPr>
                  </w:pPr>
                  <w:r w:rsidRPr="00223B98">
                    <w:rPr>
                      <w:rFonts w:ascii="Arial" w:eastAsia="Times New Roman" w:hAnsi="Arial"/>
                      <w:b w:val="0"/>
                    </w:rPr>
                    <w:t>3.16</w:t>
                  </w:r>
                </w:p>
              </w:tc>
            </w:tr>
            <w:tr w:rsidR="00645ECF" w:rsidRPr="00223B98" w14:paraId="7302D2AC" w14:textId="77777777" w:rsidTr="00FF5A82">
              <w:trPr>
                <w:trHeight w:val="255"/>
              </w:trPr>
              <w:tc>
                <w:tcPr>
                  <w:tcW w:w="2602" w:type="dxa"/>
                  <w:shd w:val="clear" w:color="auto" w:fill="auto"/>
                  <w:noWrap/>
                  <w:vAlign w:val="bottom"/>
                </w:tcPr>
                <w:p w14:paraId="1BAD974F" w14:textId="77777777" w:rsidR="00645ECF" w:rsidRPr="00784C28" w:rsidRDefault="00645ECF" w:rsidP="00EC68D5">
                  <w:pPr>
                    <w:spacing w:after="0" w:line="240" w:lineRule="auto"/>
                    <w:jc w:val="both"/>
                    <w:rPr>
                      <w:rFonts w:ascii="Arial" w:eastAsia="Times New Roman" w:hAnsi="Arial"/>
                      <w:b w:val="0"/>
                      <w:i/>
                      <w:sz w:val="20"/>
                      <w:szCs w:val="20"/>
                    </w:rPr>
                  </w:pPr>
                  <w:r w:rsidRPr="00784C28">
                    <w:rPr>
                      <w:rFonts w:ascii="Arial" w:eastAsia="Times New Roman" w:hAnsi="Arial"/>
                      <w:b w:val="0"/>
                      <w:bCs/>
                      <w:i/>
                      <w:sz w:val="20"/>
                      <w:szCs w:val="20"/>
                    </w:rPr>
                    <w:t>Karaganda oblast</w:t>
                  </w:r>
                </w:p>
              </w:tc>
              <w:tc>
                <w:tcPr>
                  <w:tcW w:w="1080" w:type="dxa"/>
                  <w:shd w:val="clear" w:color="auto" w:fill="auto"/>
                  <w:noWrap/>
                  <w:vAlign w:val="bottom"/>
                </w:tcPr>
                <w:p w14:paraId="6D9267B8" w14:textId="77777777" w:rsidR="00645ECF" w:rsidRPr="00784C28" w:rsidRDefault="00645ECF"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12.9</w:t>
                  </w:r>
                </w:p>
              </w:tc>
              <w:tc>
                <w:tcPr>
                  <w:tcW w:w="1170" w:type="dxa"/>
                  <w:shd w:val="clear" w:color="auto" w:fill="auto"/>
                  <w:noWrap/>
                  <w:vAlign w:val="bottom"/>
                </w:tcPr>
                <w:p w14:paraId="24A1FCA0" w14:textId="1D3B4924" w:rsidR="00645ECF" w:rsidRPr="00784C28" w:rsidRDefault="00DE2FD5"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8.4</w:t>
                  </w:r>
                </w:p>
              </w:tc>
              <w:tc>
                <w:tcPr>
                  <w:tcW w:w="1170" w:type="dxa"/>
                  <w:shd w:val="clear" w:color="auto" w:fill="auto"/>
                  <w:noWrap/>
                  <w:vAlign w:val="bottom"/>
                </w:tcPr>
                <w:p w14:paraId="7565467C" w14:textId="77777777" w:rsidR="00645ECF" w:rsidRPr="00784C28" w:rsidRDefault="00645ECF"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1.76</w:t>
                  </w:r>
                </w:p>
              </w:tc>
              <w:tc>
                <w:tcPr>
                  <w:tcW w:w="1170" w:type="dxa"/>
                  <w:shd w:val="clear" w:color="auto" w:fill="auto"/>
                  <w:noWrap/>
                  <w:vAlign w:val="bottom"/>
                </w:tcPr>
                <w:p w14:paraId="494E045F" w14:textId="77777777" w:rsidR="00645ECF" w:rsidRPr="00784C28" w:rsidRDefault="00645ECF"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1.75</w:t>
                  </w:r>
                </w:p>
              </w:tc>
              <w:tc>
                <w:tcPr>
                  <w:tcW w:w="1080" w:type="dxa"/>
                  <w:shd w:val="clear" w:color="auto" w:fill="auto"/>
                  <w:noWrap/>
                  <w:vAlign w:val="bottom"/>
                </w:tcPr>
                <w:p w14:paraId="510A9E22" w14:textId="77777777" w:rsidR="00645ECF" w:rsidRPr="00784C28" w:rsidRDefault="00645ECF"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n/a</w:t>
                  </w:r>
                </w:p>
              </w:tc>
              <w:tc>
                <w:tcPr>
                  <w:tcW w:w="990" w:type="dxa"/>
                  <w:shd w:val="clear" w:color="auto" w:fill="auto"/>
                  <w:noWrap/>
                  <w:vAlign w:val="bottom"/>
                </w:tcPr>
                <w:p w14:paraId="1F614E3A" w14:textId="77777777" w:rsidR="00645ECF" w:rsidRPr="00784C28" w:rsidRDefault="00645ECF"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0.97</w:t>
                  </w:r>
                </w:p>
              </w:tc>
            </w:tr>
            <w:tr w:rsidR="00645ECF" w:rsidRPr="00223B98" w14:paraId="03AD4160" w14:textId="77777777" w:rsidTr="00FF5A82">
              <w:trPr>
                <w:trHeight w:val="255"/>
              </w:trPr>
              <w:tc>
                <w:tcPr>
                  <w:tcW w:w="2602" w:type="dxa"/>
                  <w:shd w:val="clear" w:color="auto" w:fill="auto"/>
                  <w:noWrap/>
                  <w:vAlign w:val="bottom"/>
                </w:tcPr>
                <w:p w14:paraId="4E58F4E3" w14:textId="77777777" w:rsidR="00645ECF" w:rsidRPr="00784C28" w:rsidRDefault="00645ECF" w:rsidP="00EC68D5">
                  <w:pPr>
                    <w:spacing w:after="0" w:line="240" w:lineRule="auto"/>
                    <w:jc w:val="both"/>
                    <w:rPr>
                      <w:rFonts w:ascii="Arial" w:eastAsia="Times New Roman" w:hAnsi="Arial"/>
                      <w:b w:val="0"/>
                      <w:i/>
                      <w:sz w:val="20"/>
                      <w:szCs w:val="20"/>
                    </w:rPr>
                  </w:pPr>
                  <w:r w:rsidRPr="00784C28">
                    <w:rPr>
                      <w:rFonts w:ascii="Arial" w:eastAsia="Times New Roman" w:hAnsi="Arial"/>
                      <w:b w:val="0"/>
                      <w:bCs/>
                      <w:i/>
                      <w:sz w:val="20"/>
                      <w:szCs w:val="20"/>
                    </w:rPr>
                    <w:t>Almaty city</w:t>
                  </w:r>
                </w:p>
              </w:tc>
              <w:tc>
                <w:tcPr>
                  <w:tcW w:w="1080" w:type="dxa"/>
                  <w:shd w:val="clear" w:color="auto" w:fill="auto"/>
                  <w:noWrap/>
                  <w:vAlign w:val="bottom"/>
                </w:tcPr>
                <w:p w14:paraId="45B79197" w14:textId="77777777" w:rsidR="00645ECF" w:rsidRPr="00784C28" w:rsidRDefault="00645ECF"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7.1</w:t>
                  </w:r>
                </w:p>
              </w:tc>
              <w:tc>
                <w:tcPr>
                  <w:tcW w:w="1170" w:type="dxa"/>
                  <w:shd w:val="clear" w:color="auto" w:fill="auto"/>
                  <w:noWrap/>
                  <w:vAlign w:val="bottom"/>
                </w:tcPr>
                <w:p w14:paraId="2E5921A0" w14:textId="05332725" w:rsidR="00645ECF" w:rsidRPr="00784C28" w:rsidRDefault="00DE2FD5"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8.6</w:t>
                  </w:r>
                </w:p>
              </w:tc>
              <w:tc>
                <w:tcPr>
                  <w:tcW w:w="1170" w:type="dxa"/>
                  <w:shd w:val="clear" w:color="auto" w:fill="auto"/>
                  <w:noWrap/>
                  <w:vAlign w:val="bottom"/>
                </w:tcPr>
                <w:p w14:paraId="2C6BD3D0" w14:textId="77777777" w:rsidR="00645ECF" w:rsidRPr="00784C28" w:rsidRDefault="00645ECF"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0.69</w:t>
                  </w:r>
                </w:p>
              </w:tc>
              <w:tc>
                <w:tcPr>
                  <w:tcW w:w="1170" w:type="dxa"/>
                  <w:shd w:val="clear" w:color="auto" w:fill="auto"/>
                  <w:noWrap/>
                  <w:vAlign w:val="bottom"/>
                </w:tcPr>
                <w:p w14:paraId="3FA9A07D" w14:textId="185DB1AD" w:rsidR="00645ECF" w:rsidRPr="00784C28" w:rsidRDefault="00645ECF"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0.46</w:t>
                  </w:r>
                </w:p>
              </w:tc>
              <w:tc>
                <w:tcPr>
                  <w:tcW w:w="1080" w:type="dxa"/>
                  <w:shd w:val="clear" w:color="auto" w:fill="auto"/>
                  <w:noWrap/>
                  <w:vAlign w:val="bottom"/>
                </w:tcPr>
                <w:p w14:paraId="697EB1A7" w14:textId="77777777" w:rsidR="00645ECF" w:rsidRPr="00784C28" w:rsidRDefault="00645ECF"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0.58</w:t>
                  </w:r>
                </w:p>
              </w:tc>
              <w:tc>
                <w:tcPr>
                  <w:tcW w:w="990" w:type="dxa"/>
                  <w:shd w:val="clear" w:color="auto" w:fill="auto"/>
                  <w:noWrap/>
                  <w:vAlign w:val="bottom"/>
                </w:tcPr>
                <w:p w14:paraId="3C723021" w14:textId="12A51DBB" w:rsidR="00645ECF" w:rsidRPr="00784C28" w:rsidRDefault="00645ECF"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2.34</w:t>
                  </w:r>
                </w:p>
              </w:tc>
            </w:tr>
            <w:tr w:rsidR="00645ECF" w:rsidRPr="00223B98" w14:paraId="72C57A4A" w14:textId="77777777" w:rsidTr="00FF5A82">
              <w:trPr>
                <w:trHeight w:val="70"/>
              </w:trPr>
              <w:tc>
                <w:tcPr>
                  <w:tcW w:w="2602" w:type="dxa"/>
                  <w:shd w:val="clear" w:color="auto" w:fill="auto"/>
                  <w:noWrap/>
                  <w:vAlign w:val="bottom"/>
                </w:tcPr>
                <w:p w14:paraId="28B1BC1E" w14:textId="77777777" w:rsidR="00645ECF" w:rsidRPr="00784C28" w:rsidRDefault="00645ECF" w:rsidP="00EC68D5">
                  <w:pPr>
                    <w:spacing w:after="0" w:line="240" w:lineRule="auto"/>
                    <w:jc w:val="both"/>
                    <w:rPr>
                      <w:rFonts w:ascii="Arial" w:eastAsia="Times New Roman" w:hAnsi="Arial"/>
                      <w:b w:val="0"/>
                      <w:bCs/>
                      <w:i/>
                      <w:sz w:val="20"/>
                      <w:szCs w:val="20"/>
                    </w:rPr>
                  </w:pPr>
                  <w:r w:rsidRPr="00784C28">
                    <w:rPr>
                      <w:rFonts w:ascii="Arial" w:eastAsia="Times New Roman" w:hAnsi="Arial"/>
                      <w:b w:val="0"/>
                      <w:bCs/>
                      <w:i/>
                      <w:sz w:val="20"/>
                      <w:szCs w:val="20"/>
                    </w:rPr>
                    <w:t>Astana city</w:t>
                  </w:r>
                </w:p>
              </w:tc>
              <w:tc>
                <w:tcPr>
                  <w:tcW w:w="1080" w:type="dxa"/>
                  <w:shd w:val="clear" w:color="auto" w:fill="auto"/>
                  <w:noWrap/>
                  <w:vAlign w:val="bottom"/>
                </w:tcPr>
                <w:p w14:paraId="458AA63C" w14:textId="77777777" w:rsidR="00645ECF" w:rsidRPr="00784C28" w:rsidRDefault="00645ECF"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5.6</w:t>
                  </w:r>
                </w:p>
              </w:tc>
              <w:tc>
                <w:tcPr>
                  <w:tcW w:w="1170" w:type="dxa"/>
                  <w:shd w:val="clear" w:color="auto" w:fill="auto"/>
                  <w:noWrap/>
                  <w:vAlign w:val="bottom"/>
                </w:tcPr>
                <w:p w14:paraId="731835BE" w14:textId="64A48652" w:rsidR="00645ECF" w:rsidRPr="00784C28" w:rsidRDefault="00DE2FD5"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8.8</w:t>
                  </w:r>
                </w:p>
              </w:tc>
              <w:tc>
                <w:tcPr>
                  <w:tcW w:w="1170" w:type="dxa"/>
                  <w:shd w:val="clear" w:color="auto" w:fill="auto"/>
                  <w:noWrap/>
                  <w:vAlign w:val="bottom"/>
                </w:tcPr>
                <w:p w14:paraId="02D2B416" w14:textId="77777777" w:rsidR="00645ECF" w:rsidRPr="00784C28" w:rsidRDefault="00645ECF"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0.80</w:t>
                  </w:r>
                </w:p>
              </w:tc>
              <w:tc>
                <w:tcPr>
                  <w:tcW w:w="1170" w:type="dxa"/>
                  <w:shd w:val="clear" w:color="auto" w:fill="auto"/>
                  <w:noWrap/>
                  <w:vAlign w:val="bottom"/>
                </w:tcPr>
                <w:p w14:paraId="68535F6B" w14:textId="77777777" w:rsidR="00645ECF" w:rsidRPr="00784C28" w:rsidRDefault="00645ECF"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1.92</w:t>
                  </w:r>
                </w:p>
              </w:tc>
              <w:tc>
                <w:tcPr>
                  <w:tcW w:w="1080" w:type="dxa"/>
                  <w:shd w:val="clear" w:color="auto" w:fill="auto"/>
                  <w:noWrap/>
                  <w:vAlign w:val="bottom"/>
                </w:tcPr>
                <w:p w14:paraId="61808B40" w14:textId="77777777" w:rsidR="00645ECF" w:rsidRPr="00784C28" w:rsidRDefault="00645ECF"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2.0</w:t>
                  </w:r>
                </w:p>
              </w:tc>
              <w:tc>
                <w:tcPr>
                  <w:tcW w:w="990" w:type="dxa"/>
                  <w:shd w:val="clear" w:color="auto" w:fill="auto"/>
                  <w:noWrap/>
                  <w:vAlign w:val="bottom"/>
                </w:tcPr>
                <w:p w14:paraId="1B6AFF01" w14:textId="77777777" w:rsidR="00645ECF" w:rsidRPr="00784C28" w:rsidRDefault="00645ECF" w:rsidP="00784C28">
                  <w:pPr>
                    <w:spacing w:after="0" w:line="240" w:lineRule="auto"/>
                    <w:jc w:val="center"/>
                    <w:rPr>
                      <w:rFonts w:ascii="Arial" w:eastAsia="Times New Roman" w:hAnsi="Arial"/>
                      <w:b w:val="0"/>
                      <w:i/>
                      <w:sz w:val="20"/>
                      <w:szCs w:val="20"/>
                    </w:rPr>
                  </w:pPr>
                  <w:r w:rsidRPr="00784C28">
                    <w:rPr>
                      <w:rFonts w:ascii="Arial" w:eastAsia="Times New Roman" w:hAnsi="Arial"/>
                      <w:b w:val="0"/>
                      <w:i/>
                      <w:sz w:val="20"/>
                      <w:szCs w:val="20"/>
                    </w:rPr>
                    <w:t>3.0</w:t>
                  </w:r>
                </w:p>
              </w:tc>
            </w:tr>
          </w:tbl>
          <w:p w14:paraId="6883B54A" w14:textId="613A0377" w:rsidR="006E7F31" w:rsidRDefault="00645ECF" w:rsidP="006E7F31">
            <w:pPr>
              <w:spacing w:before="120" w:after="120" w:line="240" w:lineRule="auto"/>
              <w:jc w:val="both"/>
              <w:rPr>
                <w:rFonts w:ascii="Arial" w:hAnsi="Arial"/>
                <w:b w:val="0"/>
              </w:rPr>
            </w:pPr>
            <w:r w:rsidRPr="00223B98">
              <w:rPr>
                <w:rFonts w:ascii="Arial" w:hAnsi="Arial"/>
                <w:b w:val="0"/>
              </w:rPr>
              <w:t xml:space="preserve">The key behavioral indicators show that using sterile syringe has not yet become </w:t>
            </w:r>
            <w:r w:rsidR="00346A2F">
              <w:rPr>
                <w:rFonts w:ascii="Arial" w:hAnsi="Arial"/>
                <w:b w:val="0"/>
              </w:rPr>
              <w:t xml:space="preserve">a standard behavior </w:t>
            </w:r>
            <w:r w:rsidRPr="00223B98">
              <w:rPr>
                <w:rFonts w:ascii="Arial" w:hAnsi="Arial"/>
                <w:b w:val="0"/>
              </w:rPr>
              <w:t xml:space="preserve">in </w:t>
            </w:r>
            <w:r w:rsidRPr="00830B4F">
              <w:rPr>
                <w:rFonts w:ascii="Arial" w:hAnsi="Arial"/>
                <w:b w:val="0"/>
              </w:rPr>
              <w:t>PWID (5</w:t>
            </w:r>
            <w:r w:rsidR="00830B4F" w:rsidRPr="00830B4F">
              <w:rPr>
                <w:rFonts w:ascii="Arial" w:hAnsi="Arial"/>
                <w:b w:val="0"/>
              </w:rPr>
              <w:t>2.79</w:t>
            </w:r>
            <w:r w:rsidRPr="00830B4F">
              <w:rPr>
                <w:rFonts w:ascii="Arial" w:hAnsi="Arial"/>
                <w:b w:val="0"/>
              </w:rPr>
              <w:t>%</w:t>
            </w:r>
            <w:r w:rsidRPr="00223B98">
              <w:rPr>
                <w:rFonts w:ascii="Arial" w:hAnsi="Arial"/>
                <w:b w:val="0"/>
              </w:rPr>
              <w:t xml:space="preserve"> </w:t>
            </w:r>
            <w:r w:rsidR="00E05563">
              <w:rPr>
                <w:rFonts w:ascii="Arial" w:hAnsi="Arial"/>
                <w:b w:val="0"/>
              </w:rPr>
              <w:t xml:space="preserve">of respondents </w:t>
            </w:r>
            <w:r w:rsidRPr="00223B98">
              <w:rPr>
                <w:rFonts w:ascii="Arial" w:hAnsi="Arial"/>
                <w:b w:val="0"/>
              </w:rPr>
              <w:t xml:space="preserve">used a clean syringe at last injection in 2016, </w:t>
            </w:r>
            <w:r w:rsidRPr="00223B98">
              <w:rPr>
                <w:rFonts w:ascii="Arial" w:hAnsi="Arial"/>
                <w:b w:val="0"/>
              </w:rPr>
              <w:lastRenderedPageBreak/>
              <w:t xml:space="preserve">versus 47% in 2014). Progress has not been seen in adopting safer sexual behaviors: condom use at last sex among PWID averaged </w:t>
            </w:r>
            <w:r w:rsidR="00CD15BA">
              <w:rPr>
                <w:rFonts w:ascii="Arial" w:hAnsi="Arial"/>
                <w:b w:val="0"/>
              </w:rPr>
              <w:t>47.72</w:t>
            </w:r>
            <w:r w:rsidRPr="00223B98">
              <w:rPr>
                <w:rFonts w:ascii="Arial" w:hAnsi="Arial"/>
                <w:b w:val="0"/>
              </w:rPr>
              <w:t>% (46% in 2014).</w:t>
            </w:r>
            <w:r w:rsidR="00A73FCB">
              <w:rPr>
                <w:rFonts w:ascii="Arial" w:hAnsi="Arial"/>
                <w:b w:val="0"/>
              </w:rPr>
              <w:t xml:space="preserve"> In SW</w:t>
            </w:r>
            <w:r w:rsidRPr="00223B98">
              <w:rPr>
                <w:rFonts w:ascii="Arial" w:hAnsi="Arial"/>
                <w:b w:val="0"/>
              </w:rPr>
              <w:t>, the reported condom use with commercial partners at last sex was 95.44% in 2015 (</w:t>
            </w:r>
            <w:r w:rsidR="00A73FCB">
              <w:rPr>
                <w:rFonts w:ascii="Arial" w:hAnsi="Arial"/>
                <w:b w:val="0"/>
              </w:rPr>
              <w:t xml:space="preserve">95.49% in 2013). Condom use </w:t>
            </w:r>
            <w:r w:rsidR="00136FCF">
              <w:rPr>
                <w:rFonts w:ascii="Arial" w:hAnsi="Arial"/>
                <w:b w:val="0"/>
              </w:rPr>
              <w:t xml:space="preserve">in </w:t>
            </w:r>
            <w:r w:rsidR="00A73FCB">
              <w:rPr>
                <w:rFonts w:ascii="Arial" w:hAnsi="Arial"/>
                <w:b w:val="0"/>
              </w:rPr>
              <w:t>MSM</w:t>
            </w:r>
            <w:r w:rsidRPr="00223B98">
              <w:rPr>
                <w:rFonts w:ascii="Arial" w:hAnsi="Arial"/>
                <w:b w:val="0"/>
              </w:rPr>
              <w:t xml:space="preserve"> at last anal sex as receiving partner decreased fr</w:t>
            </w:r>
            <w:r w:rsidR="00136FCF">
              <w:rPr>
                <w:rFonts w:ascii="Arial" w:hAnsi="Arial"/>
                <w:b w:val="0"/>
              </w:rPr>
              <w:t>o</w:t>
            </w:r>
            <w:r w:rsidRPr="00223B98">
              <w:rPr>
                <w:rFonts w:ascii="Arial" w:hAnsi="Arial"/>
                <w:b w:val="0"/>
              </w:rPr>
              <w:t>m 89.</w:t>
            </w:r>
            <w:r w:rsidR="00A73FCB">
              <w:rPr>
                <w:rFonts w:ascii="Arial" w:hAnsi="Arial"/>
                <w:b w:val="0"/>
              </w:rPr>
              <w:t>01% in 2013 to 70.68% in 2015. The c</w:t>
            </w:r>
            <w:r w:rsidRPr="00223B98">
              <w:rPr>
                <w:rFonts w:ascii="Arial" w:hAnsi="Arial"/>
                <w:b w:val="0"/>
              </w:rPr>
              <w:t xml:space="preserve">overage with HIV testing was the following - </w:t>
            </w:r>
            <w:r w:rsidRPr="00516C30">
              <w:rPr>
                <w:rFonts w:ascii="Arial" w:hAnsi="Arial"/>
                <w:b w:val="0"/>
              </w:rPr>
              <w:t xml:space="preserve">PWID: </w:t>
            </w:r>
            <w:r w:rsidR="00516C30" w:rsidRPr="00516C30">
              <w:rPr>
                <w:rFonts w:ascii="Arial" w:hAnsi="Arial"/>
                <w:b w:val="0"/>
              </w:rPr>
              <w:t>54.99</w:t>
            </w:r>
            <w:r w:rsidRPr="00516C30">
              <w:rPr>
                <w:rFonts w:ascii="Arial" w:hAnsi="Arial"/>
                <w:b w:val="0"/>
              </w:rPr>
              <w:t xml:space="preserve">% </w:t>
            </w:r>
            <w:r w:rsidR="00F03487">
              <w:rPr>
                <w:rFonts w:ascii="Arial" w:hAnsi="Arial"/>
                <w:b w:val="0"/>
              </w:rPr>
              <w:t xml:space="preserve">in 2016 </w:t>
            </w:r>
            <w:r w:rsidRPr="00516C30">
              <w:rPr>
                <w:rFonts w:ascii="Arial" w:hAnsi="Arial"/>
                <w:b w:val="0"/>
              </w:rPr>
              <w:t>(including Karaganda Oblast – 4</w:t>
            </w:r>
            <w:r w:rsidR="00516C30" w:rsidRPr="00516C30">
              <w:rPr>
                <w:rFonts w:ascii="Arial" w:hAnsi="Arial"/>
                <w:b w:val="0"/>
              </w:rPr>
              <w:t>0</w:t>
            </w:r>
            <w:r w:rsidRPr="00516C30">
              <w:rPr>
                <w:rFonts w:ascii="Arial" w:hAnsi="Arial"/>
                <w:b w:val="0"/>
              </w:rPr>
              <w:t>.</w:t>
            </w:r>
            <w:r w:rsidR="00516C30" w:rsidRPr="00516C30">
              <w:rPr>
                <w:rFonts w:ascii="Arial" w:hAnsi="Arial"/>
                <w:b w:val="0"/>
              </w:rPr>
              <w:t>9%; Almaty city – 66.4</w:t>
            </w:r>
            <w:r w:rsidRPr="00516C30">
              <w:rPr>
                <w:rFonts w:ascii="Arial" w:hAnsi="Arial"/>
                <w:b w:val="0"/>
              </w:rPr>
              <w:t>% and Astana city – 3</w:t>
            </w:r>
            <w:r w:rsidR="00516C30" w:rsidRPr="00516C30">
              <w:rPr>
                <w:rFonts w:ascii="Arial" w:hAnsi="Arial"/>
                <w:b w:val="0"/>
              </w:rPr>
              <w:t>9.4</w:t>
            </w:r>
            <w:r w:rsidRPr="00516C30">
              <w:rPr>
                <w:rFonts w:ascii="Arial" w:hAnsi="Arial"/>
                <w:b w:val="0"/>
              </w:rPr>
              <w:t>%)</w:t>
            </w:r>
            <w:r w:rsidR="00F03487">
              <w:rPr>
                <w:rFonts w:ascii="Arial" w:hAnsi="Arial"/>
                <w:b w:val="0"/>
              </w:rPr>
              <w:t xml:space="preserve"> versus 63.6 in 2014</w:t>
            </w:r>
            <w:r w:rsidRPr="00516C30">
              <w:rPr>
                <w:rFonts w:ascii="Arial" w:hAnsi="Arial"/>
                <w:b w:val="0"/>
              </w:rPr>
              <w:t>;</w:t>
            </w:r>
            <w:r w:rsidRPr="00223B98">
              <w:rPr>
                <w:rFonts w:ascii="Arial" w:hAnsi="Arial"/>
                <w:b w:val="0"/>
              </w:rPr>
              <w:t xml:space="preserve"> SW: 79.93% </w:t>
            </w:r>
            <w:r w:rsidR="00F03487">
              <w:rPr>
                <w:rFonts w:ascii="Arial" w:hAnsi="Arial"/>
                <w:b w:val="0"/>
              </w:rPr>
              <w:t xml:space="preserve">in 2015 </w:t>
            </w:r>
            <w:r w:rsidRPr="00223B98">
              <w:rPr>
                <w:rFonts w:ascii="Arial" w:hAnsi="Arial"/>
                <w:b w:val="0"/>
              </w:rPr>
              <w:t xml:space="preserve">(including Karaganda Oblast – 78.17%; Almaty city – 88.89% and Astana city – 55.77%) versus 89.09% in 2013, and MSM: 62.65% </w:t>
            </w:r>
            <w:r w:rsidR="00F03487">
              <w:rPr>
                <w:rFonts w:ascii="Arial" w:hAnsi="Arial"/>
                <w:b w:val="0"/>
              </w:rPr>
              <w:t xml:space="preserve">in 2015 </w:t>
            </w:r>
            <w:r w:rsidRPr="00223B98">
              <w:rPr>
                <w:rFonts w:ascii="Arial" w:hAnsi="Arial"/>
                <w:b w:val="0"/>
              </w:rPr>
              <w:t>(including Karaganda Oblast – 60.19%; Almaty city – 88.89% and Astana city – 87.0%)</w:t>
            </w:r>
            <w:r w:rsidR="00F03487">
              <w:rPr>
                <w:rFonts w:ascii="Arial" w:hAnsi="Arial"/>
                <w:b w:val="0"/>
              </w:rPr>
              <w:t xml:space="preserve"> </w:t>
            </w:r>
            <w:r w:rsidRPr="00223B98">
              <w:rPr>
                <w:rFonts w:ascii="Arial" w:hAnsi="Arial"/>
                <w:b w:val="0"/>
              </w:rPr>
              <w:t>versus 74.40% in 2013 (B</w:t>
            </w:r>
            <w:r w:rsidR="008E5EE9">
              <w:rPr>
                <w:rFonts w:ascii="Arial" w:hAnsi="Arial"/>
                <w:b w:val="0"/>
              </w:rPr>
              <w:t>S</w:t>
            </w:r>
            <w:r w:rsidRPr="00223B98">
              <w:rPr>
                <w:rFonts w:ascii="Arial" w:hAnsi="Arial"/>
                <w:b w:val="0"/>
              </w:rPr>
              <w:t>S 2015/2016).</w:t>
            </w:r>
          </w:p>
          <w:p w14:paraId="4E938129" w14:textId="77777777" w:rsidR="00923C43" w:rsidRDefault="00923C43" w:rsidP="002F3578">
            <w:pPr>
              <w:spacing w:before="120" w:after="120" w:line="240" w:lineRule="auto"/>
              <w:jc w:val="both"/>
              <w:rPr>
                <w:rFonts w:ascii="Arial" w:hAnsi="Arial"/>
                <w:b w:val="0"/>
              </w:rPr>
            </w:pPr>
            <w:r w:rsidRPr="00923C43">
              <w:rPr>
                <w:rFonts w:ascii="Arial" w:hAnsi="Arial"/>
                <w:b w:val="0"/>
              </w:rPr>
              <w:t>Based on previous experience, a series of lessons learned in relation to H</w:t>
            </w:r>
            <w:r>
              <w:rPr>
                <w:rFonts w:ascii="Arial" w:hAnsi="Arial"/>
                <w:b w:val="0"/>
              </w:rPr>
              <w:t xml:space="preserve">IV control have been identified as following. </w:t>
            </w:r>
          </w:p>
          <w:p w14:paraId="1EDACF34" w14:textId="36E4FA7E" w:rsidR="007E086D" w:rsidRDefault="00645ECF" w:rsidP="00F2357C">
            <w:pPr>
              <w:pStyle w:val="ListParagraph"/>
              <w:numPr>
                <w:ilvl w:val="0"/>
                <w:numId w:val="9"/>
              </w:numPr>
              <w:spacing w:after="0" w:line="240" w:lineRule="auto"/>
              <w:jc w:val="both"/>
              <w:rPr>
                <w:rFonts w:ascii="Arial" w:hAnsi="Arial"/>
                <w:b w:val="0"/>
              </w:rPr>
            </w:pPr>
            <w:r w:rsidRPr="00923C43">
              <w:rPr>
                <w:rFonts w:ascii="Arial" w:hAnsi="Arial"/>
                <w:b w:val="0"/>
              </w:rPr>
              <w:t xml:space="preserve">HIV control continues to be one of the highest </w:t>
            </w:r>
            <w:r w:rsidR="00425AC2">
              <w:rPr>
                <w:rFonts w:ascii="Arial" w:hAnsi="Arial"/>
                <w:b w:val="0"/>
              </w:rPr>
              <w:t xml:space="preserve">public health </w:t>
            </w:r>
            <w:r w:rsidRPr="00923C43">
              <w:rPr>
                <w:rFonts w:ascii="Arial" w:hAnsi="Arial"/>
                <w:b w:val="0"/>
              </w:rPr>
              <w:t>priorit</w:t>
            </w:r>
            <w:r w:rsidR="00425AC2">
              <w:rPr>
                <w:rFonts w:ascii="Arial" w:hAnsi="Arial"/>
                <w:b w:val="0"/>
              </w:rPr>
              <w:t xml:space="preserve">y </w:t>
            </w:r>
            <w:r w:rsidRPr="00923C43">
              <w:rPr>
                <w:rFonts w:ascii="Arial" w:hAnsi="Arial"/>
                <w:b w:val="0"/>
              </w:rPr>
              <w:t xml:space="preserve">in Kazakhstan, and is set forth in the key strategic documents of the Government of Kazakhstan, including the Kazakhstan 2050 Strategy. Following three subsequent national HIV programs (1996-2010), HIV activities </w:t>
            </w:r>
            <w:r w:rsidR="00F10F8A">
              <w:rPr>
                <w:rFonts w:ascii="Arial" w:hAnsi="Arial"/>
                <w:b w:val="0"/>
              </w:rPr>
              <w:t>for</w:t>
            </w:r>
            <w:r w:rsidRPr="00923C43">
              <w:rPr>
                <w:rFonts w:ascii="Arial" w:hAnsi="Arial"/>
                <w:b w:val="0"/>
              </w:rPr>
              <w:t xml:space="preserve"> key populations </w:t>
            </w:r>
            <w:r w:rsidR="00BB29E1">
              <w:rPr>
                <w:rFonts w:ascii="Arial" w:hAnsi="Arial"/>
                <w:b w:val="0"/>
              </w:rPr>
              <w:t>(KP)</w:t>
            </w:r>
            <w:r w:rsidR="00F07297">
              <w:rPr>
                <w:rFonts w:ascii="Arial" w:hAnsi="Arial"/>
                <w:b w:val="0"/>
              </w:rPr>
              <w:t xml:space="preserve"> </w:t>
            </w:r>
            <w:r w:rsidRPr="00923C43">
              <w:rPr>
                <w:rFonts w:ascii="Arial" w:hAnsi="Arial"/>
                <w:b w:val="0"/>
              </w:rPr>
              <w:t xml:space="preserve">became integral part of the State Healthcare Development Program of </w:t>
            </w:r>
            <w:r w:rsidR="009E1E65">
              <w:rPr>
                <w:rFonts w:ascii="Arial" w:hAnsi="Arial"/>
                <w:b w:val="0"/>
              </w:rPr>
              <w:t xml:space="preserve">the </w:t>
            </w:r>
            <w:r w:rsidRPr="00923C43">
              <w:rPr>
                <w:rFonts w:ascii="Arial" w:hAnsi="Arial"/>
                <w:b w:val="0"/>
              </w:rPr>
              <w:t>Republic of Kazakhstan "</w:t>
            </w:r>
            <w:proofErr w:type="spellStart"/>
            <w:r w:rsidRPr="00923C43">
              <w:rPr>
                <w:rFonts w:ascii="Arial" w:hAnsi="Arial"/>
                <w:b w:val="0"/>
              </w:rPr>
              <w:t>Salamatty</w:t>
            </w:r>
            <w:proofErr w:type="spellEnd"/>
            <w:r w:rsidRPr="00923C43">
              <w:rPr>
                <w:rFonts w:ascii="Arial" w:hAnsi="Arial"/>
                <w:b w:val="0"/>
              </w:rPr>
              <w:t xml:space="preserve"> </w:t>
            </w:r>
            <w:r w:rsidRPr="00923C43">
              <w:rPr>
                <w:rFonts w:ascii="Arial" w:hAnsi="Arial"/>
                <w:b w:val="0"/>
                <w:bCs/>
              </w:rPr>
              <w:t>Kazakhstan</w:t>
            </w:r>
            <w:r w:rsidRPr="00923C43">
              <w:rPr>
                <w:rFonts w:ascii="Arial" w:hAnsi="Arial"/>
                <w:b w:val="0"/>
              </w:rPr>
              <w:t>" for 2011-2015, the Healthcare Development State Program of the Republic of Kazakhstan “</w:t>
            </w:r>
            <w:proofErr w:type="spellStart"/>
            <w:r w:rsidRPr="00923C43">
              <w:rPr>
                <w:rFonts w:ascii="Arial" w:hAnsi="Arial"/>
                <w:b w:val="0"/>
                <w:bCs/>
              </w:rPr>
              <w:t>Densaulyk</w:t>
            </w:r>
            <w:proofErr w:type="spellEnd"/>
            <w:r w:rsidRPr="00923C43">
              <w:rPr>
                <w:rFonts w:ascii="Arial" w:hAnsi="Arial"/>
                <w:b w:val="0"/>
              </w:rPr>
              <w:t xml:space="preserve">” for 2016-2019 in line with the sustainable development goals of UNAIDS Agenda for Accelerated Country Action. Since </w:t>
            </w:r>
            <w:r w:rsidR="00BD36E5">
              <w:rPr>
                <w:rFonts w:ascii="Arial" w:hAnsi="Arial"/>
                <w:b w:val="0"/>
              </w:rPr>
              <w:t xml:space="preserve">the </w:t>
            </w:r>
            <w:r w:rsidRPr="00923C43">
              <w:rPr>
                <w:rFonts w:ascii="Arial" w:hAnsi="Arial"/>
                <w:b w:val="0"/>
              </w:rPr>
              <w:t xml:space="preserve">end of 2016 KP targeted activities are part of the </w:t>
            </w:r>
            <w:r w:rsidR="00FF5A82">
              <w:rPr>
                <w:rFonts w:ascii="Arial" w:hAnsi="Arial"/>
                <w:b w:val="0"/>
              </w:rPr>
              <w:t xml:space="preserve">National </w:t>
            </w:r>
            <w:r w:rsidRPr="00923C43">
              <w:rPr>
                <w:rFonts w:ascii="Arial" w:hAnsi="Arial"/>
                <w:b w:val="0"/>
              </w:rPr>
              <w:t xml:space="preserve">Program of </w:t>
            </w:r>
            <w:r w:rsidR="00FF5A82">
              <w:rPr>
                <w:rFonts w:ascii="Arial" w:hAnsi="Arial"/>
                <w:b w:val="0"/>
              </w:rPr>
              <w:t>A</w:t>
            </w:r>
            <w:r w:rsidRPr="00923C43">
              <w:rPr>
                <w:rFonts w:ascii="Arial" w:hAnsi="Arial"/>
                <w:b w:val="0"/>
              </w:rPr>
              <w:t xml:space="preserve">ccelerated </w:t>
            </w:r>
            <w:r w:rsidR="00FF5A82">
              <w:rPr>
                <w:rFonts w:ascii="Arial" w:hAnsi="Arial"/>
                <w:b w:val="0"/>
              </w:rPr>
              <w:t>M</w:t>
            </w:r>
            <w:r w:rsidRPr="00923C43">
              <w:rPr>
                <w:rFonts w:ascii="Arial" w:hAnsi="Arial"/>
                <w:b w:val="0"/>
              </w:rPr>
              <w:t xml:space="preserve">easures for </w:t>
            </w:r>
            <w:r w:rsidR="00FF5A82">
              <w:rPr>
                <w:rFonts w:ascii="Arial" w:hAnsi="Arial"/>
                <w:b w:val="0"/>
              </w:rPr>
              <w:t>P</w:t>
            </w:r>
            <w:r w:rsidRPr="00923C43">
              <w:rPr>
                <w:rFonts w:ascii="Arial" w:hAnsi="Arial"/>
                <w:b w:val="0"/>
              </w:rPr>
              <w:t>revention of new HIV-infection cases</w:t>
            </w:r>
            <w:r w:rsidR="006E7F31" w:rsidRPr="00923C43">
              <w:rPr>
                <w:rFonts w:ascii="Arial" w:hAnsi="Arial"/>
                <w:b w:val="0"/>
              </w:rPr>
              <w:t xml:space="preserve"> in the Republic of Kazakhstan</w:t>
            </w:r>
            <w:r w:rsidRPr="00923C43">
              <w:rPr>
                <w:rFonts w:ascii="Arial" w:hAnsi="Arial"/>
                <w:b w:val="0"/>
              </w:rPr>
              <w:t xml:space="preserve">, and the </w:t>
            </w:r>
            <w:r w:rsidR="002F3578" w:rsidRPr="00923C43">
              <w:rPr>
                <w:rFonts w:ascii="Arial" w:hAnsi="Arial"/>
                <w:b w:val="0"/>
              </w:rPr>
              <w:t xml:space="preserve">implementation </w:t>
            </w:r>
            <w:r w:rsidRPr="00923C43">
              <w:rPr>
                <w:rFonts w:ascii="Arial" w:hAnsi="Arial"/>
                <w:b w:val="0"/>
              </w:rPr>
              <w:t>roadmap</w:t>
            </w:r>
            <w:r w:rsidR="00832661">
              <w:rPr>
                <w:rFonts w:ascii="Arial" w:hAnsi="Arial"/>
                <w:b w:val="0"/>
              </w:rPr>
              <w:t xml:space="preserve"> </w:t>
            </w:r>
            <w:r w:rsidR="00A22CD9">
              <w:rPr>
                <w:rFonts w:ascii="Arial" w:hAnsi="Arial"/>
                <w:b w:val="0"/>
              </w:rPr>
              <w:t>for 2017-</w:t>
            </w:r>
            <w:r w:rsidR="00A22CD9" w:rsidRPr="002D51C8">
              <w:rPr>
                <w:rFonts w:ascii="Arial" w:hAnsi="Arial"/>
                <w:b w:val="0"/>
              </w:rPr>
              <w:t xml:space="preserve">2020 </w:t>
            </w:r>
            <w:r w:rsidR="006E7F31" w:rsidRPr="00F100FC">
              <w:rPr>
                <w:rFonts w:ascii="Arial" w:hAnsi="Arial"/>
                <w:b w:val="0"/>
              </w:rPr>
              <w:t xml:space="preserve">(see Annex </w:t>
            </w:r>
            <w:r w:rsidR="003F300D" w:rsidRPr="00F100FC">
              <w:rPr>
                <w:rFonts w:ascii="Arial" w:hAnsi="Arial"/>
                <w:b w:val="0"/>
              </w:rPr>
              <w:t>1</w:t>
            </w:r>
            <w:r w:rsidR="006E7F31" w:rsidRPr="00F100FC">
              <w:rPr>
                <w:rFonts w:ascii="Arial" w:hAnsi="Arial"/>
                <w:b w:val="0"/>
              </w:rPr>
              <w:t>).</w:t>
            </w:r>
            <w:r w:rsidR="002F3578" w:rsidRPr="00923C43">
              <w:rPr>
                <w:rFonts w:ascii="Arial" w:hAnsi="Arial"/>
                <w:b w:val="0"/>
              </w:rPr>
              <w:t xml:space="preserve"> </w:t>
            </w:r>
            <w:r w:rsidR="00F07297">
              <w:rPr>
                <w:rFonts w:ascii="Arial" w:hAnsi="Arial"/>
                <w:b w:val="0"/>
              </w:rPr>
              <w:t>C</w:t>
            </w:r>
            <w:r w:rsidRPr="00923C43">
              <w:rPr>
                <w:rFonts w:ascii="Arial" w:hAnsi="Arial"/>
                <w:b w:val="0"/>
              </w:rPr>
              <w:t>onsistent with the Political Declaration on HIV and AIDS: On the Fast-Track to Accelerating the Fight against HIV and to Ending the AIDS Epidemic by 2030, adopted in June 2016</w:t>
            </w:r>
            <w:r w:rsidR="00492723">
              <w:rPr>
                <w:rFonts w:ascii="Arial" w:hAnsi="Arial"/>
                <w:b w:val="0"/>
              </w:rPr>
              <w:t>, the P</w:t>
            </w:r>
            <w:r w:rsidR="000464D9">
              <w:rPr>
                <w:rFonts w:ascii="Arial" w:hAnsi="Arial"/>
                <w:b w:val="0"/>
              </w:rPr>
              <w:t xml:space="preserve">rogram goal is </w:t>
            </w:r>
            <w:r w:rsidR="004D48D3">
              <w:rPr>
                <w:rFonts w:ascii="Arial" w:hAnsi="Arial"/>
                <w:b w:val="0"/>
              </w:rPr>
              <w:t>elimination of HIV in Kazakhstan by 2030</w:t>
            </w:r>
            <w:r w:rsidR="000464D9">
              <w:rPr>
                <w:rFonts w:ascii="Arial" w:hAnsi="Arial"/>
                <w:b w:val="0"/>
              </w:rPr>
              <w:t>. It i</w:t>
            </w:r>
            <w:r w:rsidR="004D48D3">
              <w:rPr>
                <w:rFonts w:ascii="Arial" w:hAnsi="Arial"/>
                <w:b w:val="0"/>
              </w:rPr>
              <w:t xml:space="preserve">s </w:t>
            </w:r>
            <w:r w:rsidR="00F07297">
              <w:rPr>
                <w:rFonts w:ascii="Arial" w:hAnsi="Arial"/>
                <w:b w:val="0"/>
              </w:rPr>
              <w:t>based on four strategic directions: (i) HIV prevention among vulnerable groups and populations, (ii) Testing for HIV infection, (iii) Providing PLHIV with a</w:t>
            </w:r>
            <w:r w:rsidR="002D51C8">
              <w:rPr>
                <w:rFonts w:ascii="Arial" w:hAnsi="Arial"/>
                <w:b w:val="0"/>
              </w:rPr>
              <w:t>ntiretroviral therapy and (iv) S</w:t>
            </w:r>
            <w:r w:rsidR="00F07297">
              <w:rPr>
                <w:rFonts w:ascii="Arial" w:hAnsi="Arial"/>
                <w:b w:val="0"/>
              </w:rPr>
              <w:t>trengthening the capacity of AIDS services</w:t>
            </w:r>
            <w:r w:rsidR="004D48D3">
              <w:rPr>
                <w:rFonts w:ascii="Arial" w:hAnsi="Arial"/>
                <w:b w:val="0"/>
              </w:rPr>
              <w:t xml:space="preserve">, </w:t>
            </w:r>
            <w:r w:rsidR="000464D9">
              <w:rPr>
                <w:rFonts w:ascii="Arial" w:hAnsi="Arial"/>
                <w:b w:val="0"/>
              </w:rPr>
              <w:t>and provides</w:t>
            </w:r>
            <w:r w:rsidR="004D48D3">
              <w:rPr>
                <w:rFonts w:ascii="Arial" w:hAnsi="Arial"/>
                <w:b w:val="0"/>
              </w:rPr>
              <w:t xml:space="preserve"> </w:t>
            </w:r>
            <w:r w:rsidR="000464D9">
              <w:rPr>
                <w:rFonts w:ascii="Arial" w:hAnsi="Arial"/>
                <w:b w:val="0"/>
              </w:rPr>
              <w:t xml:space="preserve">ambitious </w:t>
            </w:r>
            <w:r w:rsidR="007E086D">
              <w:rPr>
                <w:rFonts w:ascii="Arial" w:hAnsi="Arial"/>
                <w:b w:val="0"/>
              </w:rPr>
              <w:t xml:space="preserve">targets for 2020 and </w:t>
            </w:r>
            <w:r w:rsidR="007E086D" w:rsidRPr="00F2357C">
              <w:rPr>
                <w:rFonts w:ascii="Arial" w:hAnsi="Arial"/>
                <w:b w:val="0"/>
              </w:rPr>
              <w:t>2030 (see Table 3).</w:t>
            </w:r>
            <w:r w:rsidR="007E086D">
              <w:rPr>
                <w:rFonts w:ascii="Arial" w:hAnsi="Arial"/>
                <w:b w:val="0"/>
              </w:rPr>
              <w:t xml:space="preserve"> </w:t>
            </w:r>
          </w:p>
          <w:p w14:paraId="7BC27E7B" w14:textId="77777777" w:rsidR="00F2357C" w:rsidRPr="00F7530F" w:rsidRDefault="00F2357C" w:rsidP="00F2357C">
            <w:pPr>
              <w:pStyle w:val="ListParagraph"/>
              <w:spacing w:after="0" w:line="240" w:lineRule="auto"/>
              <w:jc w:val="both"/>
              <w:rPr>
                <w:rFonts w:ascii="Arial" w:hAnsi="Arial"/>
                <w:b w:val="0"/>
                <w:sz w:val="10"/>
                <w:szCs w:val="10"/>
              </w:rPr>
            </w:pPr>
          </w:p>
          <w:p w14:paraId="69EB787D" w14:textId="2C7FF346" w:rsidR="007E086D" w:rsidRPr="00F2357C" w:rsidRDefault="007E086D" w:rsidP="00F2357C">
            <w:pPr>
              <w:pStyle w:val="ListParagraph"/>
              <w:spacing w:before="120" w:after="120" w:line="240" w:lineRule="auto"/>
              <w:jc w:val="both"/>
              <w:rPr>
                <w:rFonts w:ascii="Arial" w:hAnsi="Arial"/>
                <w:b w:val="0"/>
                <w:i/>
              </w:rPr>
            </w:pPr>
            <w:r w:rsidRPr="00F2357C">
              <w:rPr>
                <w:rFonts w:ascii="Arial" w:hAnsi="Arial"/>
                <w:b w:val="0"/>
                <w:i/>
              </w:rPr>
              <w:t xml:space="preserve">Table 3. </w:t>
            </w:r>
            <w:r w:rsidRPr="00F2357C">
              <w:rPr>
                <w:rFonts w:ascii="Arial" w:hAnsi="Arial"/>
                <w:b w:val="0"/>
                <w:i/>
                <w:color w:val="000000" w:themeColor="text1"/>
              </w:rPr>
              <w:t>Program implementation results by 2020 and 2030</w:t>
            </w:r>
          </w:p>
          <w:tbl>
            <w:tblPr>
              <w:tblStyle w:val="TableGrid"/>
              <w:tblW w:w="8341" w:type="dxa"/>
              <w:tblInd w:w="645" w:type="dxa"/>
              <w:tblLayout w:type="fixed"/>
              <w:tblLook w:val="04A0" w:firstRow="1" w:lastRow="0" w:firstColumn="1" w:lastColumn="0" w:noHBand="0" w:noVBand="1"/>
            </w:tblPr>
            <w:tblGrid>
              <w:gridCol w:w="5935"/>
              <w:gridCol w:w="1272"/>
              <w:gridCol w:w="1134"/>
            </w:tblGrid>
            <w:tr w:rsidR="00F2357C" w:rsidRPr="009A252F" w14:paraId="2AB602B6" w14:textId="77777777" w:rsidTr="00F2357C">
              <w:tc>
                <w:tcPr>
                  <w:tcW w:w="5935" w:type="dxa"/>
                </w:tcPr>
                <w:p w14:paraId="4584F48D" w14:textId="4249F404" w:rsidR="00F07297" w:rsidRPr="00F07297" w:rsidRDefault="00F07297" w:rsidP="00F2357C">
                  <w:pPr>
                    <w:tabs>
                      <w:tab w:val="left" w:pos="360"/>
                    </w:tabs>
                    <w:spacing w:after="0" w:line="240" w:lineRule="auto"/>
                    <w:jc w:val="both"/>
                    <w:rPr>
                      <w:rFonts w:ascii="Arial" w:hAnsi="Arial"/>
                      <w:b w:val="0"/>
                      <w:color w:val="000000" w:themeColor="text1"/>
                      <w:sz w:val="22"/>
                      <w:szCs w:val="22"/>
                    </w:rPr>
                  </w:pPr>
                </w:p>
              </w:tc>
              <w:tc>
                <w:tcPr>
                  <w:tcW w:w="1272" w:type="dxa"/>
                </w:tcPr>
                <w:p w14:paraId="18A6AF53"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2020</w:t>
                  </w:r>
                </w:p>
              </w:tc>
              <w:tc>
                <w:tcPr>
                  <w:tcW w:w="1134" w:type="dxa"/>
                </w:tcPr>
                <w:p w14:paraId="4DA0BE6C"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2030</w:t>
                  </w:r>
                </w:p>
              </w:tc>
            </w:tr>
            <w:tr w:rsidR="00F2357C" w:rsidRPr="009A252F" w14:paraId="2D3C7254" w14:textId="77777777" w:rsidTr="00F2357C">
              <w:tc>
                <w:tcPr>
                  <w:tcW w:w="5935" w:type="dxa"/>
                </w:tcPr>
                <w:p w14:paraId="2392D2EA" w14:textId="77777777" w:rsidR="00F07297" w:rsidRPr="00F2357C" w:rsidRDefault="00F07297" w:rsidP="00F2357C">
                  <w:pPr>
                    <w:tabs>
                      <w:tab w:val="left" w:pos="360"/>
                    </w:tabs>
                    <w:spacing w:after="0" w:line="240" w:lineRule="auto"/>
                    <w:jc w:val="both"/>
                    <w:rPr>
                      <w:rFonts w:ascii="Arial" w:hAnsi="Arial"/>
                      <w:b w:val="0"/>
                      <w:color w:val="000000" w:themeColor="text1"/>
                      <w:sz w:val="22"/>
                      <w:szCs w:val="22"/>
                    </w:rPr>
                  </w:pPr>
                  <w:r w:rsidRPr="00F2357C">
                    <w:rPr>
                      <w:rFonts w:ascii="Arial" w:hAnsi="Arial"/>
                      <w:b w:val="0"/>
                      <w:color w:val="000000" w:themeColor="text1"/>
                    </w:rPr>
                    <w:t>Prevalence of HIV infection in the 15-49 age group (%)</w:t>
                  </w:r>
                </w:p>
              </w:tc>
              <w:tc>
                <w:tcPr>
                  <w:tcW w:w="1272" w:type="dxa"/>
                </w:tcPr>
                <w:p w14:paraId="52B229D5"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eastAsiaTheme="minorEastAsia" w:hAnsi="Arial"/>
                      <w:b w:val="0"/>
                      <w:color w:val="000000" w:themeColor="text1"/>
                    </w:rPr>
                    <w:t>0,2-0,6</w:t>
                  </w:r>
                </w:p>
              </w:tc>
              <w:tc>
                <w:tcPr>
                  <w:tcW w:w="1134" w:type="dxa"/>
                </w:tcPr>
                <w:p w14:paraId="17FBAD84"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eastAsiaTheme="minorEastAsia" w:hAnsi="Arial"/>
                      <w:b w:val="0"/>
                      <w:color w:val="000000" w:themeColor="text1"/>
                    </w:rPr>
                    <w:t>0,2-0,4</w:t>
                  </w:r>
                </w:p>
              </w:tc>
            </w:tr>
            <w:tr w:rsidR="00F2357C" w:rsidRPr="009A252F" w14:paraId="3DFD41BC" w14:textId="77777777" w:rsidTr="00F2357C">
              <w:tc>
                <w:tcPr>
                  <w:tcW w:w="5935" w:type="dxa"/>
                </w:tcPr>
                <w:p w14:paraId="02FABE09" w14:textId="77777777" w:rsidR="00F07297" w:rsidRPr="00F2357C" w:rsidRDefault="00F07297" w:rsidP="00F2357C">
                  <w:pPr>
                    <w:tabs>
                      <w:tab w:val="left" w:pos="360"/>
                    </w:tabs>
                    <w:spacing w:after="0" w:line="240" w:lineRule="auto"/>
                    <w:jc w:val="both"/>
                    <w:rPr>
                      <w:rFonts w:ascii="Arial" w:hAnsi="Arial"/>
                      <w:b w:val="0"/>
                      <w:color w:val="000000" w:themeColor="text1"/>
                      <w:sz w:val="22"/>
                      <w:szCs w:val="22"/>
                    </w:rPr>
                  </w:pPr>
                  <w:r w:rsidRPr="00F2357C">
                    <w:rPr>
                      <w:rFonts w:ascii="Arial" w:hAnsi="Arial"/>
                      <w:b w:val="0"/>
                      <w:color w:val="000000" w:themeColor="text1"/>
                    </w:rPr>
                    <w:t>Incidence of HIV infection per 100 thousand population</w:t>
                  </w:r>
                </w:p>
              </w:tc>
              <w:tc>
                <w:tcPr>
                  <w:tcW w:w="1272" w:type="dxa"/>
                </w:tcPr>
                <w:p w14:paraId="6859179D"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17,0</w:t>
                  </w:r>
                </w:p>
              </w:tc>
              <w:tc>
                <w:tcPr>
                  <w:tcW w:w="1134" w:type="dxa"/>
                </w:tcPr>
                <w:p w14:paraId="3CEBD2A8"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2,0</w:t>
                  </w:r>
                </w:p>
              </w:tc>
            </w:tr>
            <w:tr w:rsidR="00F2357C" w:rsidRPr="009A252F" w14:paraId="60231D38" w14:textId="77777777" w:rsidTr="00F2357C">
              <w:tc>
                <w:tcPr>
                  <w:tcW w:w="5935" w:type="dxa"/>
                </w:tcPr>
                <w:p w14:paraId="37CFA6CF" w14:textId="77777777" w:rsidR="00F07297" w:rsidRPr="00F2357C" w:rsidRDefault="00F07297" w:rsidP="00F2357C">
                  <w:pPr>
                    <w:tabs>
                      <w:tab w:val="left" w:pos="360"/>
                    </w:tabs>
                    <w:spacing w:after="0" w:line="240" w:lineRule="auto"/>
                    <w:jc w:val="both"/>
                    <w:rPr>
                      <w:rFonts w:ascii="Arial" w:hAnsi="Arial"/>
                      <w:b w:val="0"/>
                      <w:color w:val="000000" w:themeColor="text1"/>
                      <w:sz w:val="22"/>
                      <w:szCs w:val="22"/>
                    </w:rPr>
                  </w:pPr>
                  <w:r w:rsidRPr="00F2357C">
                    <w:rPr>
                      <w:rFonts w:ascii="Arial" w:hAnsi="Arial"/>
                      <w:b w:val="0"/>
                      <w:color w:val="000000" w:themeColor="text1"/>
                    </w:rPr>
                    <w:t>Coverage of PWIDs with preventive programs (%)</w:t>
                  </w:r>
                </w:p>
              </w:tc>
              <w:tc>
                <w:tcPr>
                  <w:tcW w:w="1272" w:type="dxa"/>
                </w:tcPr>
                <w:p w14:paraId="343F210D"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60</w:t>
                  </w:r>
                </w:p>
              </w:tc>
              <w:tc>
                <w:tcPr>
                  <w:tcW w:w="1134" w:type="dxa"/>
                </w:tcPr>
                <w:p w14:paraId="74E3BEFE"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60</w:t>
                  </w:r>
                </w:p>
              </w:tc>
            </w:tr>
            <w:tr w:rsidR="00F2357C" w:rsidRPr="009A252F" w14:paraId="0F1CC5B7" w14:textId="77777777" w:rsidTr="00F2357C">
              <w:tc>
                <w:tcPr>
                  <w:tcW w:w="5935" w:type="dxa"/>
                </w:tcPr>
                <w:p w14:paraId="3E24CC6E" w14:textId="77777777" w:rsidR="00F07297" w:rsidRPr="00F2357C" w:rsidRDefault="00F07297" w:rsidP="00F2357C">
                  <w:pPr>
                    <w:tabs>
                      <w:tab w:val="left" w:pos="360"/>
                    </w:tabs>
                    <w:spacing w:after="0" w:line="240" w:lineRule="auto"/>
                    <w:jc w:val="both"/>
                    <w:rPr>
                      <w:rFonts w:ascii="Arial" w:hAnsi="Arial"/>
                      <w:b w:val="0"/>
                      <w:color w:val="000000" w:themeColor="text1"/>
                      <w:sz w:val="22"/>
                      <w:szCs w:val="22"/>
                    </w:rPr>
                  </w:pPr>
                  <w:r w:rsidRPr="00F2357C">
                    <w:rPr>
                      <w:rFonts w:ascii="Arial" w:hAnsi="Arial"/>
                      <w:b w:val="0"/>
                      <w:color w:val="000000" w:themeColor="text1"/>
                    </w:rPr>
                    <w:t>Coverage of SW with preventive programs (%)</w:t>
                  </w:r>
                </w:p>
              </w:tc>
              <w:tc>
                <w:tcPr>
                  <w:tcW w:w="1272" w:type="dxa"/>
                </w:tcPr>
                <w:p w14:paraId="24C35EB2"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80</w:t>
                  </w:r>
                </w:p>
              </w:tc>
              <w:tc>
                <w:tcPr>
                  <w:tcW w:w="1134" w:type="dxa"/>
                </w:tcPr>
                <w:p w14:paraId="7614981F"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80</w:t>
                  </w:r>
                </w:p>
              </w:tc>
            </w:tr>
            <w:tr w:rsidR="00F2357C" w:rsidRPr="009A252F" w14:paraId="77CDEE48" w14:textId="77777777" w:rsidTr="00F2357C">
              <w:tc>
                <w:tcPr>
                  <w:tcW w:w="5935" w:type="dxa"/>
                </w:tcPr>
                <w:p w14:paraId="5DD9B90C" w14:textId="77777777" w:rsidR="00F07297" w:rsidRPr="00F2357C" w:rsidRDefault="00F07297" w:rsidP="00F2357C">
                  <w:pPr>
                    <w:tabs>
                      <w:tab w:val="left" w:pos="360"/>
                    </w:tabs>
                    <w:spacing w:after="0" w:line="240" w:lineRule="auto"/>
                    <w:jc w:val="both"/>
                    <w:rPr>
                      <w:rFonts w:ascii="Arial" w:hAnsi="Arial"/>
                      <w:b w:val="0"/>
                      <w:color w:val="000000" w:themeColor="text1"/>
                      <w:sz w:val="22"/>
                      <w:szCs w:val="22"/>
                    </w:rPr>
                  </w:pPr>
                  <w:r w:rsidRPr="00F2357C">
                    <w:rPr>
                      <w:rFonts w:ascii="Arial" w:hAnsi="Arial"/>
                      <w:b w:val="0"/>
                      <w:color w:val="000000" w:themeColor="text1"/>
                    </w:rPr>
                    <w:t>Coverage of MSM with preventive programs (%)</w:t>
                  </w:r>
                </w:p>
              </w:tc>
              <w:tc>
                <w:tcPr>
                  <w:tcW w:w="1272" w:type="dxa"/>
                </w:tcPr>
                <w:p w14:paraId="049CEAB6"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10</w:t>
                  </w:r>
                </w:p>
              </w:tc>
              <w:tc>
                <w:tcPr>
                  <w:tcW w:w="1134" w:type="dxa"/>
                </w:tcPr>
                <w:p w14:paraId="12E50A6F"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20</w:t>
                  </w:r>
                </w:p>
              </w:tc>
            </w:tr>
            <w:tr w:rsidR="00F2357C" w:rsidRPr="009A252F" w14:paraId="0ACAAA18" w14:textId="77777777" w:rsidTr="00F2357C">
              <w:tc>
                <w:tcPr>
                  <w:tcW w:w="5935" w:type="dxa"/>
                </w:tcPr>
                <w:p w14:paraId="323B3592" w14:textId="77777777" w:rsidR="00F07297" w:rsidRPr="00F2357C" w:rsidRDefault="00F07297" w:rsidP="00F2357C">
                  <w:pPr>
                    <w:tabs>
                      <w:tab w:val="left" w:pos="360"/>
                    </w:tabs>
                    <w:spacing w:after="0" w:line="240" w:lineRule="auto"/>
                    <w:jc w:val="both"/>
                    <w:rPr>
                      <w:rFonts w:ascii="Arial" w:hAnsi="Arial"/>
                      <w:b w:val="0"/>
                      <w:color w:val="000000" w:themeColor="text1"/>
                      <w:sz w:val="22"/>
                      <w:szCs w:val="22"/>
                    </w:rPr>
                  </w:pPr>
                  <w:r w:rsidRPr="00F2357C">
                    <w:rPr>
                      <w:rFonts w:ascii="Arial" w:hAnsi="Arial"/>
                      <w:b w:val="0"/>
                      <w:color w:val="000000" w:themeColor="text1"/>
                    </w:rPr>
                    <w:t xml:space="preserve">PLHIV should </w:t>
                  </w:r>
                  <w:r w:rsidRPr="00F2357C">
                    <w:rPr>
                      <w:rFonts w:ascii="Arial" w:hAnsi="Arial"/>
                      <w:b w:val="0"/>
                    </w:rPr>
                    <w:t>know their HIV status</w:t>
                  </w:r>
                  <w:r w:rsidRPr="00F2357C">
                    <w:rPr>
                      <w:rFonts w:ascii="Arial" w:hAnsi="Arial"/>
                      <w:b w:val="0"/>
                      <w:color w:val="000000" w:themeColor="text1"/>
                    </w:rPr>
                    <w:t xml:space="preserve"> (%)</w:t>
                  </w:r>
                </w:p>
              </w:tc>
              <w:tc>
                <w:tcPr>
                  <w:tcW w:w="1272" w:type="dxa"/>
                </w:tcPr>
                <w:p w14:paraId="2482EDCB"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90</w:t>
                  </w:r>
                </w:p>
              </w:tc>
              <w:tc>
                <w:tcPr>
                  <w:tcW w:w="1134" w:type="dxa"/>
                </w:tcPr>
                <w:p w14:paraId="4DE950B9"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95</w:t>
                  </w:r>
                </w:p>
              </w:tc>
            </w:tr>
            <w:tr w:rsidR="00F2357C" w:rsidRPr="009A252F" w14:paraId="6DEC542E" w14:textId="77777777" w:rsidTr="00F2357C">
              <w:tc>
                <w:tcPr>
                  <w:tcW w:w="5935" w:type="dxa"/>
                </w:tcPr>
                <w:p w14:paraId="1BEC08E1" w14:textId="77777777" w:rsidR="00F07297" w:rsidRPr="00F2357C" w:rsidRDefault="00F07297" w:rsidP="00F2357C">
                  <w:pPr>
                    <w:tabs>
                      <w:tab w:val="left" w:pos="360"/>
                    </w:tabs>
                    <w:spacing w:after="0" w:line="240" w:lineRule="auto"/>
                    <w:jc w:val="both"/>
                    <w:rPr>
                      <w:rFonts w:ascii="Arial" w:hAnsi="Arial"/>
                      <w:b w:val="0"/>
                      <w:color w:val="000000" w:themeColor="text1"/>
                      <w:sz w:val="22"/>
                      <w:szCs w:val="22"/>
                    </w:rPr>
                  </w:pPr>
                  <w:r w:rsidRPr="00F2357C">
                    <w:rPr>
                      <w:rFonts w:ascii="Arial" w:hAnsi="Arial"/>
                      <w:b w:val="0"/>
                      <w:color w:val="000000" w:themeColor="text1"/>
                    </w:rPr>
                    <w:t>The level of perinatal transmission (%)</w:t>
                  </w:r>
                </w:p>
              </w:tc>
              <w:tc>
                <w:tcPr>
                  <w:tcW w:w="1272" w:type="dxa"/>
                </w:tcPr>
                <w:p w14:paraId="491D4F05"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bCs/>
                      <w:color w:val="000000" w:themeColor="text1"/>
                    </w:rPr>
                    <w:t>≤ 2,0</w:t>
                  </w:r>
                </w:p>
              </w:tc>
              <w:tc>
                <w:tcPr>
                  <w:tcW w:w="1134" w:type="dxa"/>
                </w:tcPr>
                <w:p w14:paraId="046D3DE6"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0</w:t>
                  </w:r>
                </w:p>
              </w:tc>
            </w:tr>
            <w:tr w:rsidR="00F2357C" w:rsidRPr="009A252F" w14:paraId="4655CFF8" w14:textId="77777777" w:rsidTr="00F2357C">
              <w:tc>
                <w:tcPr>
                  <w:tcW w:w="5935" w:type="dxa"/>
                </w:tcPr>
                <w:p w14:paraId="1E664852" w14:textId="77777777" w:rsidR="00F07297" w:rsidRPr="00F2357C" w:rsidRDefault="00F07297" w:rsidP="00F2357C">
                  <w:pPr>
                    <w:tabs>
                      <w:tab w:val="left" w:pos="360"/>
                    </w:tabs>
                    <w:spacing w:after="0" w:line="240" w:lineRule="auto"/>
                    <w:jc w:val="both"/>
                    <w:rPr>
                      <w:rFonts w:ascii="Arial" w:hAnsi="Arial"/>
                      <w:b w:val="0"/>
                      <w:color w:val="000000" w:themeColor="text1"/>
                      <w:sz w:val="22"/>
                      <w:szCs w:val="22"/>
                    </w:rPr>
                  </w:pPr>
                  <w:r w:rsidRPr="00F2357C">
                    <w:rPr>
                      <w:rFonts w:ascii="Arial" w:hAnsi="Arial"/>
                      <w:b w:val="0"/>
                      <w:color w:val="000000" w:themeColor="text1"/>
                    </w:rPr>
                    <w:t>Coverage of ART (%)</w:t>
                  </w:r>
                </w:p>
              </w:tc>
              <w:tc>
                <w:tcPr>
                  <w:tcW w:w="1272" w:type="dxa"/>
                </w:tcPr>
                <w:p w14:paraId="54F142EF"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90</w:t>
                  </w:r>
                </w:p>
              </w:tc>
              <w:tc>
                <w:tcPr>
                  <w:tcW w:w="1134" w:type="dxa"/>
                </w:tcPr>
                <w:p w14:paraId="46A1C029"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95</w:t>
                  </w:r>
                </w:p>
              </w:tc>
            </w:tr>
            <w:tr w:rsidR="00F2357C" w:rsidRPr="009A252F" w14:paraId="5614290D" w14:textId="77777777" w:rsidTr="00F2357C">
              <w:tc>
                <w:tcPr>
                  <w:tcW w:w="5935" w:type="dxa"/>
                </w:tcPr>
                <w:p w14:paraId="65182639" w14:textId="77777777" w:rsidR="00F07297" w:rsidRPr="00F2357C" w:rsidRDefault="00F07297" w:rsidP="00F2357C">
                  <w:pPr>
                    <w:tabs>
                      <w:tab w:val="left" w:pos="360"/>
                    </w:tabs>
                    <w:spacing w:after="0" w:line="240" w:lineRule="auto"/>
                    <w:jc w:val="both"/>
                    <w:rPr>
                      <w:rFonts w:ascii="Arial" w:hAnsi="Arial"/>
                      <w:b w:val="0"/>
                      <w:color w:val="000000" w:themeColor="text1"/>
                      <w:sz w:val="22"/>
                      <w:szCs w:val="22"/>
                    </w:rPr>
                  </w:pPr>
                  <w:r w:rsidRPr="00F2357C">
                    <w:rPr>
                      <w:rFonts w:ascii="Arial" w:hAnsi="Arial"/>
                      <w:b w:val="0"/>
                      <w:color w:val="000000" w:themeColor="text1"/>
                    </w:rPr>
                    <w:t>In PLHIV receiving ART will be suppression of viral load (%)</w:t>
                  </w:r>
                </w:p>
              </w:tc>
              <w:tc>
                <w:tcPr>
                  <w:tcW w:w="1272" w:type="dxa"/>
                </w:tcPr>
                <w:p w14:paraId="6A7F3D55"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90</w:t>
                  </w:r>
                </w:p>
              </w:tc>
              <w:tc>
                <w:tcPr>
                  <w:tcW w:w="1134" w:type="dxa"/>
                </w:tcPr>
                <w:p w14:paraId="2E60E3E9"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color w:val="000000" w:themeColor="text1"/>
                    </w:rPr>
                    <w:t>95</w:t>
                  </w:r>
                </w:p>
              </w:tc>
            </w:tr>
            <w:tr w:rsidR="00F2357C" w:rsidRPr="009A252F" w14:paraId="79B8CE28" w14:textId="77777777" w:rsidTr="00F2357C">
              <w:tc>
                <w:tcPr>
                  <w:tcW w:w="5935" w:type="dxa"/>
                </w:tcPr>
                <w:p w14:paraId="5E77B588" w14:textId="77777777" w:rsidR="00F07297" w:rsidRPr="00F2357C" w:rsidRDefault="00F07297" w:rsidP="00F2357C">
                  <w:pPr>
                    <w:tabs>
                      <w:tab w:val="left" w:pos="360"/>
                    </w:tabs>
                    <w:spacing w:after="0" w:line="240" w:lineRule="auto"/>
                    <w:jc w:val="both"/>
                    <w:rPr>
                      <w:rFonts w:ascii="Arial" w:hAnsi="Arial"/>
                      <w:b w:val="0"/>
                      <w:color w:val="000000" w:themeColor="text1"/>
                      <w:sz w:val="22"/>
                      <w:szCs w:val="22"/>
                    </w:rPr>
                  </w:pPr>
                  <w:r w:rsidRPr="00F2357C">
                    <w:rPr>
                      <w:rFonts w:ascii="Arial" w:hAnsi="Arial"/>
                      <w:b w:val="0"/>
                      <w:color w:val="000000" w:themeColor="text1"/>
                    </w:rPr>
                    <w:t>AIDS mortality per 100 thousand population</w:t>
                  </w:r>
                </w:p>
              </w:tc>
              <w:tc>
                <w:tcPr>
                  <w:tcW w:w="1272" w:type="dxa"/>
                </w:tcPr>
                <w:p w14:paraId="317C0C22"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bCs/>
                      <w:color w:val="000000" w:themeColor="text1"/>
                    </w:rPr>
                    <w:t>≤ 0,1</w:t>
                  </w:r>
                </w:p>
              </w:tc>
              <w:tc>
                <w:tcPr>
                  <w:tcW w:w="1134" w:type="dxa"/>
                </w:tcPr>
                <w:p w14:paraId="7EEA3323" w14:textId="77777777" w:rsidR="00F07297" w:rsidRPr="00F2357C" w:rsidRDefault="00F07297" w:rsidP="00F2357C">
                  <w:pPr>
                    <w:tabs>
                      <w:tab w:val="left" w:pos="360"/>
                    </w:tabs>
                    <w:spacing w:after="0" w:line="240" w:lineRule="auto"/>
                    <w:jc w:val="right"/>
                    <w:rPr>
                      <w:rFonts w:ascii="Arial" w:hAnsi="Arial"/>
                      <w:b w:val="0"/>
                      <w:color w:val="000000" w:themeColor="text1"/>
                      <w:sz w:val="22"/>
                      <w:szCs w:val="22"/>
                    </w:rPr>
                  </w:pPr>
                  <w:r w:rsidRPr="00F2357C">
                    <w:rPr>
                      <w:rFonts w:ascii="Arial" w:hAnsi="Arial"/>
                      <w:b w:val="0"/>
                      <w:bCs/>
                      <w:color w:val="000000" w:themeColor="text1"/>
                    </w:rPr>
                    <w:t>≤ 0,01</w:t>
                  </w:r>
                </w:p>
              </w:tc>
            </w:tr>
          </w:tbl>
          <w:p w14:paraId="0298BBCF" w14:textId="77777777" w:rsidR="00F07297" w:rsidRPr="00F7530F" w:rsidRDefault="00F07297" w:rsidP="005F795F">
            <w:pPr>
              <w:spacing w:after="0" w:line="240" w:lineRule="auto"/>
              <w:jc w:val="both"/>
              <w:rPr>
                <w:rFonts w:ascii="Arial" w:hAnsi="Arial"/>
                <w:b w:val="0"/>
                <w:sz w:val="10"/>
                <w:szCs w:val="10"/>
              </w:rPr>
            </w:pPr>
          </w:p>
          <w:p w14:paraId="34E48B4F" w14:textId="05C822EC" w:rsidR="003F4580" w:rsidRPr="003F4580" w:rsidRDefault="003F4580" w:rsidP="005F795F">
            <w:pPr>
              <w:pStyle w:val="ListParagraph"/>
              <w:numPr>
                <w:ilvl w:val="0"/>
                <w:numId w:val="9"/>
              </w:numPr>
              <w:spacing w:after="0" w:line="240" w:lineRule="auto"/>
              <w:jc w:val="both"/>
              <w:rPr>
                <w:rFonts w:ascii="Arial" w:hAnsi="Arial"/>
                <w:b w:val="0"/>
              </w:rPr>
            </w:pPr>
            <w:r w:rsidRPr="003F4580">
              <w:rPr>
                <w:rFonts w:ascii="Arial" w:hAnsi="Arial"/>
                <w:b w:val="0"/>
              </w:rPr>
              <w:t xml:space="preserve">Health care reform has been </w:t>
            </w:r>
            <w:r>
              <w:rPr>
                <w:rFonts w:ascii="Arial" w:hAnsi="Arial"/>
                <w:b w:val="0"/>
              </w:rPr>
              <w:t xml:space="preserve">steadily progressing, including </w:t>
            </w:r>
            <w:r w:rsidRPr="003F4580">
              <w:rPr>
                <w:rFonts w:ascii="Arial" w:hAnsi="Arial"/>
                <w:b w:val="0"/>
              </w:rPr>
              <w:t xml:space="preserve">health finance reform for PHC </w:t>
            </w:r>
            <w:r>
              <w:rPr>
                <w:rFonts w:ascii="Arial" w:hAnsi="Arial"/>
                <w:b w:val="0"/>
              </w:rPr>
              <w:t>to</w:t>
            </w:r>
            <w:r w:rsidRPr="003F4580">
              <w:rPr>
                <w:rFonts w:ascii="Arial" w:hAnsi="Arial"/>
                <w:b w:val="0"/>
              </w:rPr>
              <w:t xml:space="preserve"> allow reimbursement for the service based on capitation approach</w:t>
            </w:r>
            <w:r>
              <w:rPr>
                <w:rFonts w:ascii="Arial" w:hAnsi="Arial"/>
                <w:b w:val="0"/>
              </w:rPr>
              <w:t xml:space="preserve"> and promote further decentralization of services.</w:t>
            </w:r>
          </w:p>
          <w:p w14:paraId="4A95A3BD" w14:textId="39D50F75" w:rsidR="003F4580" w:rsidRDefault="00FC6485" w:rsidP="008552E5">
            <w:pPr>
              <w:pStyle w:val="ListParagraph"/>
              <w:numPr>
                <w:ilvl w:val="0"/>
                <w:numId w:val="9"/>
              </w:numPr>
              <w:spacing w:before="120" w:after="120" w:line="240" w:lineRule="auto"/>
              <w:jc w:val="both"/>
              <w:rPr>
                <w:rFonts w:ascii="Arial" w:hAnsi="Arial"/>
                <w:b w:val="0"/>
              </w:rPr>
            </w:pPr>
            <w:r>
              <w:rPr>
                <w:rFonts w:ascii="Arial" w:hAnsi="Arial"/>
                <w:b w:val="0"/>
              </w:rPr>
              <w:t>Human rights evidence based and g</w:t>
            </w:r>
            <w:r w:rsidR="003F4580" w:rsidRPr="003F4580">
              <w:rPr>
                <w:rFonts w:ascii="Arial" w:hAnsi="Arial"/>
                <w:b w:val="0"/>
              </w:rPr>
              <w:t xml:space="preserve">ender-sensitive approaches are increasingly used in </w:t>
            </w:r>
            <w:r w:rsidR="003F4580">
              <w:rPr>
                <w:rFonts w:ascii="Arial" w:hAnsi="Arial"/>
                <w:b w:val="0"/>
              </w:rPr>
              <w:t xml:space="preserve">Kazakhstan </w:t>
            </w:r>
            <w:r w:rsidR="003F4580" w:rsidRPr="003F4580">
              <w:rPr>
                <w:rFonts w:ascii="Arial" w:hAnsi="Arial"/>
                <w:b w:val="0"/>
              </w:rPr>
              <w:t xml:space="preserve">during development of different national policies, regulations and programs, including disease specific. The </w:t>
            </w:r>
            <w:r w:rsidR="003F4580" w:rsidRPr="00FF5A82">
              <w:rPr>
                <w:rFonts w:ascii="Arial" w:hAnsi="Arial"/>
                <w:b w:val="0"/>
              </w:rPr>
              <w:t>national program</w:t>
            </w:r>
            <w:r w:rsidR="003F4580">
              <w:rPr>
                <w:rFonts w:ascii="Arial" w:hAnsi="Arial"/>
                <w:b w:val="0"/>
              </w:rPr>
              <w:t xml:space="preserve"> </w:t>
            </w:r>
            <w:r w:rsidR="005F795F">
              <w:rPr>
                <w:rFonts w:ascii="Arial" w:hAnsi="Arial"/>
                <w:b w:val="0"/>
              </w:rPr>
              <w:t>for</w:t>
            </w:r>
            <w:r w:rsidR="006E1427">
              <w:rPr>
                <w:rFonts w:ascii="Arial" w:hAnsi="Arial"/>
                <w:b w:val="0"/>
              </w:rPr>
              <w:t xml:space="preserve"> accelerated measure</w:t>
            </w:r>
            <w:r w:rsidR="005F795F">
              <w:rPr>
                <w:rFonts w:ascii="Arial" w:hAnsi="Arial"/>
                <w:b w:val="0"/>
              </w:rPr>
              <w:t>s</w:t>
            </w:r>
            <w:r w:rsidR="006E1427">
              <w:rPr>
                <w:rFonts w:ascii="Arial" w:hAnsi="Arial"/>
                <w:b w:val="0"/>
              </w:rPr>
              <w:t xml:space="preserve"> </w:t>
            </w:r>
            <w:r>
              <w:rPr>
                <w:rFonts w:ascii="Arial" w:hAnsi="Arial"/>
                <w:b w:val="0"/>
              </w:rPr>
              <w:t>and</w:t>
            </w:r>
            <w:r w:rsidR="005F795F">
              <w:rPr>
                <w:rFonts w:ascii="Arial" w:hAnsi="Arial"/>
                <w:b w:val="0"/>
              </w:rPr>
              <w:t xml:space="preserve"> the roadmap implementation </w:t>
            </w:r>
            <w:r w:rsidR="003F4580" w:rsidRPr="003F4580">
              <w:rPr>
                <w:rFonts w:ascii="Arial" w:hAnsi="Arial"/>
                <w:b w:val="0"/>
              </w:rPr>
              <w:t xml:space="preserve">included specific activities in addressing potential legal barriers to care, communication and de-stigmatization through innovative patient-centered approaches. </w:t>
            </w:r>
            <w:r w:rsidR="003F4580">
              <w:rPr>
                <w:rFonts w:ascii="Arial" w:hAnsi="Arial"/>
                <w:b w:val="0"/>
              </w:rPr>
              <w:t>It</w:t>
            </w:r>
            <w:r w:rsidR="003F4580" w:rsidRPr="003F4580">
              <w:rPr>
                <w:rFonts w:ascii="Arial" w:hAnsi="Arial"/>
                <w:b w:val="0"/>
              </w:rPr>
              <w:t xml:space="preserve"> is based on respect of human rights, gender equality and non-discrimination and promotes participation of civil society and communities. </w:t>
            </w:r>
            <w:r w:rsidR="005344EC">
              <w:rPr>
                <w:rFonts w:ascii="Arial" w:hAnsi="Arial"/>
                <w:b w:val="0"/>
              </w:rPr>
              <w:t xml:space="preserve">The national M&amp;E framework include </w:t>
            </w:r>
            <w:r w:rsidR="005F795F">
              <w:rPr>
                <w:rFonts w:ascii="Arial" w:hAnsi="Arial"/>
                <w:b w:val="0"/>
              </w:rPr>
              <w:t>gender desegregated data for</w:t>
            </w:r>
            <w:r w:rsidR="009209DB">
              <w:rPr>
                <w:rFonts w:ascii="Arial" w:hAnsi="Arial"/>
                <w:b w:val="0"/>
              </w:rPr>
              <w:t xml:space="preserve"> most affected </w:t>
            </w:r>
            <w:r w:rsidR="009209DB">
              <w:rPr>
                <w:rFonts w:ascii="Arial" w:hAnsi="Arial"/>
                <w:b w:val="0"/>
              </w:rPr>
              <w:lastRenderedPageBreak/>
              <w:t xml:space="preserve">populations, thus ensuring gender is quantified, measured and used to plan and design focused interventions. </w:t>
            </w:r>
          </w:p>
          <w:p w14:paraId="67C5F501" w14:textId="7BC3D87F" w:rsidR="00305DC2" w:rsidRPr="0090220F" w:rsidRDefault="00305DC2" w:rsidP="00305DC2">
            <w:pPr>
              <w:pStyle w:val="ListParagraph"/>
              <w:numPr>
                <w:ilvl w:val="0"/>
                <w:numId w:val="9"/>
              </w:numPr>
              <w:spacing w:after="0" w:line="240" w:lineRule="auto"/>
              <w:jc w:val="both"/>
              <w:rPr>
                <w:rFonts w:ascii="Arial" w:hAnsi="Arial"/>
                <w:b w:val="0"/>
              </w:rPr>
            </w:pPr>
            <w:r w:rsidRPr="00723A1A">
              <w:rPr>
                <w:rFonts w:ascii="Arial" w:hAnsi="Arial"/>
                <w:b w:val="0"/>
              </w:rPr>
              <w:t>There is strong NGOs potential in Kazakhstan, 49 active NGOs</w:t>
            </w:r>
            <w:r>
              <w:rPr>
                <w:rFonts w:ascii="Arial" w:hAnsi="Arial"/>
                <w:b w:val="0"/>
              </w:rPr>
              <w:t>, including 5 international,</w:t>
            </w:r>
            <w:r w:rsidRPr="00723A1A">
              <w:rPr>
                <w:rFonts w:ascii="Arial" w:hAnsi="Arial"/>
                <w:b w:val="0"/>
              </w:rPr>
              <w:t xml:space="preserve"> were involved in HIV field in 2016, including </w:t>
            </w:r>
            <w:r w:rsidR="00FC6485">
              <w:rPr>
                <w:rFonts w:ascii="Arial" w:hAnsi="Arial"/>
                <w:b w:val="0"/>
              </w:rPr>
              <w:t>KP</w:t>
            </w:r>
            <w:r w:rsidRPr="00723A1A">
              <w:rPr>
                <w:rFonts w:ascii="Arial" w:hAnsi="Arial"/>
                <w:b w:val="0"/>
              </w:rPr>
              <w:t xml:space="preserve"> focused HIV prevention and care</w:t>
            </w:r>
            <w:r w:rsidR="00FC6485">
              <w:rPr>
                <w:rFonts w:ascii="Arial" w:hAnsi="Arial"/>
                <w:b w:val="0"/>
              </w:rPr>
              <w:t xml:space="preserve"> </w:t>
            </w:r>
            <w:r w:rsidRPr="00723A1A">
              <w:rPr>
                <w:rFonts w:ascii="Arial" w:hAnsi="Arial"/>
                <w:b w:val="0"/>
              </w:rPr>
              <w:t>(PWID-19, SW-7, MSM-2, detainees-6, PLHIV-16) predominantly supported from external funding. The r</w:t>
            </w:r>
            <w:r w:rsidRPr="0090220F">
              <w:rPr>
                <w:rFonts w:ascii="Arial" w:hAnsi="Arial"/>
                <w:b w:val="0"/>
              </w:rPr>
              <w:t xml:space="preserve">ole </w:t>
            </w:r>
            <w:r w:rsidRPr="00723A1A">
              <w:rPr>
                <w:rFonts w:ascii="Arial" w:hAnsi="Arial"/>
                <w:b w:val="0"/>
              </w:rPr>
              <w:t xml:space="preserve">and contribution </w:t>
            </w:r>
            <w:r w:rsidRPr="0090220F">
              <w:rPr>
                <w:rFonts w:ascii="Arial" w:hAnsi="Arial"/>
                <w:b w:val="0"/>
              </w:rPr>
              <w:t xml:space="preserve">of the civil society </w:t>
            </w:r>
            <w:r w:rsidR="005F795F">
              <w:rPr>
                <w:rFonts w:ascii="Arial" w:hAnsi="Arial"/>
                <w:b w:val="0"/>
              </w:rPr>
              <w:t xml:space="preserve">to deliver HIV prevention, care and support </w:t>
            </w:r>
            <w:r w:rsidRPr="0090220F">
              <w:rPr>
                <w:rFonts w:ascii="Arial" w:hAnsi="Arial"/>
                <w:b w:val="0"/>
              </w:rPr>
              <w:t>remains insufficient</w:t>
            </w:r>
            <w:r w:rsidR="005F795F">
              <w:rPr>
                <w:rFonts w:ascii="Arial" w:hAnsi="Arial"/>
                <w:b w:val="0"/>
              </w:rPr>
              <w:t>ly valued by the G</w:t>
            </w:r>
            <w:r w:rsidRPr="00723A1A">
              <w:rPr>
                <w:rFonts w:ascii="Arial" w:hAnsi="Arial"/>
                <w:b w:val="0"/>
              </w:rPr>
              <w:t>overnment</w:t>
            </w:r>
            <w:r w:rsidRPr="0090220F">
              <w:rPr>
                <w:rFonts w:ascii="Arial" w:hAnsi="Arial"/>
                <w:b w:val="0"/>
              </w:rPr>
              <w:t>; this is applicable to both civil and the penitentiary s</w:t>
            </w:r>
            <w:r w:rsidR="005F795F">
              <w:rPr>
                <w:rFonts w:ascii="Arial" w:hAnsi="Arial"/>
                <w:b w:val="0"/>
              </w:rPr>
              <w:t>ectors</w:t>
            </w:r>
            <w:r w:rsidRPr="0090220F">
              <w:rPr>
                <w:rFonts w:ascii="Arial" w:hAnsi="Arial"/>
                <w:b w:val="0"/>
              </w:rPr>
              <w:t>.</w:t>
            </w:r>
          </w:p>
          <w:p w14:paraId="5F1F00F3" w14:textId="178EC9A7" w:rsidR="002E5941" w:rsidRPr="001B7B4D" w:rsidRDefault="005F795F" w:rsidP="008552E5">
            <w:pPr>
              <w:pStyle w:val="ListParagraph"/>
              <w:numPr>
                <w:ilvl w:val="0"/>
                <w:numId w:val="9"/>
              </w:numPr>
              <w:spacing w:before="120" w:after="120" w:line="240" w:lineRule="auto"/>
              <w:jc w:val="both"/>
              <w:rPr>
                <w:rFonts w:ascii="Arial" w:hAnsi="Arial"/>
                <w:b w:val="0"/>
              </w:rPr>
            </w:pPr>
            <w:r>
              <w:rPr>
                <w:rFonts w:ascii="Arial" w:hAnsi="Arial"/>
                <w:b w:val="0"/>
              </w:rPr>
              <w:t>Despite economic uncertainty, t</w:t>
            </w:r>
            <w:r w:rsidR="00645ECF" w:rsidRPr="00923C43">
              <w:rPr>
                <w:rFonts w:ascii="Arial" w:hAnsi="Arial"/>
                <w:b w:val="0"/>
              </w:rPr>
              <w:t xml:space="preserve">he Government has </w:t>
            </w:r>
            <w:r w:rsidR="00EB0BAD" w:rsidRPr="005F795F">
              <w:rPr>
                <w:rFonts w:ascii="Arial" w:hAnsi="Arial"/>
                <w:b w:val="0"/>
              </w:rPr>
              <w:t xml:space="preserve">made strong political and budgetary commitments and </w:t>
            </w:r>
            <w:r w:rsidR="00645ECF" w:rsidRPr="00923C43">
              <w:rPr>
                <w:rFonts w:ascii="Arial" w:hAnsi="Arial"/>
                <w:b w:val="0"/>
              </w:rPr>
              <w:t>significantly increase</w:t>
            </w:r>
            <w:r w:rsidR="002F3578" w:rsidRPr="00923C43">
              <w:rPr>
                <w:rFonts w:ascii="Arial" w:hAnsi="Arial"/>
                <w:b w:val="0"/>
              </w:rPr>
              <w:t>d</w:t>
            </w:r>
            <w:r w:rsidR="00645ECF" w:rsidRPr="00923C43">
              <w:rPr>
                <w:rFonts w:ascii="Arial" w:hAnsi="Arial"/>
                <w:b w:val="0"/>
              </w:rPr>
              <w:t xml:space="preserve"> domestic </w:t>
            </w:r>
            <w:r w:rsidR="002F3578" w:rsidRPr="00923C43">
              <w:rPr>
                <w:rFonts w:ascii="Arial" w:hAnsi="Arial"/>
                <w:b w:val="0"/>
              </w:rPr>
              <w:t>HIV funding</w:t>
            </w:r>
            <w:r w:rsidR="002E5941">
              <w:rPr>
                <w:rFonts w:ascii="Arial" w:hAnsi="Arial"/>
                <w:b w:val="0"/>
              </w:rPr>
              <w:t>, being the major source of f</w:t>
            </w:r>
            <w:r>
              <w:rPr>
                <w:rFonts w:ascii="Arial" w:hAnsi="Arial"/>
                <w:b w:val="0"/>
              </w:rPr>
              <w:t xml:space="preserve">unding </w:t>
            </w:r>
            <w:r w:rsidR="002E5941">
              <w:rPr>
                <w:rFonts w:ascii="Arial" w:hAnsi="Arial"/>
                <w:b w:val="0"/>
              </w:rPr>
              <w:t>for the HIV response (&gt;80%)</w:t>
            </w:r>
            <w:r>
              <w:rPr>
                <w:rFonts w:ascii="Arial" w:hAnsi="Arial"/>
                <w:b w:val="0"/>
              </w:rPr>
              <w:t xml:space="preserve">. </w:t>
            </w:r>
            <w:r w:rsidR="002F3578" w:rsidRPr="00923C43">
              <w:rPr>
                <w:rFonts w:ascii="Arial" w:hAnsi="Arial"/>
                <w:b w:val="0"/>
              </w:rPr>
              <w:t xml:space="preserve">As result, </w:t>
            </w:r>
            <w:r w:rsidR="004314C0">
              <w:rPr>
                <w:rFonts w:ascii="Arial" w:hAnsi="Arial"/>
                <w:b w:val="0"/>
              </w:rPr>
              <w:t xml:space="preserve">Government took responsibility for </w:t>
            </w:r>
            <w:r w:rsidR="004314C0" w:rsidRPr="00923C43">
              <w:rPr>
                <w:rFonts w:ascii="Arial" w:hAnsi="Arial"/>
                <w:b w:val="0"/>
              </w:rPr>
              <w:t>100%</w:t>
            </w:r>
            <w:r w:rsidR="004314C0">
              <w:rPr>
                <w:rFonts w:ascii="Arial" w:hAnsi="Arial"/>
                <w:b w:val="0"/>
              </w:rPr>
              <w:t xml:space="preserve"> </w:t>
            </w:r>
            <w:r w:rsidR="00645ECF" w:rsidRPr="00923C43">
              <w:rPr>
                <w:rFonts w:ascii="Arial" w:hAnsi="Arial"/>
                <w:b w:val="0"/>
              </w:rPr>
              <w:t>A</w:t>
            </w:r>
            <w:r w:rsidR="002F3578" w:rsidRPr="00923C43">
              <w:rPr>
                <w:rFonts w:ascii="Arial" w:hAnsi="Arial"/>
                <w:b w:val="0"/>
              </w:rPr>
              <w:t xml:space="preserve">RT funding </w:t>
            </w:r>
            <w:r w:rsidR="004314C0">
              <w:rPr>
                <w:rFonts w:ascii="Arial" w:hAnsi="Arial"/>
                <w:b w:val="0"/>
              </w:rPr>
              <w:t>by</w:t>
            </w:r>
            <w:r w:rsidR="002F3578" w:rsidRPr="00923C43">
              <w:rPr>
                <w:rFonts w:ascii="Arial" w:hAnsi="Arial"/>
                <w:b w:val="0"/>
              </w:rPr>
              <w:t xml:space="preserve"> </w:t>
            </w:r>
            <w:r w:rsidR="006A24CB" w:rsidRPr="00923C43">
              <w:rPr>
                <w:rFonts w:ascii="Arial" w:hAnsi="Arial"/>
                <w:b w:val="0"/>
              </w:rPr>
              <w:t>20</w:t>
            </w:r>
            <w:r w:rsidR="006A24CB">
              <w:rPr>
                <w:rFonts w:ascii="Arial" w:hAnsi="Arial"/>
                <w:b w:val="0"/>
              </w:rPr>
              <w:t>09</w:t>
            </w:r>
            <w:r w:rsidR="002F3578" w:rsidRPr="00923C43">
              <w:rPr>
                <w:rFonts w:ascii="Arial" w:hAnsi="Arial"/>
                <w:b w:val="0"/>
              </w:rPr>
              <w:t>.</w:t>
            </w:r>
            <w:r w:rsidR="00EB0BAD">
              <w:rPr>
                <w:rFonts w:ascii="Arial" w:hAnsi="Arial"/>
                <w:b w:val="0"/>
              </w:rPr>
              <w:t xml:space="preserve"> However</w:t>
            </w:r>
            <w:r>
              <w:rPr>
                <w:rFonts w:ascii="Arial" w:hAnsi="Arial"/>
                <w:b w:val="0"/>
              </w:rPr>
              <w:t>,</w:t>
            </w:r>
            <w:r w:rsidR="00EB0BAD">
              <w:rPr>
                <w:rFonts w:ascii="Arial" w:hAnsi="Arial"/>
                <w:b w:val="0"/>
              </w:rPr>
              <w:t xml:space="preserve"> high cost of ART </w:t>
            </w:r>
            <w:r w:rsidR="00870404">
              <w:rPr>
                <w:rFonts w:ascii="Arial" w:hAnsi="Arial"/>
                <w:b w:val="0"/>
              </w:rPr>
              <w:t xml:space="preserve">primarily </w:t>
            </w:r>
            <w:r w:rsidR="00FF70D9">
              <w:rPr>
                <w:rFonts w:ascii="Arial" w:hAnsi="Arial"/>
                <w:b w:val="0"/>
              </w:rPr>
              <w:t xml:space="preserve">driven by the exclusion of Kazakhstan from voluntary license </w:t>
            </w:r>
            <w:r w:rsidR="00194C72">
              <w:rPr>
                <w:rFonts w:ascii="Arial" w:hAnsi="Arial"/>
                <w:b w:val="0"/>
              </w:rPr>
              <w:t xml:space="preserve">agreements </w:t>
            </w:r>
            <w:r w:rsidR="00FF70D9">
              <w:rPr>
                <w:rFonts w:ascii="Arial" w:hAnsi="Arial"/>
                <w:b w:val="0"/>
              </w:rPr>
              <w:t>due UMIC status</w:t>
            </w:r>
            <w:r>
              <w:rPr>
                <w:rFonts w:ascii="Arial" w:hAnsi="Arial"/>
                <w:b w:val="0"/>
              </w:rPr>
              <w:t>,</w:t>
            </w:r>
            <w:r w:rsidR="00FF70D9">
              <w:rPr>
                <w:rFonts w:ascii="Arial" w:hAnsi="Arial"/>
                <w:b w:val="0"/>
              </w:rPr>
              <w:t xml:space="preserve"> </w:t>
            </w:r>
            <w:r w:rsidR="00194C72">
              <w:rPr>
                <w:rFonts w:ascii="Arial" w:hAnsi="Arial"/>
                <w:b w:val="0"/>
              </w:rPr>
              <w:t>diminish</w:t>
            </w:r>
            <w:r w:rsidR="00F7530F">
              <w:rPr>
                <w:rFonts w:ascii="Arial" w:hAnsi="Arial"/>
                <w:b w:val="0"/>
              </w:rPr>
              <w:t xml:space="preserve">es </w:t>
            </w:r>
            <w:r w:rsidR="00194C72">
              <w:rPr>
                <w:rFonts w:ascii="Arial" w:hAnsi="Arial"/>
                <w:b w:val="0"/>
              </w:rPr>
              <w:t xml:space="preserve">countries economic efforts and </w:t>
            </w:r>
            <w:r w:rsidR="00EB0BAD">
              <w:rPr>
                <w:rFonts w:ascii="Arial" w:hAnsi="Arial"/>
                <w:b w:val="0"/>
              </w:rPr>
              <w:t xml:space="preserve">remains </w:t>
            </w:r>
            <w:r w:rsidR="00194C72">
              <w:rPr>
                <w:rFonts w:ascii="Arial" w:hAnsi="Arial"/>
                <w:b w:val="0"/>
              </w:rPr>
              <w:t>one of the</w:t>
            </w:r>
            <w:r w:rsidR="00EB0BAD">
              <w:rPr>
                <w:rFonts w:ascii="Arial" w:hAnsi="Arial"/>
                <w:b w:val="0"/>
              </w:rPr>
              <w:t xml:space="preserve"> </w:t>
            </w:r>
            <w:r w:rsidR="00194C72">
              <w:rPr>
                <w:rFonts w:ascii="Arial" w:hAnsi="Arial"/>
                <w:b w:val="0"/>
              </w:rPr>
              <w:t xml:space="preserve">major </w:t>
            </w:r>
            <w:r w:rsidR="00EB0BAD">
              <w:rPr>
                <w:rFonts w:ascii="Arial" w:hAnsi="Arial"/>
                <w:b w:val="0"/>
              </w:rPr>
              <w:t>con</w:t>
            </w:r>
            <w:r>
              <w:rPr>
                <w:rFonts w:ascii="Arial" w:hAnsi="Arial"/>
                <w:b w:val="0"/>
              </w:rPr>
              <w:t>cern</w:t>
            </w:r>
            <w:r w:rsidR="00194C72">
              <w:rPr>
                <w:rFonts w:ascii="Arial" w:hAnsi="Arial"/>
                <w:b w:val="0"/>
              </w:rPr>
              <w:t xml:space="preserve">. </w:t>
            </w:r>
            <w:r w:rsidR="00E20779">
              <w:rPr>
                <w:rFonts w:ascii="Arial" w:hAnsi="Arial"/>
                <w:b w:val="0"/>
              </w:rPr>
              <w:t>I</w:t>
            </w:r>
            <w:r w:rsidR="00870404">
              <w:rPr>
                <w:rFonts w:ascii="Arial" w:hAnsi="Arial"/>
                <w:b w:val="0"/>
              </w:rPr>
              <w:t>n 2016</w:t>
            </w:r>
            <w:r>
              <w:rPr>
                <w:rFonts w:ascii="Arial" w:hAnsi="Arial"/>
                <w:b w:val="0"/>
              </w:rPr>
              <w:t>,</w:t>
            </w:r>
            <w:r w:rsidR="00870404">
              <w:rPr>
                <w:rFonts w:ascii="Arial" w:hAnsi="Arial"/>
                <w:b w:val="0"/>
              </w:rPr>
              <w:t xml:space="preserve"> the Government </w:t>
            </w:r>
            <w:r w:rsidR="00C73630">
              <w:rPr>
                <w:rFonts w:ascii="Arial" w:hAnsi="Arial"/>
                <w:b w:val="0"/>
              </w:rPr>
              <w:t>pledged</w:t>
            </w:r>
            <w:r w:rsidR="00E20779">
              <w:rPr>
                <w:rFonts w:ascii="Arial" w:hAnsi="Arial"/>
                <w:b w:val="0"/>
              </w:rPr>
              <w:t xml:space="preserve"> </w:t>
            </w:r>
            <w:r w:rsidR="00870404">
              <w:rPr>
                <w:rFonts w:ascii="Arial" w:hAnsi="Arial"/>
                <w:b w:val="0"/>
              </w:rPr>
              <w:t xml:space="preserve">to procure ART through </w:t>
            </w:r>
            <w:r w:rsidR="00E20779">
              <w:rPr>
                <w:rFonts w:ascii="Arial" w:hAnsi="Arial"/>
                <w:b w:val="0"/>
              </w:rPr>
              <w:t xml:space="preserve">UNICEF </w:t>
            </w:r>
            <w:r>
              <w:rPr>
                <w:rFonts w:ascii="Arial" w:hAnsi="Arial"/>
                <w:b w:val="0"/>
              </w:rPr>
              <w:t xml:space="preserve">to </w:t>
            </w:r>
            <w:r w:rsidR="00870404">
              <w:rPr>
                <w:rFonts w:ascii="Arial" w:hAnsi="Arial"/>
                <w:b w:val="0"/>
              </w:rPr>
              <w:t xml:space="preserve">cover more people with the </w:t>
            </w:r>
            <w:r w:rsidR="00E20779">
              <w:rPr>
                <w:rFonts w:ascii="Arial" w:hAnsi="Arial"/>
                <w:b w:val="0"/>
              </w:rPr>
              <w:t>same</w:t>
            </w:r>
            <w:r w:rsidR="00F87735">
              <w:rPr>
                <w:rFonts w:ascii="Arial" w:hAnsi="Arial"/>
                <w:b w:val="0"/>
              </w:rPr>
              <w:t xml:space="preserve"> budget</w:t>
            </w:r>
            <w:r w:rsidR="00870404">
              <w:rPr>
                <w:rFonts w:ascii="Arial" w:hAnsi="Arial"/>
                <w:b w:val="0"/>
              </w:rPr>
              <w:t xml:space="preserve">. </w:t>
            </w:r>
            <w:r w:rsidR="00E20779">
              <w:rPr>
                <w:rFonts w:ascii="Arial" w:hAnsi="Arial"/>
                <w:b w:val="0"/>
              </w:rPr>
              <w:t xml:space="preserve">Aiming 90% of PLHIV </w:t>
            </w:r>
            <w:r w:rsidR="00E20779" w:rsidRPr="005F795F">
              <w:rPr>
                <w:rFonts w:ascii="Arial" w:hAnsi="Arial"/>
                <w:b w:val="0"/>
              </w:rPr>
              <w:t xml:space="preserve">in treatment by 2020, the country </w:t>
            </w:r>
            <w:r w:rsidR="00F87735" w:rsidRPr="005F795F">
              <w:rPr>
                <w:rFonts w:ascii="Arial" w:hAnsi="Arial"/>
                <w:b w:val="0"/>
              </w:rPr>
              <w:t xml:space="preserve">committed to </w:t>
            </w:r>
            <w:r w:rsidR="00E20779" w:rsidRPr="005F795F">
              <w:rPr>
                <w:rFonts w:ascii="Arial" w:hAnsi="Arial"/>
                <w:b w:val="0"/>
              </w:rPr>
              <w:t xml:space="preserve">further </w:t>
            </w:r>
            <w:r w:rsidR="00F87735" w:rsidRPr="005F795F">
              <w:rPr>
                <w:rFonts w:ascii="Arial" w:hAnsi="Arial"/>
                <w:b w:val="0"/>
              </w:rPr>
              <w:t>explore</w:t>
            </w:r>
            <w:r w:rsidR="00E20779" w:rsidRPr="005F795F">
              <w:rPr>
                <w:rFonts w:ascii="Arial" w:hAnsi="Arial"/>
                <w:b w:val="0"/>
              </w:rPr>
              <w:t xml:space="preserve"> </w:t>
            </w:r>
            <w:r w:rsidR="00E20779" w:rsidRPr="001B7B4D">
              <w:rPr>
                <w:rFonts w:ascii="Arial" w:hAnsi="Arial"/>
                <w:b w:val="0"/>
              </w:rPr>
              <w:t xml:space="preserve">low-cost UN mechanisms, while updating its national protocols to the ‘Test and Treat’ strategy. </w:t>
            </w:r>
          </w:p>
          <w:p w14:paraId="1864A255" w14:textId="252B3E74" w:rsidR="006E1427" w:rsidRPr="00871839" w:rsidRDefault="00D64615" w:rsidP="008552E5">
            <w:pPr>
              <w:pStyle w:val="ListParagraph"/>
              <w:numPr>
                <w:ilvl w:val="0"/>
                <w:numId w:val="9"/>
              </w:numPr>
              <w:spacing w:before="120" w:after="120" w:line="240" w:lineRule="auto"/>
              <w:jc w:val="both"/>
              <w:rPr>
                <w:rFonts w:ascii="Arial" w:hAnsi="Arial"/>
                <w:b w:val="0"/>
              </w:rPr>
            </w:pPr>
            <w:r w:rsidRPr="001B7B4D">
              <w:rPr>
                <w:rFonts w:ascii="Arial" w:hAnsi="Arial"/>
                <w:b w:val="0"/>
              </w:rPr>
              <w:t xml:space="preserve">The number of PLHIV in treatment increased </w:t>
            </w:r>
            <w:r w:rsidR="0018585A" w:rsidRPr="001B7B4D">
              <w:rPr>
                <w:rFonts w:ascii="Arial" w:hAnsi="Arial"/>
                <w:b w:val="0"/>
              </w:rPr>
              <w:t>more than 30</w:t>
            </w:r>
            <w:r w:rsidRPr="001B7B4D">
              <w:rPr>
                <w:rFonts w:ascii="Arial" w:hAnsi="Arial"/>
                <w:b w:val="0"/>
              </w:rPr>
              <w:t xml:space="preserve"> folds over last decade, </w:t>
            </w:r>
            <w:r w:rsidR="0018585A" w:rsidRPr="001B7B4D">
              <w:rPr>
                <w:rFonts w:ascii="Arial" w:hAnsi="Arial"/>
                <w:b w:val="0"/>
              </w:rPr>
              <w:t xml:space="preserve">reaching </w:t>
            </w:r>
            <w:r w:rsidR="009E7FB0" w:rsidRPr="001B7B4D">
              <w:rPr>
                <w:rFonts w:ascii="Arial" w:hAnsi="Arial"/>
                <w:b w:val="0"/>
              </w:rPr>
              <w:t>7,</w:t>
            </w:r>
            <w:r w:rsidR="00763879" w:rsidRPr="001B7B4D">
              <w:rPr>
                <w:rFonts w:ascii="Arial" w:hAnsi="Arial"/>
                <w:b w:val="0"/>
              </w:rPr>
              <w:t>994</w:t>
            </w:r>
            <w:r w:rsidR="009E7FB0" w:rsidRPr="001B7B4D">
              <w:rPr>
                <w:rFonts w:ascii="Arial" w:hAnsi="Arial"/>
                <w:b w:val="0"/>
              </w:rPr>
              <w:t xml:space="preserve"> </w:t>
            </w:r>
            <w:r w:rsidRPr="001B7B4D">
              <w:rPr>
                <w:rFonts w:ascii="Arial" w:hAnsi="Arial"/>
                <w:b w:val="0"/>
              </w:rPr>
              <w:t>in 201</w:t>
            </w:r>
            <w:r w:rsidR="001574BA" w:rsidRPr="001B7B4D">
              <w:rPr>
                <w:rFonts w:ascii="Arial" w:hAnsi="Arial"/>
                <w:b w:val="0"/>
              </w:rPr>
              <w:t>6</w:t>
            </w:r>
            <w:r w:rsidR="00A22C0F" w:rsidRPr="001B7B4D">
              <w:rPr>
                <w:rFonts w:ascii="Arial" w:hAnsi="Arial"/>
                <w:b w:val="0"/>
              </w:rPr>
              <w:t xml:space="preserve">. From the estimated number of 23,000 PLHIV, </w:t>
            </w:r>
            <w:r w:rsidR="00763879" w:rsidRPr="001B7B4D">
              <w:rPr>
                <w:rFonts w:ascii="Arial" w:hAnsi="Arial"/>
                <w:b w:val="0"/>
              </w:rPr>
              <w:t>83</w:t>
            </w:r>
            <w:r w:rsidR="00A22C0F" w:rsidRPr="001B7B4D">
              <w:rPr>
                <w:rFonts w:ascii="Arial" w:hAnsi="Arial"/>
                <w:b w:val="0"/>
              </w:rPr>
              <w:t>% (1</w:t>
            </w:r>
            <w:r w:rsidR="00763879" w:rsidRPr="001B7B4D">
              <w:rPr>
                <w:rFonts w:ascii="Arial" w:hAnsi="Arial"/>
                <w:b w:val="0"/>
              </w:rPr>
              <w:t>9</w:t>
            </w:r>
            <w:r w:rsidR="00A22C0F" w:rsidRPr="001B7B4D">
              <w:rPr>
                <w:rFonts w:ascii="Arial" w:hAnsi="Arial"/>
                <w:b w:val="0"/>
              </w:rPr>
              <w:t>,</w:t>
            </w:r>
            <w:r w:rsidR="00763879" w:rsidRPr="001B7B4D">
              <w:rPr>
                <w:rFonts w:ascii="Arial" w:hAnsi="Arial"/>
                <w:b w:val="0"/>
              </w:rPr>
              <w:t>113</w:t>
            </w:r>
            <w:r w:rsidR="00A22C0F" w:rsidRPr="001B7B4D">
              <w:rPr>
                <w:rFonts w:ascii="Arial" w:hAnsi="Arial"/>
                <w:b w:val="0"/>
              </w:rPr>
              <w:t xml:space="preserve">) know their HIV status and </w:t>
            </w:r>
            <w:r w:rsidR="0025062A" w:rsidRPr="001B7B4D">
              <w:rPr>
                <w:rFonts w:ascii="Arial" w:hAnsi="Arial"/>
                <w:b w:val="0"/>
              </w:rPr>
              <w:t>42</w:t>
            </w:r>
            <w:r w:rsidR="009E7FB0" w:rsidRPr="001B7B4D">
              <w:rPr>
                <w:rFonts w:ascii="Arial" w:hAnsi="Arial"/>
                <w:b w:val="0"/>
              </w:rPr>
              <w:t xml:space="preserve">% </w:t>
            </w:r>
            <w:r w:rsidR="00A22C0F" w:rsidRPr="001B7B4D">
              <w:rPr>
                <w:rFonts w:ascii="Arial" w:hAnsi="Arial"/>
                <w:b w:val="0"/>
              </w:rPr>
              <w:t xml:space="preserve">of them are on ART. </w:t>
            </w:r>
            <w:r w:rsidR="0025062A" w:rsidRPr="001B7B4D">
              <w:rPr>
                <w:rFonts w:ascii="Arial" w:hAnsi="Arial"/>
                <w:b w:val="0"/>
              </w:rPr>
              <w:t xml:space="preserve">At an average 80% retention rate at 12 months after initiating treatment, </w:t>
            </w:r>
            <w:r w:rsidR="00A22C0F" w:rsidRPr="001B7B4D">
              <w:rPr>
                <w:rFonts w:ascii="Arial" w:hAnsi="Arial"/>
                <w:b w:val="0"/>
              </w:rPr>
              <w:t xml:space="preserve">out of those </w:t>
            </w:r>
            <w:r w:rsidR="001B7B4D" w:rsidRPr="001B7B4D">
              <w:rPr>
                <w:rFonts w:ascii="Arial" w:hAnsi="Arial"/>
                <w:b w:val="0"/>
              </w:rPr>
              <w:t xml:space="preserve">in </w:t>
            </w:r>
            <w:r w:rsidR="0025062A" w:rsidRPr="001B7B4D">
              <w:rPr>
                <w:rFonts w:ascii="Arial" w:hAnsi="Arial"/>
                <w:b w:val="0"/>
              </w:rPr>
              <w:t>ART (</w:t>
            </w:r>
            <w:r w:rsidR="00763879" w:rsidRPr="001B7B4D">
              <w:rPr>
                <w:rFonts w:ascii="Arial" w:hAnsi="Arial"/>
                <w:b w:val="0"/>
              </w:rPr>
              <w:t>7,994</w:t>
            </w:r>
            <w:r w:rsidR="0025062A" w:rsidRPr="001B7B4D">
              <w:rPr>
                <w:rFonts w:ascii="Arial" w:hAnsi="Arial"/>
                <w:b w:val="0"/>
              </w:rPr>
              <w:t xml:space="preserve">) - </w:t>
            </w:r>
            <w:r w:rsidR="009E7FB0" w:rsidRPr="001B7B4D">
              <w:rPr>
                <w:rFonts w:ascii="Arial" w:hAnsi="Arial"/>
                <w:b w:val="0"/>
              </w:rPr>
              <w:t>5</w:t>
            </w:r>
            <w:r w:rsidR="001B7B4D" w:rsidRPr="001B7B4D">
              <w:rPr>
                <w:rFonts w:ascii="Arial" w:hAnsi="Arial"/>
                <w:b w:val="0"/>
              </w:rPr>
              <w:t>9</w:t>
            </w:r>
            <w:r w:rsidR="009E7FB0" w:rsidRPr="001B7B4D">
              <w:rPr>
                <w:rFonts w:ascii="Arial" w:hAnsi="Arial"/>
                <w:b w:val="0"/>
              </w:rPr>
              <w:t>% (4,</w:t>
            </w:r>
            <w:r w:rsidR="001B7B4D" w:rsidRPr="001B7B4D">
              <w:rPr>
                <w:rFonts w:ascii="Arial" w:hAnsi="Arial"/>
                <w:b w:val="0"/>
              </w:rPr>
              <w:t>731</w:t>
            </w:r>
            <w:r w:rsidR="009E7FB0" w:rsidRPr="001B7B4D">
              <w:rPr>
                <w:rFonts w:ascii="Arial" w:hAnsi="Arial"/>
                <w:b w:val="0"/>
              </w:rPr>
              <w:t>)</w:t>
            </w:r>
            <w:r w:rsidR="0025062A" w:rsidRPr="001B7B4D">
              <w:rPr>
                <w:rFonts w:ascii="Arial" w:hAnsi="Arial"/>
                <w:b w:val="0"/>
              </w:rPr>
              <w:t xml:space="preserve"> are virally suppressed. </w:t>
            </w:r>
            <w:r w:rsidR="00C6611A" w:rsidRPr="001B7B4D">
              <w:rPr>
                <w:rFonts w:ascii="Arial" w:hAnsi="Arial"/>
                <w:b w:val="0"/>
              </w:rPr>
              <w:t xml:space="preserve">The streamlining of current clinical protocol </w:t>
            </w:r>
            <w:r w:rsidR="00A22C0F" w:rsidRPr="001B7B4D">
              <w:rPr>
                <w:rFonts w:ascii="Arial" w:hAnsi="Arial"/>
                <w:b w:val="0"/>
              </w:rPr>
              <w:t xml:space="preserve">(CD4&gt;500) </w:t>
            </w:r>
            <w:r w:rsidR="00C6611A" w:rsidRPr="001B7B4D">
              <w:rPr>
                <w:rFonts w:ascii="Arial" w:hAnsi="Arial"/>
                <w:b w:val="0"/>
              </w:rPr>
              <w:t xml:space="preserve">to the </w:t>
            </w:r>
            <w:r w:rsidR="00C6611A" w:rsidRPr="005F795F">
              <w:rPr>
                <w:rFonts w:ascii="Arial" w:hAnsi="Arial"/>
                <w:b w:val="0"/>
              </w:rPr>
              <w:t>‘Test and Treat’ strategy, is</w:t>
            </w:r>
            <w:r w:rsidR="00A22C0F" w:rsidRPr="005F795F">
              <w:rPr>
                <w:rFonts w:ascii="Arial" w:hAnsi="Arial"/>
                <w:b w:val="0"/>
              </w:rPr>
              <w:t xml:space="preserve"> only one</w:t>
            </w:r>
            <w:r w:rsidR="00C6611A" w:rsidRPr="005F795F">
              <w:rPr>
                <w:rFonts w:ascii="Arial" w:hAnsi="Arial"/>
                <w:b w:val="0"/>
              </w:rPr>
              <w:t xml:space="preserve"> of the strategic measures the government is committed to put in place</w:t>
            </w:r>
            <w:r w:rsidR="00A22C0F" w:rsidRPr="005F795F">
              <w:rPr>
                <w:rFonts w:ascii="Arial" w:hAnsi="Arial"/>
                <w:b w:val="0"/>
              </w:rPr>
              <w:t xml:space="preserve"> under its 90-90-90 national efforts</w:t>
            </w:r>
            <w:r w:rsidR="00C6611A" w:rsidRPr="005F795F">
              <w:rPr>
                <w:rFonts w:ascii="Arial" w:hAnsi="Arial"/>
                <w:b w:val="0"/>
              </w:rPr>
              <w:t xml:space="preserve">, along with provision of fixed dose combination, scale up </w:t>
            </w:r>
            <w:r w:rsidR="00A22C0F" w:rsidRPr="005F795F">
              <w:rPr>
                <w:rFonts w:ascii="Arial" w:hAnsi="Arial"/>
                <w:b w:val="0"/>
              </w:rPr>
              <w:t xml:space="preserve">of </w:t>
            </w:r>
            <w:r w:rsidR="00C6611A" w:rsidRPr="005F795F">
              <w:rPr>
                <w:rFonts w:ascii="Arial" w:hAnsi="Arial"/>
                <w:b w:val="0"/>
              </w:rPr>
              <w:t xml:space="preserve">testing in KP, linkage to and retention </w:t>
            </w:r>
            <w:r w:rsidR="00A22C0F" w:rsidRPr="005F795F">
              <w:rPr>
                <w:rFonts w:ascii="Arial" w:hAnsi="Arial"/>
                <w:b w:val="0"/>
              </w:rPr>
              <w:t>in</w:t>
            </w:r>
            <w:r w:rsidR="00C6611A" w:rsidRPr="005F795F">
              <w:rPr>
                <w:rFonts w:ascii="Arial" w:hAnsi="Arial"/>
                <w:b w:val="0"/>
              </w:rPr>
              <w:t xml:space="preserve"> care through inc</w:t>
            </w:r>
            <w:r w:rsidR="00A22C0F" w:rsidRPr="005F795F">
              <w:rPr>
                <w:rFonts w:ascii="Arial" w:hAnsi="Arial"/>
                <w:b w:val="0"/>
              </w:rPr>
              <w:t xml:space="preserve">reasing role on </w:t>
            </w:r>
            <w:r w:rsidR="00A22C0F" w:rsidRPr="00871839">
              <w:rPr>
                <w:rFonts w:ascii="Arial" w:hAnsi="Arial"/>
                <w:b w:val="0"/>
              </w:rPr>
              <w:t xml:space="preserve">NGOs, etc.  </w:t>
            </w:r>
          </w:p>
          <w:p w14:paraId="14960A84" w14:textId="03D23D97" w:rsidR="00087CF2" w:rsidRDefault="002F3578" w:rsidP="008552E5">
            <w:pPr>
              <w:pStyle w:val="ListParagraph"/>
              <w:numPr>
                <w:ilvl w:val="0"/>
                <w:numId w:val="9"/>
              </w:numPr>
              <w:spacing w:before="120" w:after="120" w:line="240" w:lineRule="auto"/>
              <w:jc w:val="both"/>
              <w:rPr>
                <w:rFonts w:ascii="Arial" w:hAnsi="Arial"/>
                <w:b w:val="0"/>
              </w:rPr>
            </w:pPr>
            <w:r w:rsidRPr="00871839">
              <w:rPr>
                <w:rFonts w:ascii="Arial" w:hAnsi="Arial"/>
                <w:b w:val="0"/>
              </w:rPr>
              <w:t xml:space="preserve">The country </w:t>
            </w:r>
            <w:r w:rsidR="00645ECF" w:rsidRPr="00871839">
              <w:rPr>
                <w:rFonts w:ascii="Arial" w:hAnsi="Arial"/>
                <w:b w:val="0"/>
              </w:rPr>
              <w:t xml:space="preserve">has achieved </w:t>
            </w:r>
            <w:r w:rsidR="00087CF2" w:rsidRPr="00871839">
              <w:rPr>
                <w:rFonts w:ascii="Arial" w:hAnsi="Arial"/>
                <w:b w:val="0"/>
              </w:rPr>
              <w:t xml:space="preserve">unique </w:t>
            </w:r>
            <w:r w:rsidR="00645ECF" w:rsidRPr="00871839">
              <w:rPr>
                <w:rFonts w:ascii="Arial" w:hAnsi="Arial"/>
                <w:b w:val="0"/>
              </w:rPr>
              <w:t>success</w:t>
            </w:r>
            <w:r w:rsidRPr="00871839">
              <w:rPr>
                <w:rFonts w:ascii="Arial" w:hAnsi="Arial"/>
                <w:b w:val="0"/>
              </w:rPr>
              <w:t xml:space="preserve"> </w:t>
            </w:r>
            <w:r w:rsidR="00087CF2" w:rsidRPr="00871839">
              <w:rPr>
                <w:rFonts w:ascii="Arial" w:hAnsi="Arial"/>
                <w:b w:val="0"/>
              </w:rPr>
              <w:t xml:space="preserve">in the region </w:t>
            </w:r>
            <w:r w:rsidRPr="00871839">
              <w:rPr>
                <w:rFonts w:ascii="Arial" w:hAnsi="Arial"/>
                <w:b w:val="0"/>
              </w:rPr>
              <w:t xml:space="preserve">in transitioning </w:t>
            </w:r>
            <w:r w:rsidR="00087CF2" w:rsidRPr="00871839">
              <w:rPr>
                <w:rFonts w:ascii="Arial" w:hAnsi="Arial"/>
                <w:b w:val="0"/>
              </w:rPr>
              <w:t xml:space="preserve">governmental </w:t>
            </w:r>
            <w:r w:rsidRPr="00871839">
              <w:rPr>
                <w:rFonts w:ascii="Arial" w:hAnsi="Arial"/>
                <w:b w:val="0"/>
              </w:rPr>
              <w:t>funding for K</w:t>
            </w:r>
            <w:r w:rsidR="00645ECF" w:rsidRPr="00871839">
              <w:rPr>
                <w:rFonts w:ascii="Arial" w:hAnsi="Arial"/>
                <w:b w:val="0"/>
              </w:rPr>
              <w:t>P though procurement of basic consumables for preventive services, direct contracting of outreach workers under the AIDS Centers, trust based</w:t>
            </w:r>
            <w:r w:rsidR="00645ECF" w:rsidRPr="00923C43">
              <w:rPr>
                <w:rFonts w:ascii="Arial" w:hAnsi="Arial"/>
                <w:b w:val="0"/>
              </w:rPr>
              <w:t xml:space="preserve"> HTC</w:t>
            </w:r>
            <w:r w:rsidR="00871839">
              <w:rPr>
                <w:rFonts w:ascii="Arial" w:hAnsi="Arial"/>
                <w:b w:val="0"/>
              </w:rPr>
              <w:t xml:space="preserve"> points including rapid testing etc. S</w:t>
            </w:r>
            <w:r w:rsidR="00645ECF" w:rsidRPr="00923C43">
              <w:rPr>
                <w:rFonts w:ascii="Arial" w:hAnsi="Arial"/>
                <w:b w:val="0"/>
              </w:rPr>
              <w:t>till</w:t>
            </w:r>
            <w:r w:rsidR="00871839">
              <w:rPr>
                <w:rFonts w:ascii="Arial" w:hAnsi="Arial"/>
                <w:b w:val="0"/>
              </w:rPr>
              <w:t>,</w:t>
            </w:r>
            <w:r w:rsidR="00645ECF" w:rsidRPr="00923C43">
              <w:rPr>
                <w:rFonts w:ascii="Arial" w:hAnsi="Arial"/>
                <w:b w:val="0"/>
              </w:rPr>
              <w:t xml:space="preserve"> existing mechanism</w:t>
            </w:r>
            <w:r w:rsidR="00871839">
              <w:rPr>
                <w:rFonts w:ascii="Arial" w:hAnsi="Arial"/>
                <w:b w:val="0"/>
              </w:rPr>
              <w:t>s</w:t>
            </w:r>
            <w:r w:rsidR="00645ECF" w:rsidRPr="00923C43">
              <w:rPr>
                <w:rFonts w:ascii="Arial" w:hAnsi="Arial"/>
                <w:b w:val="0"/>
              </w:rPr>
              <w:t xml:space="preserve"> do not allow the country to </w:t>
            </w:r>
            <w:r w:rsidR="00645ECF" w:rsidRPr="00923C43">
              <w:rPr>
                <w:rFonts w:ascii="Arial" w:eastAsia="SimSun" w:hAnsi="Arial"/>
                <w:b w:val="0"/>
                <w:bCs/>
                <w:lang w:eastAsia="zh-CN"/>
              </w:rPr>
              <w:t xml:space="preserve">scale-up evidenced-based interventions for key populations </w:t>
            </w:r>
            <w:r w:rsidR="00645ECF" w:rsidRPr="00923C43">
              <w:rPr>
                <w:rFonts w:ascii="Arial" w:hAnsi="Arial"/>
                <w:b w:val="0"/>
              </w:rPr>
              <w:t xml:space="preserve">and fully address their needs for effective fight against the disease. Preventive services for PWID and SW are available in all territorial units, while services for MSM only in 9 territorial units </w:t>
            </w:r>
            <w:r w:rsidR="000303EE">
              <w:rPr>
                <w:rFonts w:ascii="Arial" w:hAnsi="Arial"/>
                <w:b w:val="0"/>
              </w:rPr>
              <w:t>out of</w:t>
            </w:r>
            <w:r w:rsidR="00645ECF" w:rsidRPr="00923C43">
              <w:rPr>
                <w:rFonts w:ascii="Arial" w:hAnsi="Arial"/>
                <w:b w:val="0"/>
              </w:rPr>
              <w:t xml:space="preserve"> 16. </w:t>
            </w:r>
          </w:p>
          <w:p w14:paraId="7A126B7D" w14:textId="0F6FE7FC" w:rsidR="000E0CE9" w:rsidRDefault="00645ECF" w:rsidP="00F27F01">
            <w:pPr>
              <w:pStyle w:val="ListParagraph"/>
              <w:numPr>
                <w:ilvl w:val="0"/>
                <w:numId w:val="9"/>
              </w:numPr>
              <w:spacing w:before="120" w:after="120" w:line="240" w:lineRule="auto"/>
              <w:jc w:val="both"/>
              <w:rPr>
                <w:rFonts w:ascii="Arial" w:hAnsi="Arial"/>
                <w:b w:val="0"/>
              </w:rPr>
            </w:pPr>
            <w:r w:rsidRPr="00923C43">
              <w:rPr>
                <w:rFonts w:ascii="Arial" w:hAnsi="Arial"/>
                <w:b w:val="0"/>
              </w:rPr>
              <w:t xml:space="preserve">Social contracting </w:t>
            </w:r>
            <w:r w:rsidR="00087CF2">
              <w:rPr>
                <w:rFonts w:ascii="Arial" w:hAnsi="Arial"/>
                <w:b w:val="0"/>
              </w:rPr>
              <w:t xml:space="preserve">mechanism </w:t>
            </w:r>
            <w:r w:rsidR="000E0CE9">
              <w:rPr>
                <w:rFonts w:ascii="Arial" w:hAnsi="Arial"/>
                <w:b w:val="0"/>
              </w:rPr>
              <w:t>for</w:t>
            </w:r>
            <w:r w:rsidR="000E0CE9" w:rsidRPr="00923C43">
              <w:rPr>
                <w:rFonts w:ascii="Arial" w:hAnsi="Arial"/>
                <w:b w:val="0"/>
              </w:rPr>
              <w:t xml:space="preserve"> </w:t>
            </w:r>
            <w:r w:rsidRPr="00923C43">
              <w:rPr>
                <w:rFonts w:ascii="Arial" w:hAnsi="Arial"/>
                <w:b w:val="0"/>
              </w:rPr>
              <w:t>NGOs</w:t>
            </w:r>
            <w:r w:rsidR="00871839">
              <w:rPr>
                <w:rFonts w:ascii="Arial" w:hAnsi="Arial"/>
                <w:b w:val="0"/>
              </w:rPr>
              <w:t xml:space="preserve"> exist. However, </w:t>
            </w:r>
            <w:r w:rsidR="0074174D">
              <w:rPr>
                <w:rFonts w:ascii="Arial" w:hAnsi="Arial"/>
                <w:b w:val="0"/>
              </w:rPr>
              <w:t>it</w:t>
            </w:r>
            <w:r w:rsidR="00871839">
              <w:rPr>
                <w:rFonts w:ascii="Arial" w:hAnsi="Arial"/>
                <w:b w:val="0"/>
              </w:rPr>
              <w:t xml:space="preserve"> </w:t>
            </w:r>
            <w:r w:rsidR="0074174D">
              <w:rPr>
                <w:rFonts w:ascii="Arial" w:hAnsi="Arial"/>
                <w:b w:val="0"/>
              </w:rPr>
              <w:t>is</w:t>
            </w:r>
            <w:r w:rsidRPr="00923C43">
              <w:rPr>
                <w:rFonts w:ascii="Arial" w:hAnsi="Arial"/>
                <w:b w:val="0"/>
              </w:rPr>
              <w:t xml:space="preserve"> </w:t>
            </w:r>
            <w:r w:rsidR="0090220F">
              <w:rPr>
                <w:rFonts w:ascii="Arial" w:hAnsi="Arial"/>
                <w:b w:val="0"/>
              </w:rPr>
              <w:t xml:space="preserve">cumbersome and </w:t>
            </w:r>
            <w:r w:rsidR="0090220F" w:rsidRPr="00923C43">
              <w:rPr>
                <w:rFonts w:ascii="Arial" w:hAnsi="Arial"/>
                <w:b w:val="0"/>
              </w:rPr>
              <w:t xml:space="preserve">accompanied by countless difficulties generated by the constraints of existing </w:t>
            </w:r>
            <w:r w:rsidR="00153648">
              <w:rPr>
                <w:rFonts w:ascii="Arial" w:hAnsi="Arial"/>
                <w:b w:val="0"/>
              </w:rPr>
              <w:t>legal and regulatory</w:t>
            </w:r>
            <w:r w:rsidR="0090220F" w:rsidRPr="00923C43">
              <w:rPr>
                <w:rFonts w:ascii="Arial" w:hAnsi="Arial"/>
                <w:b w:val="0"/>
              </w:rPr>
              <w:t xml:space="preserve"> framework</w:t>
            </w:r>
            <w:r w:rsidR="0090220F">
              <w:rPr>
                <w:rFonts w:ascii="Arial" w:hAnsi="Arial"/>
                <w:b w:val="0"/>
              </w:rPr>
              <w:t xml:space="preserve"> </w:t>
            </w:r>
            <w:r w:rsidR="00C73630">
              <w:rPr>
                <w:rFonts w:ascii="Arial" w:hAnsi="Arial"/>
                <w:b w:val="0"/>
              </w:rPr>
              <w:t>(</w:t>
            </w:r>
            <w:r w:rsidR="00871839">
              <w:rPr>
                <w:rFonts w:ascii="Arial" w:hAnsi="Arial"/>
                <w:b w:val="0"/>
              </w:rPr>
              <w:t>damping</w:t>
            </w:r>
            <w:r w:rsidR="00C73630">
              <w:rPr>
                <w:rFonts w:ascii="Arial" w:hAnsi="Arial"/>
                <w:b w:val="0"/>
              </w:rPr>
              <w:t xml:space="preserve"> provisions</w:t>
            </w:r>
            <w:r w:rsidR="00194B80">
              <w:rPr>
                <w:rFonts w:ascii="Arial" w:hAnsi="Arial"/>
                <w:b w:val="0"/>
              </w:rPr>
              <w:t xml:space="preserve">, </w:t>
            </w:r>
            <w:r w:rsidR="00C73630">
              <w:rPr>
                <w:rFonts w:ascii="Arial" w:hAnsi="Arial"/>
                <w:b w:val="0"/>
              </w:rPr>
              <w:t xml:space="preserve">payment </w:t>
            </w:r>
            <w:r w:rsidR="00194B80">
              <w:rPr>
                <w:rFonts w:ascii="Arial" w:hAnsi="Arial"/>
                <w:b w:val="0"/>
              </w:rPr>
              <w:t>conditions</w:t>
            </w:r>
            <w:r w:rsidR="00C73630">
              <w:rPr>
                <w:rFonts w:ascii="Arial" w:hAnsi="Arial"/>
                <w:b w:val="0"/>
              </w:rPr>
              <w:t xml:space="preserve">, </w:t>
            </w:r>
            <w:r w:rsidR="00305DC2">
              <w:rPr>
                <w:rFonts w:ascii="Arial" w:hAnsi="Arial"/>
                <w:b w:val="0"/>
              </w:rPr>
              <w:t>insensitive selection criteria,</w:t>
            </w:r>
            <w:r w:rsidR="00194B80">
              <w:rPr>
                <w:rFonts w:ascii="Arial" w:hAnsi="Arial"/>
                <w:b w:val="0"/>
              </w:rPr>
              <w:t xml:space="preserve"> contracting periods,</w:t>
            </w:r>
            <w:r w:rsidR="00305DC2">
              <w:rPr>
                <w:rFonts w:ascii="Arial" w:hAnsi="Arial"/>
                <w:b w:val="0"/>
              </w:rPr>
              <w:t xml:space="preserve"> etc.</w:t>
            </w:r>
            <w:r w:rsidR="00C73630">
              <w:rPr>
                <w:rFonts w:ascii="Arial" w:hAnsi="Arial"/>
                <w:b w:val="0"/>
              </w:rPr>
              <w:t>)</w:t>
            </w:r>
            <w:r w:rsidR="00871839">
              <w:rPr>
                <w:rFonts w:ascii="Arial" w:hAnsi="Arial"/>
                <w:b w:val="0"/>
              </w:rPr>
              <w:t>,</w:t>
            </w:r>
            <w:r w:rsidR="00C73630">
              <w:rPr>
                <w:rFonts w:ascii="Arial" w:hAnsi="Arial"/>
                <w:b w:val="0"/>
              </w:rPr>
              <w:t xml:space="preserve"> </w:t>
            </w:r>
            <w:r w:rsidR="0090220F">
              <w:rPr>
                <w:rFonts w:ascii="Arial" w:hAnsi="Arial"/>
                <w:b w:val="0"/>
              </w:rPr>
              <w:t xml:space="preserve">thus </w:t>
            </w:r>
            <w:r w:rsidRPr="00923C43">
              <w:rPr>
                <w:rFonts w:ascii="Arial" w:hAnsi="Arial"/>
                <w:b w:val="0"/>
              </w:rPr>
              <w:t>barely used</w:t>
            </w:r>
            <w:r w:rsidR="0090220F">
              <w:rPr>
                <w:rFonts w:ascii="Arial" w:hAnsi="Arial"/>
                <w:b w:val="0"/>
              </w:rPr>
              <w:t>.</w:t>
            </w:r>
            <w:r w:rsidR="00C73630" w:rsidRPr="00923C43">
              <w:rPr>
                <w:rFonts w:ascii="Arial" w:hAnsi="Arial"/>
                <w:b w:val="0"/>
              </w:rPr>
              <w:t xml:space="preserve"> </w:t>
            </w:r>
            <w:r w:rsidR="00C73630">
              <w:rPr>
                <w:rFonts w:ascii="Arial" w:hAnsi="Arial"/>
                <w:b w:val="0"/>
              </w:rPr>
              <w:t>O</w:t>
            </w:r>
            <w:r w:rsidR="00C73630" w:rsidRPr="00923C43">
              <w:rPr>
                <w:rFonts w:ascii="Arial" w:hAnsi="Arial"/>
                <w:b w:val="0"/>
              </w:rPr>
              <w:t xml:space="preserve">nly 6 NGOs </w:t>
            </w:r>
            <w:r w:rsidR="00124E42">
              <w:rPr>
                <w:rFonts w:ascii="Arial" w:hAnsi="Arial"/>
                <w:b w:val="0"/>
              </w:rPr>
              <w:t xml:space="preserve">out of 44 </w:t>
            </w:r>
            <w:r w:rsidR="00EC02B9">
              <w:rPr>
                <w:rFonts w:ascii="Arial" w:hAnsi="Arial"/>
                <w:b w:val="0"/>
              </w:rPr>
              <w:t xml:space="preserve">national NGO </w:t>
            </w:r>
            <w:r w:rsidR="00C73630" w:rsidRPr="00923C43">
              <w:rPr>
                <w:rFonts w:ascii="Arial" w:hAnsi="Arial"/>
                <w:b w:val="0"/>
              </w:rPr>
              <w:t xml:space="preserve">received social contracts </w:t>
            </w:r>
            <w:r w:rsidR="00124E42">
              <w:rPr>
                <w:rFonts w:ascii="Arial" w:hAnsi="Arial"/>
                <w:b w:val="0"/>
              </w:rPr>
              <w:t xml:space="preserve">from domestic resources </w:t>
            </w:r>
            <w:r w:rsidR="00C73630" w:rsidRPr="00923C43">
              <w:rPr>
                <w:rFonts w:ascii="Arial" w:hAnsi="Arial"/>
                <w:b w:val="0"/>
              </w:rPr>
              <w:t xml:space="preserve">in 2016. </w:t>
            </w:r>
            <w:r w:rsidRPr="00923C43">
              <w:rPr>
                <w:rFonts w:ascii="Arial" w:hAnsi="Arial"/>
                <w:b w:val="0"/>
              </w:rPr>
              <w:t xml:space="preserve"> </w:t>
            </w:r>
          </w:p>
          <w:p w14:paraId="0F36668F" w14:textId="1B3390C2" w:rsidR="007E1785" w:rsidRPr="001264D0" w:rsidRDefault="003F4580" w:rsidP="0098603F">
            <w:pPr>
              <w:spacing w:before="120" w:after="120" w:line="240" w:lineRule="auto"/>
              <w:jc w:val="both"/>
              <w:rPr>
                <w:rFonts w:ascii="Arial" w:hAnsi="Arial"/>
                <w:b w:val="0"/>
              </w:rPr>
            </w:pPr>
            <w:r w:rsidRPr="003F4580">
              <w:rPr>
                <w:rFonts w:ascii="Arial" w:hAnsi="Arial"/>
                <w:b w:val="0"/>
              </w:rPr>
              <w:t xml:space="preserve">The </w:t>
            </w:r>
            <w:r w:rsidR="00D36556">
              <w:rPr>
                <w:rFonts w:ascii="Arial" w:hAnsi="Arial"/>
                <w:b w:val="0"/>
              </w:rPr>
              <w:t xml:space="preserve">epidemic specifics, </w:t>
            </w:r>
            <w:r w:rsidRPr="003F4580">
              <w:rPr>
                <w:rFonts w:ascii="Arial" w:hAnsi="Arial"/>
                <w:b w:val="0"/>
              </w:rPr>
              <w:t xml:space="preserve">experience and lessons learned described </w:t>
            </w:r>
            <w:r>
              <w:rPr>
                <w:rFonts w:ascii="Arial" w:hAnsi="Arial"/>
                <w:b w:val="0"/>
              </w:rPr>
              <w:t xml:space="preserve">above </w:t>
            </w:r>
            <w:r w:rsidR="00871839">
              <w:rPr>
                <w:rFonts w:ascii="Arial" w:hAnsi="Arial"/>
                <w:b w:val="0"/>
              </w:rPr>
              <w:t xml:space="preserve">served as basis to develop </w:t>
            </w:r>
            <w:r w:rsidR="00EE5CA4">
              <w:rPr>
                <w:rFonts w:ascii="Arial" w:hAnsi="Arial"/>
                <w:b w:val="0"/>
              </w:rPr>
              <w:t>current request for funding. The proposed interventions are</w:t>
            </w:r>
            <w:r w:rsidR="00871839">
              <w:rPr>
                <w:rFonts w:ascii="Arial" w:hAnsi="Arial"/>
                <w:b w:val="0"/>
              </w:rPr>
              <w:t xml:space="preserve"> </w:t>
            </w:r>
            <w:r w:rsidRPr="003F4580">
              <w:rPr>
                <w:rFonts w:ascii="Arial" w:hAnsi="Arial"/>
                <w:b w:val="0"/>
              </w:rPr>
              <w:t>focus</w:t>
            </w:r>
            <w:r w:rsidR="00EE5CA4">
              <w:rPr>
                <w:rFonts w:ascii="Arial" w:hAnsi="Arial"/>
                <w:b w:val="0"/>
              </w:rPr>
              <w:t xml:space="preserve">ed </w:t>
            </w:r>
            <w:r w:rsidR="00871839">
              <w:rPr>
                <w:rFonts w:ascii="Arial" w:hAnsi="Arial"/>
                <w:b w:val="0"/>
              </w:rPr>
              <w:t xml:space="preserve">on </w:t>
            </w:r>
            <w:r w:rsidR="00EE5CA4" w:rsidRPr="003F4580">
              <w:rPr>
                <w:rFonts w:ascii="Arial" w:hAnsi="Arial"/>
                <w:b w:val="0"/>
              </w:rPr>
              <w:t>build</w:t>
            </w:r>
            <w:r w:rsidR="00EE5CA4">
              <w:rPr>
                <w:rFonts w:ascii="Arial" w:hAnsi="Arial"/>
                <w:b w:val="0"/>
              </w:rPr>
              <w:t>ing</w:t>
            </w:r>
            <w:r w:rsidR="00EE5CA4" w:rsidRPr="003F4580">
              <w:rPr>
                <w:rFonts w:ascii="Arial" w:hAnsi="Arial"/>
                <w:b w:val="0"/>
              </w:rPr>
              <w:t xml:space="preserve"> </w:t>
            </w:r>
            <w:r w:rsidR="00EE5CA4">
              <w:rPr>
                <w:rFonts w:ascii="Arial" w:hAnsi="Arial"/>
                <w:b w:val="0"/>
              </w:rPr>
              <w:t xml:space="preserve">ground for sustainability through social contracting mechanisms in hot spot geographic areas and further </w:t>
            </w:r>
            <w:r w:rsidRPr="003F4580">
              <w:rPr>
                <w:rFonts w:ascii="Arial" w:hAnsi="Arial"/>
                <w:b w:val="0"/>
              </w:rPr>
              <w:t xml:space="preserve">catalyze fight against the disease </w:t>
            </w:r>
            <w:r w:rsidR="00EE5CA4">
              <w:rPr>
                <w:rFonts w:ascii="Arial" w:hAnsi="Arial"/>
                <w:b w:val="0"/>
              </w:rPr>
              <w:t>in Kazakhstan</w:t>
            </w:r>
            <w:r w:rsidRPr="003F4580">
              <w:rPr>
                <w:rFonts w:ascii="Arial" w:hAnsi="Arial"/>
                <w:b w:val="0"/>
              </w:rPr>
              <w:t xml:space="preserve">. </w:t>
            </w:r>
            <w:r w:rsidR="00645ECF" w:rsidRPr="00223B98">
              <w:rPr>
                <w:rFonts w:ascii="Arial" w:hAnsi="Arial"/>
                <w:b w:val="0"/>
              </w:rPr>
              <w:t xml:space="preserve">TGF allocation for </w:t>
            </w:r>
            <w:r w:rsidR="00871839">
              <w:rPr>
                <w:rFonts w:ascii="Arial" w:hAnsi="Arial"/>
                <w:b w:val="0"/>
              </w:rPr>
              <w:t xml:space="preserve">next allocation period </w:t>
            </w:r>
            <w:r w:rsidR="00645ECF" w:rsidRPr="00223B98">
              <w:rPr>
                <w:rFonts w:ascii="Arial" w:hAnsi="Arial"/>
                <w:b w:val="0"/>
              </w:rPr>
              <w:t xml:space="preserve">is less by about </w:t>
            </w:r>
            <w:r w:rsidR="000C2863">
              <w:rPr>
                <w:rFonts w:ascii="Arial" w:hAnsi="Arial"/>
                <w:b w:val="0"/>
              </w:rPr>
              <w:t>12</w:t>
            </w:r>
            <w:r w:rsidR="00645ECF" w:rsidRPr="00223B98">
              <w:rPr>
                <w:rFonts w:ascii="Arial" w:hAnsi="Arial"/>
                <w:b w:val="0"/>
              </w:rPr>
              <w:t xml:space="preserve">% per year (from </w:t>
            </w:r>
            <w:r w:rsidR="00871839">
              <w:rPr>
                <w:rFonts w:ascii="Arial" w:hAnsi="Arial"/>
                <w:b w:val="0"/>
              </w:rPr>
              <w:t>US$</w:t>
            </w:r>
            <w:r w:rsidR="00645ECF" w:rsidRPr="00223B98">
              <w:rPr>
                <w:rFonts w:ascii="Arial" w:hAnsi="Arial"/>
                <w:b w:val="0"/>
              </w:rPr>
              <w:t>5,</w:t>
            </w:r>
            <w:r w:rsidR="000C2863">
              <w:rPr>
                <w:rFonts w:ascii="Arial" w:hAnsi="Arial"/>
                <w:b w:val="0"/>
              </w:rPr>
              <w:t>164</w:t>
            </w:r>
            <w:r w:rsidR="00645ECF" w:rsidRPr="00223B98">
              <w:rPr>
                <w:rFonts w:ascii="Arial" w:hAnsi="Arial"/>
                <w:b w:val="0"/>
              </w:rPr>
              <w:t>,</w:t>
            </w:r>
            <w:r w:rsidR="000C2863">
              <w:rPr>
                <w:rFonts w:ascii="Arial" w:hAnsi="Arial"/>
                <w:b w:val="0"/>
              </w:rPr>
              <w:t>638</w:t>
            </w:r>
            <w:r w:rsidR="000C2863" w:rsidRPr="00223B98">
              <w:rPr>
                <w:rFonts w:ascii="Arial" w:hAnsi="Arial"/>
                <w:b w:val="0"/>
              </w:rPr>
              <w:t xml:space="preserve"> </w:t>
            </w:r>
            <w:r w:rsidR="00645ECF" w:rsidRPr="00223B98">
              <w:rPr>
                <w:rFonts w:ascii="Arial" w:hAnsi="Arial"/>
                <w:b w:val="0"/>
              </w:rPr>
              <w:t xml:space="preserve">to </w:t>
            </w:r>
            <w:r w:rsidR="00871839">
              <w:rPr>
                <w:rFonts w:ascii="Arial" w:hAnsi="Arial"/>
                <w:b w:val="0"/>
              </w:rPr>
              <w:t>US$</w:t>
            </w:r>
            <w:r w:rsidR="00645ECF" w:rsidRPr="00223B98">
              <w:rPr>
                <w:rFonts w:ascii="Arial" w:hAnsi="Arial"/>
                <w:b w:val="0"/>
              </w:rPr>
              <w:t>4,500,</w:t>
            </w:r>
            <w:r>
              <w:rPr>
                <w:rFonts w:ascii="Arial" w:hAnsi="Arial"/>
                <w:b w:val="0"/>
              </w:rPr>
              <w:t xml:space="preserve">000). </w:t>
            </w:r>
            <w:r w:rsidR="001264D0">
              <w:rPr>
                <w:rFonts w:ascii="Arial" w:hAnsi="Arial"/>
                <w:b w:val="0"/>
              </w:rPr>
              <w:t>As implied, t</w:t>
            </w:r>
            <w:r>
              <w:rPr>
                <w:rFonts w:ascii="Arial" w:hAnsi="Arial"/>
                <w:b w:val="0"/>
              </w:rPr>
              <w:t xml:space="preserve">he request for funding is not </w:t>
            </w:r>
            <w:r w:rsidR="00645ECF" w:rsidRPr="00223B98">
              <w:rPr>
                <w:rFonts w:ascii="Arial" w:hAnsi="Arial"/>
                <w:b w:val="0"/>
              </w:rPr>
              <w:t xml:space="preserve">oriented towards development of </w:t>
            </w:r>
            <w:r w:rsidR="001264D0" w:rsidRPr="00223B98">
              <w:rPr>
                <w:rFonts w:ascii="Arial" w:hAnsi="Arial"/>
                <w:b w:val="0"/>
              </w:rPr>
              <w:t>HIV preven</w:t>
            </w:r>
            <w:r w:rsidR="001264D0">
              <w:rPr>
                <w:rFonts w:ascii="Arial" w:hAnsi="Arial"/>
                <w:b w:val="0"/>
              </w:rPr>
              <w:t>tion, care and support services</w:t>
            </w:r>
            <w:r w:rsidR="00645ECF" w:rsidRPr="00223B98">
              <w:rPr>
                <w:rFonts w:ascii="Arial" w:hAnsi="Arial"/>
                <w:b w:val="0"/>
              </w:rPr>
              <w:t xml:space="preserve">, </w:t>
            </w:r>
            <w:r>
              <w:rPr>
                <w:rFonts w:ascii="Arial" w:hAnsi="Arial"/>
                <w:b w:val="0"/>
              </w:rPr>
              <w:t xml:space="preserve">but </w:t>
            </w:r>
            <w:r w:rsidR="001264D0">
              <w:rPr>
                <w:rFonts w:ascii="Arial" w:hAnsi="Arial"/>
                <w:b w:val="0"/>
              </w:rPr>
              <w:t xml:space="preserve">rather </w:t>
            </w:r>
            <w:r w:rsidR="00645ECF" w:rsidRPr="00223B98">
              <w:rPr>
                <w:rFonts w:ascii="Arial" w:hAnsi="Arial"/>
                <w:b w:val="0"/>
              </w:rPr>
              <w:t xml:space="preserve">focused on development and institutionalization of sustainable social contracting mechanism to scale up access </w:t>
            </w:r>
            <w:r w:rsidR="001264D0">
              <w:rPr>
                <w:rFonts w:ascii="Arial" w:hAnsi="Arial"/>
                <w:b w:val="0"/>
              </w:rPr>
              <w:t>of KP to these services</w:t>
            </w:r>
            <w:r w:rsidR="00645ECF" w:rsidRPr="00223B98">
              <w:rPr>
                <w:rFonts w:ascii="Arial" w:hAnsi="Arial"/>
                <w:b w:val="0"/>
              </w:rPr>
              <w:t>.</w:t>
            </w:r>
            <w:r w:rsidR="00E7195E">
              <w:rPr>
                <w:rFonts w:ascii="Arial" w:hAnsi="Arial"/>
                <w:b w:val="0"/>
              </w:rPr>
              <w:t xml:space="preserve"> </w:t>
            </w:r>
            <w:r w:rsidRPr="003F4580">
              <w:rPr>
                <w:rFonts w:ascii="Arial" w:hAnsi="Arial"/>
                <w:b w:val="0"/>
              </w:rPr>
              <w:t>It promote</w:t>
            </w:r>
            <w:r w:rsidR="00E7195E">
              <w:rPr>
                <w:rFonts w:ascii="Arial" w:hAnsi="Arial"/>
                <w:b w:val="0"/>
              </w:rPr>
              <w:t>s</w:t>
            </w:r>
            <w:r w:rsidRPr="003F4580">
              <w:rPr>
                <w:rFonts w:ascii="Arial" w:hAnsi="Arial"/>
                <w:b w:val="0"/>
              </w:rPr>
              <w:t xml:space="preserve"> participation of NGOs, PLHIV, key populations in provision of services, building supportive environment and monitoring quality of services.</w:t>
            </w:r>
          </w:p>
        </w:tc>
      </w:tr>
    </w:tbl>
    <w:p w14:paraId="52302EF8" w14:textId="77777777" w:rsidR="00735705" w:rsidRPr="003475CE" w:rsidRDefault="00735705" w:rsidP="003475CE">
      <w:pPr>
        <w:spacing w:after="0" w:line="240" w:lineRule="auto"/>
        <w:jc w:val="both"/>
        <w:rPr>
          <w:rFonts w:ascii="Arial" w:hAnsi="Arial"/>
          <w:b w:val="0"/>
          <w:sz w:val="20"/>
          <w:szCs w:val="20"/>
        </w:rPr>
      </w:pPr>
    </w:p>
    <w:tbl>
      <w:tblPr>
        <w:tblW w:w="9527" w:type="dxa"/>
        <w:tblInd w:w="-3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9527"/>
      </w:tblGrid>
      <w:tr w:rsidR="00C7583B" w:rsidRPr="003475CE" w14:paraId="75AD53A8" w14:textId="77777777" w:rsidTr="00961C04">
        <w:trPr>
          <w:trHeight w:val="332"/>
        </w:trPr>
        <w:tc>
          <w:tcPr>
            <w:tcW w:w="9527" w:type="dxa"/>
            <w:shd w:val="clear" w:color="auto" w:fill="1F497D"/>
          </w:tcPr>
          <w:p w14:paraId="779DA419" w14:textId="671E89CF" w:rsidR="00C7583B" w:rsidRPr="003475CE" w:rsidRDefault="00C7583B" w:rsidP="00EE1D73">
            <w:pPr>
              <w:spacing w:after="0" w:line="240" w:lineRule="auto"/>
              <w:jc w:val="both"/>
              <w:rPr>
                <w:rFonts w:ascii="Arial" w:hAnsi="Arial"/>
                <w:b w:val="0"/>
                <w:bCs/>
                <w:sz w:val="20"/>
                <w:szCs w:val="20"/>
              </w:rPr>
            </w:pPr>
            <w:r w:rsidRPr="003475CE">
              <w:rPr>
                <w:rFonts w:ascii="Arial" w:hAnsi="Arial"/>
                <w:b w:val="0"/>
                <w:bCs/>
                <w:color w:val="FFFFFF" w:themeColor="background1"/>
                <w:sz w:val="20"/>
                <w:szCs w:val="20"/>
              </w:rPr>
              <w:t>SECTION 2: FUNDING REQUEST</w:t>
            </w:r>
            <w:r w:rsidR="001D76CF" w:rsidRPr="003475CE">
              <w:rPr>
                <w:rFonts w:ascii="Arial" w:hAnsi="Arial"/>
                <w:b w:val="0"/>
                <w:bCs/>
                <w:color w:val="FFFFFF" w:themeColor="background1"/>
                <w:sz w:val="20"/>
                <w:szCs w:val="20"/>
              </w:rPr>
              <w:t xml:space="preserve"> (Within Allocation)</w:t>
            </w:r>
          </w:p>
        </w:tc>
      </w:tr>
      <w:tr w:rsidR="00C7583B" w:rsidRPr="00735705" w14:paraId="693EE7B7" w14:textId="77777777" w:rsidTr="00961C04">
        <w:trPr>
          <w:trHeight w:val="332"/>
        </w:trPr>
        <w:tc>
          <w:tcPr>
            <w:tcW w:w="9527" w:type="dxa"/>
            <w:shd w:val="clear" w:color="auto" w:fill="F2F2F2" w:themeFill="background1" w:themeFillShade="F2"/>
          </w:tcPr>
          <w:p w14:paraId="156F488C" w14:textId="0E51BBBB" w:rsidR="00C7583B" w:rsidRPr="00735705" w:rsidRDefault="00122C0A" w:rsidP="00032373">
            <w:pPr>
              <w:keepNext/>
              <w:keepLines/>
              <w:spacing w:after="0" w:line="240" w:lineRule="auto"/>
              <w:jc w:val="both"/>
              <w:rPr>
                <w:rFonts w:ascii="Arial" w:hAnsi="Arial"/>
                <w:b w:val="0"/>
                <w:bCs/>
                <w:iCs/>
                <w:sz w:val="20"/>
                <w:szCs w:val="20"/>
              </w:rPr>
            </w:pPr>
            <w:r w:rsidRPr="00735705">
              <w:rPr>
                <w:rFonts w:ascii="Arial" w:hAnsi="Arial"/>
                <w:b w:val="0"/>
                <w:bCs/>
                <w:iCs/>
                <w:sz w:val="20"/>
                <w:szCs w:val="20"/>
              </w:rPr>
              <w:lastRenderedPageBreak/>
              <w:t>This section should de</w:t>
            </w:r>
            <w:r w:rsidR="00232DD8" w:rsidRPr="00735705">
              <w:rPr>
                <w:rFonts w:ascii="Arial" w:hAnsi="Arial"/>
                <w:b w:val="0"/>
                <w:bCs/>
                <w:iCs/>
                <w:sz w:val="20"/>
                <w:szCs w:val="20"/>
              </w:rPr>
              <w:t>scribe</w:t>
            </w:r>
            <w:r w:rsidRPr="00735705">
              <w:rPr>
                <w:rFonts w:ascii="Arial" w:hAnsi="Arial"/>
                <w:b w:val="0"/>
                <w:bCs/>
                <w:iCs/>
                <w:sz w:val="20"/>
                <w:szCs w:val="20"/>
              </w:rPr>
              <w:t xml:space="preserve"> and provide a rationale for the p</w:t>
            </w:r>
            <w:r w:rsidRPr="00735705">
              <w:rPr>
                <w:rFonts w:ascii="Arial" w:hAnsi="Arial"/>
                <w:b w:val="0"/>
                <w:sz w:val="20"/>
                <w:szCs w:val="20"/>
              </w:rPr>
              <w:t xml:space="preserve">rogram elements proposed for this funding request. </w:t>
            </w:r>
            <w:r w:rsidR="00232DD8" w:rsidRPr="00735705">
              <w:rPr>
                <w:rFonts w:ascii="Arial" w:hAnsi="Arial"/>
                <w:b w:val="0"/>
                <w:bCs/>
                <w:iCs/>
                <w:sz w:val="20"/>
                <w:szCs w:val="20"/>
              </w:rPr>
              <w:t>A</w:t>
            </w:r>
            <w:r w:rsidR="00650CB0" w:rsidRPr="00735705">
              <w:rPr>
                <w:rFonts w:ascii="Arial" w:hAnsi="Arial"/>
                <w:b w:val="0"/>
                <w:bCs/>
                <w:iCs/>
                <w:sz w:val="20"/>
                <w:szCs w:val="20"/>
              </w:rPr>
              <w:t xml:space="preserve">ttach and refer to completed Programmatic Gap Table(s), Funding Landscape Table(s), Performance Framework and Budget. To respond, </w:t>
            </w:r>
            <w:r w:rsidR="001A43EA" w:rsidRPr="00735705">
              <w:rPr>
                <w:rFonts w:ascii="Arial" w:hAnsi="Arial"/>
                <w:b w:val="0"/>
                <w:bCs/>
                <w:iCs/>
                <w:sz w:val="20"/>
                <w:szCs w:val="20"/>
              </w:rPr>
              <w:t>refer to additional</w:t>
            </w:r>
            <w:r w:rsidR="00650CB0" w:rsidRPr="00735705">
              <w:rPr>
                <w:rFonts w:ascii="Arial" w:hAnsi="Arial"/>
                <w:b w:val="0"/>
                <w:bCs/>
                <w:iCs/>
                <w:sz w:val="20"/>
                <w:szCs w:val="20"/>
              </w:rPr>
              <w:t xml:space="preserve"> guidance provided in the </w:t>
            </w:r>
            <w:r w:rsidR="00650CB0" w:rsidRPr="00735705">
              <w:rPr>
                <w:rFonts w:ascii="Arial" w:hAnsi="Arial"/>
                <w:b w:val="0"/>
                <w:bCs/>
                <w:i/>
                <w:iCs/>
                <w:sz w:val="20"/>
                <w:szCs w:val="20"/>
              </w:rPr>
              <w:t>Instructions</w:t>
            </w:r>
            <w:r w:rsidR="000D4A2D" w:rsidRPr="00735705">
              <w:rPr>
                <w:rFonts w:ascii="Arial" w:hAnsi="Arial"/>
                <w:b w:val="0"/>
                <w:bCs/>
                <w:i/>
                <w:iCs/>
                <w:sz w:val="20"/>
                <w:szCs w:val="20"/>
              </w:rPr>
              <w:t>.</w:t>
            </w:r>
          </w:p>
        </w:tc>
      </w:tr>
    </w:tbl>
    <w:p w14:paraId="1D1A07EA" w14:textId="77777777" w:rsidR="00C7583B" w:rsidRPr="00735705" w:rsidRDefault="00C7583B" w:rsidP="00EE1D73">
      <w:pPr>
        <w:spacing w:after="0" w:line="240" w:lineRule="auto"/>
        <w:rPr>
          <w:rFonts w:ascii="Arial" w:eastAsia="SimSun" w:hAnsi="Arial"/>
          <w:b w:val="0"/>
          <w:sz w:val="20"/>
          <w:szCs w:val="20"/>
          <w:lang w:eastAsia="zh-CN"/>
        </w:rPr>
      </w:pPr>
    </w:p>
    <w:tbl>
      <w:tblPr>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9493"/>
      </w:tblGrid>
      <w:tr w:rsidR="00F35CD2" w:rsidRPr="00735705" w14:paraId="3A341576" w14:textId="66EABCE6" w:rsidTr="00961C04">
        <w:trPr>
          <w:trHeight w:val="560"/>
        </w:trPr>
        <w:tc>
          <w:tcPr>
            <w:tcW w:w="9493" w:type="dxa"/>
            <w:shd w:val="clear" w:color="auto" w:fill="C6D9F1"/>
            <w:vAlign w:val="center"/>
          </w:tcPr>
          <w:p w14:paraId="0677BA55" w14:textId="12B97FB0" w:rsidR="00F35CD2" w:rsidRPr="00032373" w:rsidRDefault="0048135A" w:rsidP="00EE1D73">
            <w:pPr>
              <w:spacing w:after="0" w:line="240" w:lineRule="auto"/>
              <w:rPr>
                <w:rFonts w:ascii="Arial" w:hAnsi="Arial"/>
                <w:sz w:val="20"/>
                <w:szCs w:val="20"/>
              </w:rPr>
            </w:pPr>
            <w:r w:rsidRPr="00032373">
              <w:rPr>
                <w:rFonts w:ascii="Arial" w:hAnsi="Arial"/>
                <w:sz w:val="20"/>
                <w:szCs w:val="20"/>
              </w:rPr>
              <w:t xml:space="preserve">2.1 </w:t>
            </w:r>
            <w:r w:rsidR="00114136" w:rsidRPr="00032373">
              <w:rPr>
                <w:rFonts w:ascii="Arial" w:hAnsi="Arial"/>
                <w:sz w:val="20"/>
                <w:szCs w:val="20"/>
              </w:rPr>
              <w:t>Funding request</w:t>
            </w:r>
          </w:p>
        </w:tc>
      </w:tr>
      <w:tr w:rsidR="00F35CD2" w:rsidRPr="00735705" w14:paraId="73C39A84" w14:textId="77777777" w:rsidTr="00961C04">
        <w:trPr>
          <w:trHeight w:val="557"/>
        </w:trPr>
        <w:tc>
          <w:tcPr>
            <w:tcW w:w="9493" w:type="dxa"/>
            <w:tcBorders>
              <w:bottom w:val="single" w:sz="4" w:space="0" w:color="808080" w:themeColor="background1" w:themeShade="80"/>
            </w:tcBorders>
            <w:shd w:val="clear" w:color="auto" w:fill="F2F2F2" w:themeFill="background1" w:themeFillShade="F2"/>
          </w:tcPr>
          <w:p w14:paraId="0D4A0216" w14:textId="3531B4C1" w:rsidR="00652D2D" w:rsidRPr="00735705" w:rsidRDefault="00606E59" w:rsidP="00EE1D73">
            <w:pPr>
              <w:spacing w:after="0" w:line="240" w:lineRule="auto"/>
              <w:jc w:val="both"/>
              <w:rPr>
                <w:rFonts w:ascii="Arial" w:hAnsi="Arial"/>
                <w:b w:val="0"/>
                <w:sz w:val="20"/>
                <w:szCs w:val="20"/>
              </w:rPr>
            </w:pPr>
            <w:r w:rsidRPr="00735705">
              <w:rPr>
                <w:rFonts w:ascii="Arial" w:hAnsi="Arial"/>
                <w:b w:val="0"/>
                <w:sz w:val="20"/>
                <w:szCs w:val="20"/>
              </w:rPr>
              <w:t xml:space="preserve">Describe the funding request </w:t>
            </w:r>
            <w:r w:rsidR="00C37E4F" w:rsidRPr="00735705">
              <w:rPr>
                <w:rFonts w:ascii="Arial" w:hAnsi="Arial"/>
                <w:b w:val="0"/>
                <w:sz w:val="20"/>
                <w:szCs w:val="20"/>
              </w:rPr>
              <w:t xml:space="preserve">for the disease program(s) </w:t>
            </w:r>
            <w:r w:rsidR="00D46702" w:rsidRPr="00735705">
              <w:rPr>
                <w:rFonts w:ascii="Arial" w:hAnsi="Arial"/>
                <w:b w:val="0"/>
                <w:sz w:val="20"/>
                <w:szCs w:val="20"/>
              </w:rPr>
              <w:t>by specifying the</w:t>
            </w:r>
            <w:r w:rsidRPr="00735705">
              <w:rPr>
                <w:rFonts w:ascii="Arial" w:hAnsi="Arial"/>
                <w:b w:val="0"/>
                <w:sz w:val="20"/>
                <w:szCs w:val="20"/>
              </w:rPr>
              <w:t xml:space="preserve"> changes</w:t>
            </w:r>
            <w:r w:rsidR="00A86F75" w:rsidRPr="00735705">
              <w:rPr>
                <w:rFonts w:ascii="Arial" w:hAnsi="Arial"/>
                <w:b w:val="0"/>
                <w:sz w:val="20"/>
                <w:szCs w:val="20"/>
              </w:rPr>
              <w:t xml:space="preserve"> to the current funded program</w:t>
            </w:r>
            <w:r w:rsidR="00A4189F" w:rsidRPr="00735705">
              <w:rPr>
                <w:rFonts w:ascii="Arial" w:hAnsi="Arial"/>
                <w:b w:val="0"/>
                <w:sz w:val="20"/>
                <w:szCs w:val="20"/>
              </w:rPr>
              <w:t>, taking into account</w:t>
            </w:r>
            <w:r w:rsidRPr="00735705">
              <w:rPr>
                <w:rFonts w:ascii="Arial" w:hAnsi="Arial"/>
                <w:b w:val="0"/>
                <w:sz w:val="20"/>
                <w:szCs w:val="20"/>
              </w:rPr>
              <w:t xml:space="preserve"> the existing </w:t>
            </w:r>
            <w:r w:rsidR="00B1344D" w:rsidRPr="00735705">
              <w:rPr>
                <w:rFonts w:ascii="Arial" w:hAnsi="Arial"/>
                <w:b w:val="0"/>
                <w:sz w:val="20"/>
                <w:szCs w:val="20"/>
              </w:rPr>
              <w:t>program</w:t>
            </w:r>
            <w:r w:rsidR="00B13AE8" w:rsidRPr="00735705">
              <w:rPr>
                <w:rFonts w:ascii="Arial" w:hAnsi="Arial"/>
                <w:b w:val="0"/>
                <w:sz w:val="20"/>
                <w:szCs w:val="20"/>
              </w:rPr>
              <w:t>matic</w:t>
            </w:r>
            <w:r w:rsidR="00B1344D" w:rsidRPr="00735705">
              <w:rPr>
                <w:rFonts w:ascii="Arial" w:hAnsi="Arial"/>
                <w:b w:val="0"/>
                <w:sz w:val="20"/>
                <w:szCs w:val="20"/>
              </w:rPr>
              <w:t xml:space="preserve"> and financial gaps that now need to be addressed</w:t>
            </w:r>
            <w:r w:rsidR="00652D2D" w:rsidRPr="00735705">
              <w:rPr>
                <w:rFonts w:ascii="Arial" w:hAnsi="Arial"/>
                <w:b w:val="0"/>
                <w:sz w:val="20"/>
                <w:szCs w:val="20"/>
              </w:rPr>
              <w:t>, and how the changes in certain program areas affect the scope/scale of the Global Fund investments</w:t>
            </w:r>
            <w:r w:rsidR="00C37E4F" w:rsidRPr="00735705">
              <w:rPr>
                <w:rFonts w:ascii="Arial" w:hAnsi="Arial"/>
                <w:b w:val="0"/>
                <w:sz w:val="20"/>
                <w:szCs w:val="20"/>
              </w:rPr>
              <w:t>.</w:t>
            </w:r>
          </w:p>
          <w:p w14:paraId="4A34D24A" w14:textId="4EF02109" w:rsidR="00B13AE8" w:rsidRPr="00735705" w:rsidRDefault="00652D2D" w:rsidP="00EE1D73">
            <w:pPr>
              <w:spacing w:after="0" w:line="240" w:lineRule="auto"/>
              <w:jc w:val="both"/>
              <w:rPr>
                <w:rFonts w:ascii="Arial" w:hAnsi="Arial"/>
                <w:b w:val="0"/>
                <w:sz w:val="20"/>
                <w:szCs w:val="20"/>
              </w:rPr>
            </w:pPr>
            <w:r w:rsidRPr="00735705">
              <w:rPr>
                <w:rFonts w:ascii="Arial" w:hAnsi="Arial"/>
                <w:b w:val="0"/>
                <w:sz w:val="20"/>
                <w:szCs w:val="20"/>
              </w:rPr>
              <w:t>Additionally, o</w:t>
            </w:r>
            <w:r w:rsidR="00B13AE8" w:rsidRPr="00735705">
              <w:rPr>
                <w:rFonts w:ascii="Arial" w:hAnsi="Arial"/>
                <w:b w:val="0"/>
                <w:sz w:val="20"/>
                <w:szCs w:val="20"/>
              </w:rPr>
              <w:t>utline in particular:</w:t>
            </w:r>
          </w:p>
          <w:p w14:paraId="0B8A48FF" w14:textId="48B783BB" w:rsidR="00B13AE8" w:rsidRPr="00EE1D73" w:rsidRDefault="00C37E4F" w:rsidP="008552E5">
            <w:pPr>
              <w:pStyle w:val="ListParagraph"/>
              <w:numPr>
                <w:ilvl w:val="0"/>
                <w:numId w:val="7"/>
              </w:numPr>
              <w:spacing w:after="0" w:line="240" w:lineRule="auto"/>
              <w:jc w:val="both"/>
              <w:rPr>
                <w:rFonts w:ascii="Arial" w:hAnsi="Arial"/>
                <w:b w:val="0"/>
                <w:sz w:val="20"/>
                <w:szCs w:val="20"/>
              </w:rPr>
            </w:pPr>
            <w:r w:rsidRPr="00735705">
              <w:rPr>
                <w:rFonts w:ascii="Arial" w:hAnsi="Arial"/>
                <w:b w:val="0"/>
                <w:sz w:val="20"/>
                <w:szCs w:val="20"/>
              </w:rPr>
              <w:t>T</w:t>
            </w:r>
            <w:r w:rsidR="00F35CD2" w:rsidRPr="00735705">
              <w:rPr>
                <w:rFonts w:ascii="Arial" w:hAnsi="Arial"/>
                <w:b w:val="0"/>
                <w:sz w:val="20"/>
                <w:szCs w:val="20"/>
              </w:rPr>
              <w:t>he changes to the (i) Performance Framework such as impact on targets, geographic coverage, or the diversity/quality of the service packages, (ii) budget</w:t>
            </w:r>
          </w:p>
          <w:p w14:paraId="6876729C" w14:textId="7D1B9F54" w:rsidR="004F51C6" w:rsidRPr="00735705" w:rsidRDefault="00C37E4F" w:rsidP="008552E5">
            <w:pPr>
              <w:pStyle w:val="ListParagraph"/>
              <w:numPr>
                <w:ilvl w:val="0"/>
                <w:numId w:val="7"/>
              </w:numPr>
              <w:spacing w:after="0" w:line="240" w:lineRule="auto"/>
              <w:jc w:val="both"/>
              <w:rPr>
                <w:rFonts w:ascii="Arial" w:hAnsi="Arial"/>
                <w:b w:val="0"/>
                <w:sz w:val="20"/>
                <w:szCs w:val="20"/>
              </w:rPr>
            </w:pPr>
            <w:r w:rsidRPr="00735705">
              <w:rPr>
                <w:rFonts w:ascii="Arial" w:hAnsi="Arial"/>
                <w:b w:val="0"/>
                <w:sz w:val="20"/>
                <w:szCs w:val="20"/>
              </w:rPr>
              <w:t>H</w:t>
            </w:r>
            <w:r w:rsidR="00F35CD2" w:rsidRPr="00735705">
              <w:rPr>
                <w:rFonts w:ascii="Arial" w:hAnsi="Arial"/>
                <w:b w:val="0"/>
                <w:sz w:val="20"/>
                <w:szCs w:val="20"/>
              </w:rPr>
              <w:t>ow the propo</w:t>
            </w:r>
            <w:r w:rsidR="00BF12A2" w:rsidRPr="00735705">
              <w:rPr>
                <w:rFonts w:ascii="Arial" w:hAnsi="Arial"/>
                <w:b w:val="0"/>
                <w:sz w:val="20"/>
                <w:szCs w:val="20"/>
              </w:rPr>
              <w:t xml:space="preserve">sed </w:t>
            </w:r>
            <w:r w:rsidRPr="00735705">
              <w:rPr>
                <w:rFonts w:ascii="Arial" w:hAnsi="Arial"/>
                <w:b w:val="0"/>
                <w:sz w:val="20"/>
                <w:szCs w:val="20"/>
              </w:rPr>
              <w:t>revisions</w:t>
            </w:r>
            <w:r w:rsidR="002A7DE9" w:rsidRPr="00735705">
              <w:rPr>
                <w:rFonts w:ascii="Arial" w:hAnsi="Arial"/>
                <w:b w:val="0"/>
                <w:sz w:val="20"/>
                <w:szCs w:val="20"/>
              </w:rPr>
              <w:t xml:space="preserve"> </w:t>
            </w:r>
            <w:r w:rsidR="00BF12A2" w:rsidRPr="00735705">
              <w:rPr>
                <w:rFonts w:ascii="Arial" w:hAnsi="Arial"/>
                <w:b w:val="0"/>
                <w:sz w:val="20"/>
                <w:szCs w:val="20"/>
              </w:rPr>
              <w:t>will ensure</w:t>
            </w:r>
            <w:r w:rsidR="00114136" w:rsidRPr="00735705">
              <w:rPr>
                <w:rFonts w:ascii="Arial" w:hAnsi="Arial"/>
                <w:b w:val="0"/>
                <w:sz w:val="20"/>
                <w:szCs w:val="20"/>
              </w:rPr>
              <w:t>:</w:t>
            </w:r>
          </w:p>
          <w:p w14:paraId="2D2D4C78" w14:textId="2D2568CE" w:rsidR="00B13AE8" w:rsidRPr="00735705" w:rsidRDefault="00F35CD2" w:rsidP="008552E5">
            <w:pPr>
              <w:pStyle w:val="ListParagraph"/>
              <w:numPr>
                <w:ilvl w:val="1"/>
                <w:numId w:val="3"/>
              </w:numPr>
              <w:spacing w:after="0" w:line="240" w:lineRule="auto"/>
              <w:jc w:val="both"/>
              <w:rPr>
                <w:rFonts w:ascii="Arial" w:hAnsi="Arial"/>
                <w:b w:val="0"/>
                <w:sz w:val="20"/>
                <w:szCs w:val="20"/>
              </w:rPr>
            </w:pPr>
            <w:r w:rsidRPr="00735705">
              <w:rPr>
                <w:rFonts w:ascii="Arial" w:hAnsi="Arial"/>
                <w:b w:val="0"/>
                <w:sz w:val="20"/>
                <w:szCs w:val="20"/>
              </w:rPr>
              <w:t>con</w:t>
            </w:r>
            <w:r w:rsidR="00114136" w:rsidRPr="00735705">
              <w:rPr>
                <w:rFonts w:ascii="Arial" w:hAnsi="Arial"/>
                <w:b w:val="0"/>
                <w:sz w:val="20"/>
                <w:szCs w:val="20"/>
              </w:rPr>
              <w:t>tinued scale up where feasible;</w:t>
            </w:r>
          </w:p>
          <w:p w14:paraId="4AB3926C" w14:textId="0DB4E516" w:rsidR="002A7DE9" w:rsidRPr="00735705" w:rsidRDefault="00F35CD2" w:rsidP="008552E5">
            <w:pPr>
              <w:pStyle w:val="ListParagraph"/>
              <w:numPr>
                <w:ilvl w:val="1"/>
                <w:numId w:val="3"/>
              </w:numPr>
              <w:spacing w:after="0" w:line="240" w:lineRule="auto"/>
              <w:jc w:val="both"/>
              <w:rPr>
                <w:rFonts w:ascii="Arial" w:hAnsi="Arial"/>
                <w:b w:val="0"/>
                <w:sz w:val="20"/>
                <w:szCs w:val="20"/>
              </w:rPr>
            </w:pPr>
            <w:r w:rsidRPr="00735705">
              <w:rPr>
                <w:rFonts w:ascii="Arial" w:hAnsi="Arial"/>
                <w:b w:val="0"/>
                <w:sz w:val="20"/>
                <w:szCs w:val="20"/>
              </w:rPr>
              <w:t>effective and efficient use of Global Fund investmen</w:t>
            </w:r>
            <w:r w:rsidR="00B1344D" w:rsidRPr="00735705">
              <w:rPr>
                <w:rFonts w:ascii="Arial" w:hAnsi="Arial"/>
                <w:b w:val="0"/>
                <w:sz w:val="20"/>
                <w:szCs w:val="20"/>
              </w:rPr>
              <w:t>ts</w:t>
            </w:r>
            <w:r w:rsidR="002D639F" w:rsidRPr="00735705">
              <w:rPr>
                <w:rFonts w:ascii="Arial" w:hAnsi="Arial"/>
                <w:b w:val="0"/>
                <w:sz w:val="20"/>
                <w:szCs w:val="20"/>
              </w:rPr>
              <w:t>;</w:t>
            </w:r>
          </w:p>
          <w:p w14:paraId="6D3CC852" w14:textId="1EF031F3" w:rsidR="00B13AE8" w:rsidRPr="00EE1D73" w:rsidRDefault="00C37E4F" w:rsidP="008552E5">
            <w:pPr>
              <w:pStyle w:val="ListParagraph"/>
              <w:numPr>
                <w:ilvl w:val="1"/>
                <w:numId w:val="3"/>
              </w:numPr>
              <w:spacing w:after="0" w:line="240" w:lineRule="auto"/>
              <w:jc w:val="both"/>
              <w:rPr>
                <w:rFonts w:ascii="Arial" w:hAnsi="Arial"/>
                <w:b w:val="0"/>
                <w:sz w:val="20"/>
                <w:szCs w:val="20"/>
              </w:rPr>
            </w:pPr>
            <w:r w:rsidRPr="00735705">
              <w:rPr>
                <w:rFonts w:ascii="Arial" w:hAnsi="Arial"/>
                <w:b w:val="0"/>
                <w:sz w:val="20"/>
                <w:szCs w:val="20"/>
              </w:rPr>
              <w:t>maxim</w:t>
            </w:r>
            <w:r w:rsidR="002D639F" w:rsidRPr="00735705">
              <w:rPr>
                <w:rFonts w:ascii="Arial" w:hAnsi="Arial"/>
                <w:b w:val="0"/>
                <w:sz w:val="20"/>
                <w:szCs w:val="20"/>
              </w:rPr>
              <w:t>um</w:t>
            </w:r>
            <w:r w:rsidR="00B1344D" w:rsidRPr="00735705">
              <w:rPr>
                <w:rFonts w:ascii="Arial" w:hAnsi="Arial"/>
                <w:b w:val="0"/>
                <w:sz w:val="20"/>
                <w:szCs w:val="20"/>
              </w:rPr>
              <w:t xml:space="preserve"> </w:t>
            </w:r>
            <w:r w:rsidR="00F35CD2" w:rsidRPr="00735705">
              <w:rPr>
                <w:rFonts w:ascii="Arial" w:hAnsi="Arial"/>
                <w:b w:val="0"/>
                <w:sz w:val="20"/>
                <w:szCs w:val="20"/>
              </w:rPr>
              <w:t xml:space="preserve">impact </w:t>
            </w:r>
            <w:r w:rsidR="00F25AC5" w:rsidRPr="00735705">
              <w:rPr>
                <w:rFonts w:ascii="Arial" w:hAnsi="Arial"/>
                <w:b w:val="0"/>
                <w:sz w:val="20"/>
                <w:szCs w:val="20"/>
              </w:rPr>
              <w:t>for ending epidemics</w:t>
            </w:r>
            <w:r w:rsidR="00114136" w:rsidRPr="00735705">
              <w:rPr>
                <w:rFonts w:ascii="Arial" w:hAnsi="Arial"/>
                <w:b w:val="0"/>
                <w:sz w:val="20"/>
                <w:szCs w:val="20"/>
              </w:rPr>
              <w:t xml:space="preserve"> HIV/AIDS, TB and malaria</w:t>
            </w:r>
            <w:r w:rsidR="00F35CD2" w:rsidRPr="00735705">
              <w:rPr>
                <w:rFonts w:ascii="Arial" w:hAnsi="Arial"/>
                <w:b w:val="0"/>
                <w:sz w:val="20"/>
                <w:szCs w:val="20"/>
              </w:rPr>
              <w:t>;</w:t>
            </w:r>
          </w:p>
          <w:p w14:paraId="7EEB5C00" w14:textId="77777777" w:rsidR="00D339E3" w:rsidRDefault="00243BCC" w:rsidP="00D339E3">
            <w:pPr>
              <w:pStyle w:val="ListParagraph"/>
              <w:numPr>
                <w:ilvl w:val="0"/>
                <w:numId w:val="7"/>
              </w:numPr>
              <w:spacing w:after="0" w:line="240" w:lineRule="auto"/>
              <w:jc w:val="both"/>
              <w:rPr>
                <w:rFonts w:ascii="Arial" w:hAnsi="Arial"/>
                <w:b w:val="0"/>
                <w:sz w:val="20"/>
                <w:szCs w:val="20"/>
              </w:rPr>
            </w:pPr>
            <w:r w:rsidRPr="00735705">
              <w:rPr>
                <w:rFonts w:ascii="Arial" w:hAnsi="Arial"/>
                <w:b w:val="0"/>
                <w:sz w:val="20"/>
                <w:szCs w:val="20"/>
              </w:rPr>
              <w:t>H</w:t>
            </w:r>
            <w:r w:rsidR="00652D2D" w:rsidRPr="00735705">
              <w:rPr>
                <w:rFonts w:ascii="Arial" w:hAnsi="Arial"/>
                <w:b w:val="0"/>
                <w:sz w:val="20"/>
                <w:szCs w:val="20"/>
              </w:rPr>
              <w:t xml:space="preserve">ow the </w:t>
            </w:r>
            <w:r w:rsidR="00C37E4F" w:rsidRPr="00735705">
              <w:rPr>
                <w:rFonts w:ascii="Arial" w:hAnsi="Arial"/>
                <w:b w:val="0"/>
                <w:sz w:val="20"/>
                <w:szCs w:val="20"/>
              </w:rPr>
              <w:t xml:space="preserve">proposed </w:t>
            </w:r>
            <w:r w:rsidR="00652D2D" w:rsidRPr="00735705">
              <w:rPr>
                <w:rFonts w:ascii="Arial" w:hAnsi="Arial"/>
                <w:b w:val="0"/>
                <w:sz w:val="20"/>
                <w:szCs w:val="20"/>
              </w:rPr>
              <w:t xml:space="preserve">investment ensures appropriate focus on building resilient and sustainable systems for health, </w:t>
            </w:r>
            <w:r w:rsidR="00F35CD2" w:rsidRPr="00735705">
              <w:rPr>
                <w:rFonts w:ascii="Arial" w:hAnsi="Arial"/>
                <w:b w:val="0"/>
                <w:sz w:val="20"/>
                <w:szCs w:val="20"/>
              </w:rPr>
              <w:t xml:space="preserve">and key </w:t>
            </w:r>
            <w:r w:rsidR="00B1344D" w:rsidRPr="00735705">
              <w:rPr>
                <w:rFonts w:ascii="Arial" w:hAnsi="Arial"/>
                <w:b w:val="0"/>
                <w:sz w:val="20"/>
                <w:szCs w:val="20"/>
              </w:rPr>
              <w:t xml:space="preserve">and vulnerable </w:t>
            </w:r>
            <w:r w:rsidR="00F35CD2" w:rsidRPr="00735705">
              <w:rPr>
                <w:rFonts w:ascii="Arial" w:hAnsi="Arial"/>
                <w:b w:val="0"/>
                <w:sz w:val="20"/>
                <w:szCs w:val="20"/>
              </w:rPr>
              <w:t>population programs</w:t>
            </w:r>
            <w:r w:rsidR="003967BB" w:rsidRPr="00735705">
              <w:rPr>
                <w:rFonts w:ascii="Arial" w:hAnsi="Arial"/>
                <w:b w:val="0"/>
                <w:sz w:val="20"/>
                <w:szCs w:val="20"/>
              </w:rPr>
              <w:t xml:space="preserve"> as applicable</w:t>
            </w:r>
            <w:r w:rsidR="00652D2D" w:rsidRPr="00735705">
              <w:rPr>
                <w:rFonts w:ascii="Arial" w:hAnsi="Arial"/>
                <w:b w:val="0"/>
                <w:sz w:val="20"/>
                <w:szCs w:val="20"/>
              </w:rPr>
              <w:t>.</w:t>
            </w:r>
          </w:p>
          <w:p w14:paraId="43F39C65" w14:textId="3236E491" w:rsidR="00D339E3" w:rsidRPr="00D339E3" w:rsidRDefault="00D339E3" w:rsidP="00D339E3">
            <w:pPr>
              <w:spacing w:after="0" w:line="240" w:lineRule="auto"/>
              <w:jc w:val="both"/>
              <w:rPr>
                <w:rFonts w:ascii="Arial" w:hAnsi="Arial"/>
                <w:b w:val="0"/>
                <w:sz w:val="20"/>
                <w:szCs w:val="20"/>
              </w:rPr>
            </w:pPr>
          </w:p>
        </w:tc>
      </w:tr>
      <w:tr w:rsidR="00EE1D73" w:rsidRPr="00735705" w14:paraId="39383CD1" w14:textId="77777777" w:rsidTr="00961C04">
        <w:trPr>
          <w:trHeight w:val="557"/>
        </w:trPr>
        <w:tc>
          <w:tcPr>
            <w:tcW w:w="9493" w:type="dxa"/>
            <w:shd w:val="clear" w:color="auto" w:fill="auto"/>
          </w:tcPr>
          <w:p w14:paraId="6690E416" w14:textId="223ECA13" w:rsidR="0040459D" w:rsidRDefault="00961C04" w:rsidP="001C6FEF">
            <w:pPr>
              <w:spacing w:before="120" w:after="120" w:line="240" w:lineRule="auto"/>
              <w:jc w:val="both"/>
              <w:rPr>
                <w:rFonts w:ascii="Arial" w:eastAsia="SimSun" w:hAnsi="Arial"/>
                <w:b w:val="0"/>
                <w:i/>
                <w:lang w:val="en-GB" w:eastAsia="zh-CN"/>
              </w:rPr>
            </w:pPr>
            <w:r w:rsidRPr="00223B98">
              <w:rPr>
                <w:rFonts w:ascii="Arial" w:eastAsia="SimSun" w:hAnsi="Arial"/>
                <w:b w:val="0"/>
                <w:bCs/>
                <w:lang w:eastAsia="zh-CN"/>
              </w:rPr>
              <w:t xml:space="preserve">The Republic of Kazakhstan </w:t>
            </w:r>
            <w:r w:rsidR="001C6FEF">
              <w:rPr>
                <w:rFonts w:ascii="Arial" w:eastAsia="SimSun" w:hAnsi="Arial"/>
                <w:b w:val="0"/>
                <w:bCs/>
                <w:lang w:eastAsia="zh-CN"/>
              </w:rPr>
              <w:t xml:space="preserve">has been </w:t>
            </w:r>
            <w:r w:rsidRPr="00223B98">
              <w:rPr>
                <w:rFonts w:ascii="Arial" w:eastAsia="SimSun" w:hAnsi="Arial"/>
                <w:b w:val="0"/>
                <w:bCs/>
                <w:lang w:eastAsia="zh-CN"/>
              </w:rPr>
              <w:t xml:space="preserve">invited by the Global Fund to submit a </w:t>
            </w:r>
            <w:r>
              <w:rPr>
                <w:rFonts w:ascii="Arial" w:eastAsia="SimSun" w:hAnsi="Arial"/>
                <w:b w:val="0"/>
                <w:bCs/>
                <w:lang w:eastAsia="zh-CN"/>
              </w:rPr>
              <w:t xml:space="preserve">tailored </w:t>
            </w:r>
            <w:r w:rsidR="003A08EC">
              <w:rPr>
                <w:rFonts w:ascii="Arial" w:hAnsi="Arial"/>
                <w:b w:val="0"/>
              </w:rPr>
              <w:t xml:space="preserve">funding request, customized to specific conditions announced in the allocation letter. As result, CCM decided to focus </w:t>
            </w:r>
            <w:r w:rsidR="003A08EC" w:rsidRPr="003A08EC">
              <w:rPr>
                <w:rFonts w:ascii="Arial" w:hAnsi="Arial"/>
                <w:b w:val="0"/>
              </w:rPr>
              <w:t>activities on strengthening legal framework, funding mechanisms and implementation arrangements for the delivery of HIV activities to key populations</w:t>
            </w:r>
            <w:r w:rsidR="00B25644">
              <w:rPr>
                <w:rFonts w:ascii="Arial" w:hAnsi="Arial"/>
                <w:b w:val="0"/>
              </w:rPr>
              <w:t xml:space="preserve"> with focus on</w:t>
            </w:r>
            <w:r w:rsidR="003A08EC" w:rsidRPr="003A08EC">
              <w:rPr>
                <w:rFonts w:ascii="Arial" w:hAnsi="Arial"/>
                <w:b w:val="0"/>
              </w:rPr>
              <w:t xml:space="preserve"> social contracting schemes for non-governmental organizations.</w:t>
            </w:r>
            <w:r w:rsidR="003A08EC">
              <w:rPr>
                <w:rFonts w:ascii="Arial" w:hAnsi="Arial"/>
                <w:b w:val="0"/>
              </w:rPr>
              <w:t xml:space="preserve"> </w:t>
            </w:r>
            <w:r w:rsidRPr="003A08EC">
              <w:rPr>
                <w:rFonts w:ascii="Arial" w:eastAsia="SimSun" w:hAnsi="Arial"/>
                <w:b w:val="0"/>
                <w:i/>
                <w:lang w:eastAsia="zh-CN"/>
              </w:rPr>
              <w:t xml:space="preserve">The </w:t>
            </w:r>
            <w:r w:rsidR="003A08EC" w:rsidRPr="003A08EC">
              <w:rPr>
                <w:rFonts w:ascii="Arial" w:eastAsia="SimSun" w:hAnsi="Arial"/>
                <w:i/>
                <w:lang w:eastAsia="zh-CN"/>
              </w:rPr>
              <w:t>overall G</w:t>
            </w:r>
            <w:r w:rsidRPr="003A08EC">
              <w:rPr>
                <w:rFonts w:ascii="Arial" w:eastAsia="SimSun" w:hAnsi="Arial"/>
                <w:i/>
                <w:lang w:eastAsia="zh-CN"/>
              </w:rPr>
              <w:t xml:space="preserve">oal of </w:t>
            </w:r>
            <w:r w:rsidR="00FF5A82">
              <w:rPr>
                <w:rFonts w:ascii="Arial" w:eastAsia="SimSun" w:hAnsi="Arial"/>
                <w:i/>
                <w:lang w:eastAsia="zh-CN"/>
              </w:rPr>
              <w:t>‘</w:t>
            </w:r>
            <w:r w:rsidRPr="003A08EC">
              <w:rPr>
                <w:rFonts w:ascii="Arial" w:eastAsia="SimSun" w:hAnsi="Arial"/>
                <w:bCs/>
                <w:i/>
                <w:lang w:eastAsia="zh-CN"/>
              </w:rPr>
              <w:t>Build</w:t>
            </w:r>
            <w:r w:rsidR="003A08EC" w:rsidRPr="003A08EC">
              <w:rPr>
                <w:rFonts w:ascii="Arial" w:eastAsia="SimSun" w:hAnsi="Arial"/>
                <w:bCs/>
                <w:i/>
                <w:lang w:eastAsia="zh-CN"/>
              </w:rPr>
              <w:t>ing Foundation for S</w:t>
            </w:r>
            <w:r w:rsidR="003A08EC">
              <w:rPr>
                <w:rFonts w:ascii="Arial" w:eastAsia="SimSun" w:hAnsi="Arial"/>
                <w:bCs/>
                <w:i/>
                <w:lang w:eastAsia="zh-CN"/>
              </w:rPr>
              <w:t>ustainable HIV R</w:t>
            </w:r>
            <w:r w:rsidRPr="003A08EC">
              <w:rPr>
                <w:rFonts w:ascii="Arial" w:eastAsia="SimSun" w:hAnsi="Arial"/>
                <w:bCs/>
                <w:i/>
                <w:lang w:eastAsia="zh-CN"/>
              </w:rPr>
              <w:t>esponse in Kazakhstan</w:t>
            </w:r>
            <w:r w:rsidR="00FF5A82">
              <w:rPr>
                <w:rFonts w:ascii="Arial" w:eastAsia="SimSun" w:hAnsi="Arial"/>
                <w:bCs/>
                <w:i/>
                <w:lang w:eastAsia="zh-CN"/>
              </w:rPr>
              <w:t>’</w:t>
            </w:r>
            <w:r w:rsidR="003A08EC" w:rsidRPr="003A08EC">
              <w:rPr>
                <w:rFonts w:ascii="Arial" w:eastAsia="SimSun" w:hAnsi="Arial"/>
                <w:i/>
                <w:lang w:eastAsia="zh-CN"/>
              </w:rPr>
              <w:t xml:space="preserve"> </w:t>
            </w:r>
            <w:r w:rsidR="00E84ED5">
              <w:rPr>
                <w:rFonts w:ascii="Arial" w:eastAsia="SimSun" w:hAnsi="Arial"/>
                <w:i/>
                <w:lang w:eastAsia="zh-CN"/>
              </w:rPr>
              <w:t xml:space="preserve">funding request </w:t>
            </w:r>
            <w:r w:rsidRPr="003A08EC">
              <w:rPr>
                <w:rFonts w:ascii="Arial" w:eastAsia="SimSun" w:hAnsi="Arial"/>
                <w:b w:val="0"/>
                <w:i/>
                <w:lang w:eastAsia="zh-CN"/>
              </w:rPr>
              <w:t xml:space="preserve">is to institutionalize social contracting system to scale up </w:t>
            </w:r>
            <w:r w:rsidRPr="003A08EC">
              <w:rPr>
                <w:rFonts w:ascii="Arial" w:eastAsia="SimSun" w:hAnsi="Arial"/>
                <w:b w:val="0"/>
                <w:i/>
                <w:lang w:val="en-GB" w:eastAsia="zh-CN"/>
              </w:rPr>
              <w:t xml:space="preserve">access of KAP to evidence based HIV prevention, care and support services. </w:t>
            </w:r>
          </w:p>
          <w:p w14:paraId="7E6EA2A7" w14:textId="5EAC71C7" w:rsidR="00961C04" w:rsidRPr="008A4CC3" w:rsidRDefault="00961C04" w:rsidP="002C7D66">
            <w:pPr>
              <w:spacing w:before="120" w:after="120" w:line="240" w:lineRule="auto"/>
              <w:jc w:val="both"/>
              <w:rPr>
                <w:rFonts w:ascii="Arial" w:hAnsi="Arial"/>
                <w:b w:val="0"/>
              </w:rPr>
            </w:pPr>
            <w:r w:rsidRPr="00223B98">
              <w:rPr>
                <w:rFonts w:ascii="Arial" w:eastAsia="SimSun" w:hAnsi="Arial"/>
                <w:b w:val="0"/>
                <w:lang w:eastAsia="zh-CN"/>
              </w:rPr>
              <w:t xml:space="preserve">The </w:t>
            </w:r>
            <w:r w:rsidR="00FF5A82">
              <w:rPr>
                <w:rFonts w:ascii="Arial" w:eastAsia="SimSun" w:hAnsi="Arial"/>
                <w:b w:val="0"/>
                <w:lang w:eastAsia="zh-CN"/>
              </w:rPr>
              <w:t>Funding Request</w:t>
            </w:r>
            <w:r w:rsidR="00FF5A82" w:rsidRPr="00223B98">
              <w:rPr>
                <w:rFonts w:ascii="Arial" w:eastAsia="SimSun" w:hAnsi="Arial"/>
                <w:b w:val="0"/>
                <w:lang w:eastAsia="zh-CN"/>
              </w:rPr>
              <w:t xml:space="preserve"> </w:t>
            </w:r>
            <w:r w:rsidRPr="00223B98">
              <w:rPr>
                <w:rFonts w:ascii="Arial" w:eastAsia="SimSun" w:hAnsi="Arial"/>
                <w:b w:val="0"/>
                <w:lang w:eastAsia="zh-CN"/>
              </w:rPr>
              <w:t>principles and priorities are consistent with UNAIDS 2016</w:t>
            </w:r>
            <w:r w:rsidR="0040459D">
              <w:rPr>
                <w:rFonts w:ascii="Arial" w:eastAsia="SimSun" w:hAnsi="Arial"/>
                <w:b w:val="0"/>
                <w:lang w:eastAsia="zh-CN"/>
              </w:rPr>
              <w:t xml:space="preserve"> </w:t>
            </w:r>
            <w:r w:rsidRPr="00223B98">
              <w:rPr>
                <w:rFonts w:ascii="Arial" w:eastAsia="SimSun" w:hAnsi="Arial"/>
                <w:b w:val="0"/>
                <w:lang w:eastAsia="zh-CN"/>
              </w:rPr>
              <w:t>-</w:t>
            </w:r>
            <w:r w:rsidR="0040459D">
              <w:rPr>
                <w:rFonts w:ascii="Arial" w:eastAsia="SimSun" w:hAnsi="Arial"/>
                <w:b w:val="0"/>
                <w:lang w:eastAsia="zh-CN"/>
              </w:rPr>
              <w:t xml:space="preserve"> 2021 Strategy on the Fast-Track</w:t>
            </w:r>
            <w:r w:rsidRPr="00223B98">
              <w:rPr>
                <w:rFonts w:ascii="Arial" w:eastAsia="SimSun" w:hAnsi="Arial"/>
                <w:b w:val="0"/>
                <w:lang w:eastAsia="zh-CN"/>
              </w:rPr>
              <w:t xml:space="preserve"> to end AIDS a</w:t>
            </w:r>
            <w:r w:rsidR="0040459D">
              <w:rPr>
                <w:rFonts w:ascii="Arial" w:eastAsia="SimSun" w:hAnsi="Arial"/>
                <w:b w:val="0"/>
                <w:lang w:eastAsia="zh-CN"/>
              </w:rPr>
              <w:t xml:space="preserve">nd it is integrated in the National </w:t>
            </w:r>
            <w:r w:rsidR="0040459D">
              <w:rPr>
                <w:rFonts w:ascii="Arial" w:hAnsi="Arial"/>
                <w:b w:val="0"/>
              </w:rPr>
              <w:t>Program of Accelerated Measures for P</w:t>
            </w:r>
            <w:r w:rsidRPr="00223B98">
              <w:rPr>
                <w:rFonts w:ascii="Arial" w:hAnsi="Arial"/>
                <w:b w:val="0"/>
              </w:rPr>
              <w:t>revention of new HIV-infection case</w:t>
            </w:r>
            <w:r>
              <w:rPr>
                <w:rFonts w:ascii="Arial" w:hAnsi="Arial"/>
                <w:b w:val="0"/>
              </w:rPr>
              <w:t>s in the Republic of Kazakhstan</w:t>
            </w:r>
            <w:r w:rsidR="0040459D">
              <w:rPr>
                <w:rFonts w:ascii="Arial" w:hAnsi="Arial"/>
                <w:b w:val="0"/>
              </w:rPr>
              <w:t xml:space="preserve"> </w:t>
            </w:r>
            <w:r w:rsidRPr="00223B98">
              <w:rPr>
                <w:rFonts w:ascii="Arial" w:hAnsi="Arial"/>
                <w:b w:val="0"/>
              </w:rPr>
              <w:t xml:space="preserve">and the </w:t>
            </w:r>
            <w:r w:rsidR="0040459D">
              <w:rPr>
                <w:rFonts w:ascii="Arial" w:hAnsi="Arial"/>
                <w:b w:val="0"/>
              </w:rPr>
              <w:t xml:space="preserve">implementation </w:t>
            </w:r>
            <w:r w:rsidRPr="008358BB">
              <w:rPr>
                <w:rFonts w:ascii="Arial" w:hAnsi="Arial"/>
                <w:b w:val="0"/>
              </w:rPr>
              <w:t xml:space="preserve">roadmap (Annex </w:t>
            </w:r>
            <w:r w:rsidR="00832661" w:rsidRPr="008358BB">
              <w:rPr>
                <w:rFonts w:ascii="Arial" w:hAnsi="Arial"/>
                <w:b w:val="0"/>
              </w:rPr>
              <w:t>1</w:t>
            </w:r>
            <w:r w:rsidRPr="008358BB">
              <w:rPr>
                <w:rFonts w:ascii="Arial" w:hAnsi="Arial"/>
                <w:b w:val="0"/>
              </w:rPr>
              <w:t>)</w:t>
            </w:r>
            <w:r w:rsidR="0040459D" w:rsidRPr="008358BB">
              <w:rPr>
                <w:rFonts w:ascii="Arial" w:hAnsi="Arial"/>
                <w:b w:val="0"/>
              </w:rPr>
              <w:t>.</w:t>
            </w:r>
            <w:r w:rsidR="0040459D" w:rsidRPr="005C50D7">
              <w:rPr>
                <w:rFonts w:ascii="Arial" w:hAnsi="Arial"/>
                <w:b w:val="0"/>
              </w:rPr>
              <w:t xml:space="preserve"> </w:t>
            </w:r>
            <w:r w:rsidR="00485B63" w:rsidRPr="005C50D7">
              <w:rPr>
                <w:rFonts w:ascii="Arial" w:hAnsi="Arial"/>
                <w:b w:val="0"/>
              </w:rPr>
              <w:t>I</w:t>
            </w:r>
            <w:r w:rsidR="008A4CC3" w:rsidRPr="005C50D7">
              <w:rPr>
                <w:rFonts w:ascii="Arial" w:hAnsi="Arial"/>
                <w:b w:val="0"/>
              </w:rPr>
              <w:t>t</w:t>
            </w:r>
            <w:r w:rsidR="008A4CC3">
              <w:rPr>
                <w:rFonts w:ascii="Arial" w:hAnsi="Arial"/>
                <w:b w:val="0"/>
              </w:rPr>
              <w:t xml:space="preserve"> covers development of legal </w:t>
            </w:r>
            <w:r w:rsidR="00485B63" w:rsidRPr="00223B98">
              <w:rPr>
                <w:rFonts w:ascii="Arial" w:hAnsi="Arial"/>
                <w:b w:val="0"/>
              </w:rPr>
              <w:t xml:space="preserve">framework </w:t>
            </w:r>
            <w:r w:rsidR="008A4CC3">
              <w:rPr>
                <w:rFonts w:ascii="Arial" w:hAnsi="Arial"/>
                <w:b w:val="0"/>
              </w:rPr>
              <w:t xml:space="preserve">and enforcement of </w:t>
            </w:r>
            <w:r w:rsidR="00485B63" w:rsidRPr="00223B98">
              <w:rPr>
                <w:rFonts w:ascii="Arial" w:hAnsi="Arial"/>
                <w:b w:val="0"/>
              </w:rPr>
              <w:t>no</w:t>
            </w:r>
            <w:r w:rsidR="008A4CC3">
              <w:rPr>
                <w:rFonts w:ascii="Arial" w:hAnsi="Arial"/>
                <w:b w:val="0"/>
              </w:rPr>
              <w:t xml:space="preserve">rmative regulations for sustainable financing, </w:t>
            </w:r>
            <w:r w:rsidR="00485B63" w:rsidRPr="00223B98">
              <w:rPr>
                <w:rFonts w:ascii="Arial" w:hAnsi="Arial"/>
                <w:b w:val="0"/>
              </w:rPr>
              <w:t>HIV prevention</w:t>
            </w:r>
            <w:r w:rsidR="008A4CC3">
              <w:rPr>
                <w:rFonts w:ascii="Arial" w:hAnsi="Arial"/>
                <w:b w:val="0"/>
              </w:rPr>
              <w:t>, treatment and care in K</w:t>
            </w:r>
            <w:r w:rsidR="00485B63" w:rsidRPr="00223B98">
              <w:rPr>
                <w:rFonts w:ascii="Arial" w:hAnsi="Arial"/>
                <w:b w:val="0"/>
              </w:rPr>
              <w:t>P, integrated inter</w:t>
            </w:r>
            <w:r w:rsidR="008A4CC3">
              <w:rPr>
                <w:rFonts w:ascii="Arial" w:hAnsi="Arial"/>
                <w:b w:val="0"/>
              </w:rPr>
              <w:t>-</w:t>
            </w:r>
            <w:r w:rsidR="00485B63" w:rsidRPr="00223B98">
              <w:rPr>
                <w:rFonts w:ascii="Arial" w:hAnsi="Arial"/>
                <w:b w:val="0"/>
              </w:rPr>
              <w:t>sectoral approach to health and social services and development of resilient and sustainable systems for health.</w:t>
            </w:r>
            <w:r w:rsidR="008A4CC3">
              <w:rPr>
                <w:rFonts w:ascii="Arial" w:hAnsi="Arial"/>
                <w:b w:val="0"/>
              </w:rPr>
              <w:t xml:space="preserve"> </w:t>
            </w:r>
            <w:r w:rsidRPr="00223B98">
              <w:rPr>
                <w:rFonts w:ascii="Arial" w:hAnsi="Arial"/>
                <w:b w:val="0"/>
              </w:rPr>
              <w:t xml:space="preserve">It is </w:t>
            </w:r>
            <w:r w:rsidR="0040459D">
              <w:rPr>
                <w:rFonts w:ascii="Arial" w:hAnsi="Arial"/>
                <w:b w:val="0"/>
              </w:rPr>
              <w:t xml:space="preserve">also </w:t>
            </w:r>
            <w:r w:rsidRPr="008A4CC3">
              <w:rPr>
                <w:rFonts w:ascii="Arial" w:hAnsi="Arial"/>
                <w:b w:val="0"/>
              </w:rPr>
              <w:t xml:space="preserve">aligned with </w:t>
            </w:r>
            <w:r w:rsidR="008A4CC3" w:rsidRPr="008A4CC3">
              <w:rPr>
                <w:rFonts w:ascii="Arial" w:hAnsi="Arial"/>
                <w:b w:val="0"/>
              </w:rPr>
              <w:t>TGF HIV and TB Strategy and Investment Framework for EECA 2014-2017.</w:t>
            </w:r>
          </w:p>
          <w:p w14:paraId="497F1654" w14:textId="6DE423B2" w:rsidR="00961C04" w:rsidRPr="008A4CC3" w:rsidRDefault="008A4CC3" w:rsidP="002C7D66">
            <w:pPr>
              <w:spacing w:before="120" w:after="120" w:line="240" w:lineRule="auto"/>
              <w:jc w:val="both"/>
              <w:rPr>
                <w:rFonts w:ascii="Arial" w:hAnsi="Arial"/>
                <w:b w:val="0"/>
              </w:rPr>
            </w:pPr>
            <w:r>
              <w:rPr>
                <w:rFonts w:ascii="Arial" w:hAnsi="Arial"/>
                <w:b w:val="0"/>
              </w:rPr>
              <w:t xml:space="preserve">The </w:t>
            </w:r>
            <w:r w:rsidR="00B461B3">
              <w:rPr>
                <w:rFonts w:ascii="Arial" w:eastAsia="SimSun" w:hAnsi="Arial"/>
                <w:b w:val="0"/>
                <w:lang w:eastAsia="zh-CN"/>
              </w:rPr>
              <w:t>funding r</w:t>
            </w:r>
            <w:r w:rsidR="00F87DC7">
              <w:rPr>
                <w:rFonts w:ascii="Arial" w:eastAsia="SimSun" w:hAnsi="Arial"/>
                <w:b w:val="0"/>
                <w:lang w:eastAsia="zh-CN"/>
              </w:rPr>
              <w:t>equest</w:t>
            </w:r>
            <w:r w:rsidR="00F87DC7" w:rsidRPr="00223B98">
              <w:rPr>
                <w:rFonts w:ascii="Arial" w:eastAsia="SimSun" w:hAnsi="Arial"/>
                <w:b w:val="0"/>
                <w:lang w:eastAsia="zh-CN"/>
              </w:rPr>
              <w:t xml:space="preserve"> </w:t>
            </w:r>
            <w:r w:rsidRPr="008A4CC3">
              <w:rPr>
                <w:rFonts w:ascii="Arial" w:hAnsi="Arial"/>
                <w:b w:val="0"/>
              </w:rPr>
              <w:t>is built on lessons learned from previous TGF grants (described in Section 1.</w:t>
            </w:r>
            <w:r>
              <w:rPr>
                <w:rFonts w:ascii="Arial" w:hAnsi="Arial"/>
                <w:b w:val="0"/>
              </w:rPr>
              <w:t>2</w:t>
            </w:r>
            <w:r w:rsidRPr="008A4CC3">
              <w:rPr>
                <w:rFonts w:ascii="Arial" w:hAnsi="Arial"/>
                <w:b w:val="0"/>
              </w:rPr>
              <w:t>. above) as well as on the existing capacity to fully address programmatic and financial gaps</w:t>
            </w:r>
            <w:r>
              <w:rPr>
                <w:rFonts w:ascii="Arial" w:hAnsi="Arial"/>
                <w:b w:val="0"/>
              </w:rPr>
              <w:t xml:space="preserve"> </w:t>
            </w:r>
            <w:r w:rsidRPr="008358BB">
              <w:rPr>
                <w:rFonts w:ascii="Arial" w:hAnsi="Arial"/>
                <w:b w:val="0"/>
              </w:rPr>
              <w:t xml:space="preserve">(see </w:t>
            </w:r>
            <w:r w:rsidR="008358BB" w:rsidRPr="008358BB">
              <w:rPr>
                <w:rFonts w:ascii="Arial" w:hAnsi="Arial"/>
                <w:b w:val="0"/>
              </w:rPr>
              <w:t xml:space="preserve">Programmatic Gap and Funding Landscape </w:t>
            </w:r>
            <w:r w:rsidR="00387CAD" w:rsidRPr="008358BB">
              <w:rPr>
                <w:rFonts w:ascii="Arial" w:hAnsi="Arial"/>
                <w:b w:val="0"/>
              </w:rPr>
              <w:t>enclosed</w:t>
            </w:r>
            <w:r>
              <w:rPr>
                <w:rFonts w:ascii="Arial" w:hAnsi="Arial"/>
                <w:b w:val="0"/>
              </w:rPr>
              <w:t>)</w:t>
            </w:r>
            <w:r w:rsidRPr="008A4CC3">
              <w:rPr>
                <w:rFonts w:ascii="Arial" w:hAnsi="Arial"/>
                <w:b w:val="0"/>
              </w:rPr>
              <w:t xml:space="preserve">. The </w:t>
            </w:r>
            <w:r w:rsidRPr="008A4CC3">
              <w:rPr>
                <w:rFonts w:ascii="Arial" w:hAnsi="Arial"/>
                <w:b w:val="0"/>
                <w:i/>
              </w:rPr>
              <w:t xml:space="preserve">Building Foundation for Sustainable HIV Response in Kazakhstan </w:t>
            </w:r>
            <w:r w:rsidR="00F87DC7">
              <w:rPr>
                <w:rFonts w:ascii="Arial" w:eastAsia="SimSun" w:hAnsi="Arial"/>
                <w:b w:val="0"/>
                <w:lang w:eastAsia="zh-CN"/>
              </w:rPr>
              <w:t>Funding Request</w:t>
            </w:r>
            <w:r w:rsidR="00F87DC7" w:rsidRPr="00223B98">
              <w:rPr>
                <w:rFonts w:ascii="Arial" w:eastAsia="SimSun" w:hAnsi="Arial"/>
                <w:b w:val="0"/>
                <w:lang w:eastAsia="zh-CN"/>
              </w:rPr>
              <w:t xml:space="preserve"> </w:t>
            </w:r>
            <w:r w:rsidRPr="008A4CC3">
              <w:rPr>
                <w:rFonts w:ascii="Arial" w:hAnsi="Arial"/>
                <w:b w:val="0"/>
              </w:rPr>
              <w:t xml:space="preserve">is an integral element to the </w:t>
            </w:r>
            <w:r w:rsidRPr="00501226">
              <w:rPr>
                <w:rFonts w:ascii="Arial" w:hAnsi="Arial"/>
                <w:b w:val="0"/>
              </w:rPr>
              <w:t xml:space="preserve">National </w:t>
            </w:r>
            <w:r w:rsidR="000C5406">
              <w:rPr>
                <w:rFonts w:ascii="Arial" w:hAnsi="Arial"/>
                <w:b w:val="0"/>
              </w:rPr>
              <w:t>HIV response</w:t>
            </w:r>
            <w:r w:rsidR="000C5406" w:rsidRPr="008A4CC3">
              <w:rPr>
                <w:rFonts w:ascii="Arial" w:hAnsi="Arial"/>
                <w:b w:val="0"/>
              </w:rPr>
              <w:t xml:space="preserve"> </w:t>
            </w:r>
            <w:r w:rsidRPr="008A4CC3">
              <w:rPr>
                <w:rFonts w:ascii="Arial" w:hAnsi="Arial"/>
                <w:b w:val="0"/>
              </w:rPr>
              <w:t xml:space="preserve">and involve Governmental and non-governmental organizations (NGOs). The </w:t>
            </w:r>
            <w:r w:rsidR="00B25644">
              <w:rPr>
                <w:rFonts w:ascii="Arial" w:eastAsia="SimSun" w:hAnsi="Arial"/>
                <w:b w:val="0"/>
                <w:lang w:eastAsia="zh-CN"/>
              </w:rPr>
              <w:t>Funding Request</w:t>
            </w:r>
            <w:r w:rsidR="00B25644" w:rsidRPr="00223B98">
              <w:rPr>
                <w:rFonts w:ascii="Arial" w:eastAsia="SimSun" w:hAnsi="Arial"/>
                <w:b w:val="0"/>
                <w:lang w:eastAsia="zh-CN"/>
              </w:rPr>
              <w:t xml:space="preserve"> </w:t>
            </w:r>
            <w:r w:rsidRPr="008A4CC3">
              <w:rPr>
                <w:rFonts w:ascii="Arial" w:hAnsi="Arial"/>
                <w:b w:val="0"/>
              </w:rPr>
              <w:t xml:space="preserve">is constructed around </w:t>
            </w:r>
            <w:r>
              <w:rPr>
                <w:rFonts w:ascii="Arial" w:hAnsi="Arial"/>
                <w:b w:val="0"/>
              </w:rPr>
              <w:t>two</w:t>
            </w:r>
            <w:r w:rsidRPr="008A4CC3">
              <w:rPr>
                <w:rFonts w:ascii="Arial" w:hAnsi="Arial"/>
                <w:b w:val="0"/>
              </w:rPr>
              <w:t xml:space="preserve"> main O</w:t>
            </w:r>
            <w:r w:rsidR="00B461B3">
              <w:rPr>
                <w:rFonts w:ascii="Arial" w:hAnsi="Arial"/>
                <w:b w:val="0"/>
              </w:rPr>
              <w:t>bjectives, listed below with</w:t>
            </w:r>
            <w:r w:rsidRPr="008A4CC3">
              <w:rPr>
                <w:rFonts w:ascii="Arial" w:hAnsi="Arial"/>
                <w:b w:val="0"/>
              </w:rPr>
              <w:t xml:space="preserve"> </w:t>
            </w:r>
            <w:r w:rsidR="00F9593B">
              <w:rPr>
                <w:rFonts w:ascii="Arial" w:hAnsi="Arial"/>
                <w:b w:val="0"/>
              </w:rPr>
              <w:t>6</w:t>
            </w:r>
            <w:r w:rsidRPr="008A4CC3">
              <w:rPr>
                <w:rFonts w:ascii="Arial" w:hAnsi="Arial"/>
                <w:b w:val="0"/>
              </w:rPr>
              <w:t xml:space="preserve"> key Modules as following:</w:t>
            </w:r>
          </w:p>
          <w:p w14:paraId="2B886810" w14:textId="77777777" w:rsidR="00961C04" w:rsidRPr="008A4CC3" w:rsidRDefault="00961C04" w:rsidP="002C7D66">
            <w:pPr>
              <w:spacing w:before="120" w:after="120" w:line="240" w:lineRule="auto"/>
              <w:jc w:val="both"/>
              <w:rPr>
                <w:rFonts w:ascii="Arial" w:eastAsia="SimSun" w:hAnsi="Arial"/>
                <w:bCs/>
                <w:lang w:eastAsia="zh-CN"/>
              </w:rPr>
            </w:pPr>
            <w:r w:rsidRPr="008A4CC3">
              <w:rPr>
                <w:rFonts w:ascii="Arial" w:eastAsia="SimSun" w:hAnsi="Arial"/>
                <w:bCs/>
                <w:lang w:eastAsia="zh-CN"/>
              </w:rPr>
              <w:t>Objective 1. To institutionalize an innovative social contracting system for sustainable national HIV response</w:t>
            </w:r>
          </w:p>
          <w:p w14:paraId="3C47B229" w14:textId="3EA6A1AD" w:rsidR="00961C04" w:rsidRPr="00223B98" w:rsidRDefault="00961C04" w:rsidP="002C7D66">
            <w:pPr>
              <w:spacing w:before="120" w:after="120" w:line="240" w:lineRule="auto"/>
              <w:ind w:firstLine="720"/>
              <w:jc w:val="both"/>
              <w:rPr>
                <w:rFonts w:ascii="Arial" w:eastAsia="SimSun" w:hAnsi="Arial"/>
                <w:b w:val="0"/>
                <w:bCs/>
                <w:lang w:eastAsia="zh-CN"/>
              </w:rPr>
            </w:pPr>
            <w:r w:rsidRPr="00223B98">
              <w:rPr>
                <w:rFonts w:ascii="Arial" w:eastAsia="SimSun" w:hAnsi="Arial"/>
                <w:b w:val="0"/>
                <w:bCs/>
                <w:lang w:eastAsia="zh-CN"/>
              </w:rPr>
              <w:t>Module 1.1. RSSH: Community responses and systems</w:t>
            </w:r>
          </w:p>
          <w:p w14:paraId="258A9255" w14:textId="77777777" w:rsidR="00961C04" w:rsidRPr="008A4CC3" w:rsidRDefault="00961C04" w:rsidP="002C7D66">
            <w:pPr>
              <w:spacing w:before="120" w:after="120" w:line="240" w:lineRule="auto"/>
              <w:jc w:val="both"/>
              <w:rPr>
                <w:rFonts w:ascii="Arial" w:eastAsia="SimSun" w:hAnsi="Arial"/>
                <w:bCs/>
                <w:lang w:eastAsia="zh-CN"/>
              </w:rPr>
            </w:pPr>
            <w:r w:rsidRPr="008A4CC3">
              <w:rPr>
                <w:rFonts w:ascii="Arial" w:eastAsia="SimSun" w:hAnsi="Arial"/>
                <w:bCs/>
                <w:lang w:eastAsia="zh-CN"/>
              </w:rPr>
              <w:t>Objective 2. To scale-up evidence-based HIV prevention, care and support for key populations</w:t>
            </w:r>
          </w:p>
          <w:p w14:paraId="501C8CA3" w14:textId="27FAD083" w:rsidR="00961C04" w:rsidRPr="00223B98" w:rsidRDefault="00961C04" w:rsidP="002C7D66">
            <w:pPr>
              <w:spacing w:before="120" w:after="120" w:line="240" w:lineRule="auto"/>
              <w:ind w:left="720"/>
              <w:jc w:val="both"/>
              <w:rPr>
                <w:rFonts w:ascii="Arial" w:eastAsia="SimSun" w:hAnsi="Arial"/>
                <w:b w:val="0"/>
                <w:bCs/>
                <w:lang w:eastAsia="zh-CN"/>
              </w:rPr>
            </w:pPr>
            <w:r w:rsidRPr="00223B98">
              <w:rPr>
                <w:rFonts w:ascii="Arial" w:eastAsia="SimSun" w:hAnsi="Arial"/>
                <w:b w:val="0"/>
                <w:bCs/>
                <w:lang w:eastAsia="zh-CN"/>
              </w:rPr>
              <w:t xml:space="preserve">Module 2.1. Comprehensive prevention programs for </w:t>
            </w:r>
            <w:r w:rsidR="00B461B3">
              <w:rPr>
                <w:rFonts w:ascii="Arial" w:eastAsia="SimSun" w:hAnsi="Arial"/>
                <w:b w:val="0"/>
                <w:bCs/>
                <w:lang w:eastAsia="zh-CN"/>
              </w:rPr>
              <w:t>PWID</w:t>
            </w:r>
            <w:r w:rsidRPr="00223B98">
              <w:rPr>
                <w:rFonts w:ascii="Arial" w:eastAsia="SimSun" w:hAnsi="Arial"/>
                <w:b w:val="0"/>
                <w:bCs/>
                <w:lang w:eastAsia="zh-CN"/>
              </w:rPr>
              <w:t xml:space="preserve"> and their partners</w:t>
            </w:r>
          </w:p>
          <w:p w14:paraId="6E87BAA4" w14:textId="77777777" w:rsidR="00961C04" w:rsidRPr="00223B98" w:rsidRDefault="00961C04" w:rsidP="002C7D66">
            <w:pPr>
              <w:spacing w:before="120" w:after="120" w:line="240" w:lineRule="auto"/>
              <w:ind w:firstLine="720"/>
              <w:jc w:val="both"/>
              <w:rPr>
                <w:rFonts w:ascii="Arial" w:eastAsia="SimSun" w:hAnsi="Arial"/>
                <w:b w:val="0"/>
                <w:bCs/>
                <w:lang w:eastAsia="zh-CN"/>
              </w:rPr>
            </w:pPr>
            <w:r w:rsidRPr="00223B98">
              <w:rPr>
                <w:rFonts w:ascii="Arial" w:eastAsia="SimSun" w:hAnsi="Arial"/>
                <w:b w:val="0"/>
                <w:bCs/>
                <w:lang w:eastAsia="zh-CN"/>
              </w:rPr>
              <w:t>Module 2.2. Comprehensive prevention programs for sex workers and their clients</w:t>
            </w:r>
          </w:p>
          <w:p w14:paraId="4EFEF5F9" w14:textId="77777777" w:rsidR="00961C04" w:rsidRPr="00223B98" w:rsidRDefault="00961C04" w:rsidP="002C7D66">
            <w:pPr>
              <w:spacing w:before="120" w:after="120" w:line="240" w:lineRule="auto"/>
              <w:ind w:firstLine="720"/>
              <w:jc w:val="both"/>
              <w:rPr>
                <w:rFonts w:ascii="Arial" w:eastAsia="SimSun" w:hAnsi="Arial"/>
                <w:b w:val="0"/>
                <w:bCs/>
                <w:lang w:eastAsia="zh-CN"/>
              </w:rPr>
            </w:pPr>
            <w:r w:rsidRPr="00223B98">
              <w:rPr>
                <w:rFonts w:ascii="Arial" w:eastAsia="SimSun" w:hAnsi="Arial"/>
                <w:b w:val="0"/>
                <w:bCs/>
                <w:lang w:eastAsia="zh-CN"/>
              </w:rPr>
              <w:t>Module 2.3 Comprehensive prevention programs for MSM</w:t>
            </w:r>
          </w:p>
          <w:p w14:paraId="6D65A0BF" w14:textId="199535AE" w:rsidR="00961C04" w:rsidRPr="00223B98" w:rsidRDefault="00961C04" w:rsidP="002C7D66">
            <w:pPr>
              <w:spacing w:before="120" w:after="120" w:line="240" w:lineRule="auto"/>
              <w:ind w:firstLine="720"/>
              <w:jc w:val="both"/>
              <w:rPr>
                <w:rFonts w:ascii="Arial" w:eastAsia="SimSun" w:hAnsi="Arial"/>
                <w:b w:val="0"/>
                <w:bCs/>
                <w:lang w:eastAsia="zh-CN"/>
              </w:rPr>
            </w:pPr>
            <w:r w:rsidRPr="00223B98">
              <w:rPr>
                <w:rFonts w:ascii="Arial" w:eastAsia="SimSun" w:hAnsi="Arial"/>
                <w:b w:val="0"/>
                <w:bCs/>
                <w:lang w:eastAsia="zh-CN"/>
              </w:rPr>
              <w:t>Module 2.4. Treatment, care and support</w:t>
            </w:r>
          </w:p>
          <w:p w14:paraId="2B8707DC" w14:textId="0C3900CC" w:rsidR="00961C04" w:rsidRPr="008A4CC3" w:rsidRDefault="00961C04" w:rsidP="002C7D66">
            <w:pPr>
              <w:spacing w:before="120" w:after="120" w:line="240" w:lineRule="auto"/>
              <w:ind w:firstLine="720"/>
              <w:jc w:val="both"/>
              <w:rPr>
                <w:rFonts w:ascii="Arial" w:eastAsia="SimSun" w:hAnsi="Arial"/>
                <w:b w:val="0"/>
                <w:bCs/>
                <w:lang w:eastAsia="zh-CN"/>
              </w:rPr>
            </w:pPr>
            <w:r w:rsidRPr="00223B98">
              <w:rPr>
                <w:rFonts w:ascii="Arial" w:eastAsia="SimSun" w:hAnsi="Arial"/>
                <w:b w:val="0"/>
                <w:bCs/>
                <w:lang w:eastAsia="zh-CN"/>
              </w:rPr>
              <w:lastRenderedPageBreak/>
              <w:t>Module 3.1. Program management</w:t>
            </w:r>
          </w:p>
          <w:p w14:paraId="76455B8F" w14:textId="7D8482DE" w:rsidR="00961C04" w:rsidRPr="00223B98" w:rsidRDefault="00961C04" w:rsidP="002C7D66">
            <w:pPr>
              <w:spacing w:before="120" w:after="120" w:line="240" w:lineRule="auto"/>
              <w:jc w:val="both"/>
              <w:rPr>
                <w:rFonts w:ascii="Arial" w:eastAsia="SimSun" w:hAnsi="Arial"/>
                <w:b w:val="0"/>
                <w:lang w:eastAsia="zh-CN"/>
              </w:rPr>
            </w:pPr>
            <w:r w:rsidRPr="00223B98">
              <w:rPr>
                <w:rFonts w:ascii="Arial" w:eastAsia="SimSun" w:hAnsi="Arial"/>
                <w:b w:val="0"/>
                <w:lang w:eastAsia="zh-CN"/>
              </w:rPr>
              <w:t xml:space="preserve">Given </w:t>
            </w:r>
            <w:r w:rsidR="00133F91">
              <w:rPr>
                <w:rFonts w:ascii="Arial" w:eastAsia="SimSun" w:hAnsi="Arial"/>
                <w:b w:val="0"/>
                <w:lang w:eastAsia="zh-CN"/>
              </w:rPr>
              <w:t>the nature of this</w:t>
            </w:r>
            <w:r w:rsidR="00991BBA">
              <w:rPr>
                <w:rFonts w:ascii="Arial" w:eastAsia="SimSun" w:hAnsi="Arial"/>
                <w:b w:val="0"/>
                <w:lang w:eastAsia="zh-CN"/>
              </w:rPr>
              <w:t xml:space="preserve"> funding request and following TGF guidelines for Kazakhstan</w:t>
            </w:r>
            <w:r w:rsidR="002C7D66">
              <w:rPr>
                <w:rFonts w:ascii="Arial" w:eastAsia="SimSun" w:hAnsi="Arial"/>
                <w:b w:val="0"/>
                <w:lang w:eastAsia="zh-CN"/>
              </w:rPr>
              <w:t xml:space="preserve">, the module ‘RSSH-Community responses and systems’ has been selected as </w:t>
            </w:r>
            <w:r w:rsidR="00991BBA">
              <w:rPr>
                <w:rFonts w:ascii="Arial" w:eastAsia="SimSun" w:hAnsi="Arial"/>
                <w:b w:val="0"/>
                <w:lang w:eastAsia="zh-CN"/>
              </w:rPr>
              <w:t xml:space="preserve">principal </w:t>
            </w:r>
            <w:r w:rsidR="00852BD7">
              <w:rPr>
                <w:rFonts w:ascii="Arial" w:eastAsia="SimSun" w:hAnsi="Arial"/>
                <w:b w:val="0"/>
                <w:lang w:eastAsia="zh-CN"/>
              </w:rPr>
              <w:t xml:space="preserve">to </w:t>
            </w:r>
            <w:r w:rsidRPr="00223B98">
              <w:rPr>
                <w:rFonts w:ascii="Arial" w:eastAsia="SimSun" w:hAnsi="Arial"/>
                <w:b w:val="0"/>
                <w:lang w:eastAsia="zh-CN"/>
              </w:rPr>
              <w:t>focus</w:t>
            </w:r>
            <w:r w:rsidR="00852BD7">
              <w:rPr>
                <w:rFonts w:ascii="Arial" w:eastAsia="SimSun" w:hAnsi="Arial"/>
                <w:b w:val="0"/>
                <w:lang w:eastAsia="zh-CN"/>
              </w:rPr>
              <w:t xml:space="preserve"> activities primarily </w:t>
            </w:r>
            <w:r w:rsidR="007443A8">
              <w:rPr>
                <w:rFonts w:ascii="Arial" w:eastAsia="SimSun" w:hAnsi="Arial"/>
                <w:b w:val="0"/>
                <w:lang w:eastAsia="zh-CN"/>
              </w:rPr>
              <w:t>on building resilient and</w:t>
            </w:r>
            <w:r w:rsidR="00852BD7">
              <w:rPr>
                <w:rFonts w:ascii="Arial" w:eastAsia="SimSun" w:hAnsi="Arial"/>
                <w:b w:val="0"/>
                <w:lang w:eastAsia="zh-CN"/>
              </w:rPr>
              <w:t xml:space="preserve"> sustainable systems for health, </w:t>
            </w:r>
            <w:r w:rsidRPr="00223B98">
              <w:rPr>
                <w:rFonts w:ascii="Arial" w:eastAsia="SimSun" w:hAnsi="Arial"/>
                <w:b w:val="0"/>
                <w:lang w:eastAsia="zh-CN"/>
              </w:rPr>
              <w:t xml:space="preserve">strengthening legal framework for sustainable funding and </w:t>
            </w:r>
            <w:r w:rsidR="00305DC2" w:rsidRPr="00223B98">
              <w:rPr>
                <w:rFonts w:ascii="Arial" w:eastAsia="SimSun" w:hAnsi="Arial"/>
                <w:b w:val="0"/>
                <w:lang w:eastAsia="zh-CN"/>
              </w:rPr>
              <w:t>delivery</w:t>
            </w:r>
            <w:r w:rsidR="00305DC2">
              <w:rPr>
                <w:rFonts w:ascii="Arial" w:eastAsia="SimSun" w:hAnsi="Arial"/>
                <w:b w:val="0"/>
                <w:lang w:eastAsia="zh-CN"/>
              </w:rPr>
              <w:t xml:space="preserve"> of </w:t>
            </w:r>
            <w:r w:rsidR="00852BD7">
              <w:rPr>
                <w:rFonts w:ascii="Arial" w:eastAsia="SimSun" w:hAnsi="Arial"/>
                <w:b w:val="0"/>
                <w:lang w:eastAsia="zh-CN"/>
              </w:rPr>
              <w:t xml:space="preserve">HIV </w:t>
            </w:r>
            <w:r w:rsidR="00305DC2">
              <w:rPr>
                <w:rFonts w:ascii="Arial" w:eastAsia="SimSun" w:hAnsi="Arial"/>
                <w:b w:val="0"/>
                <w:lang w:eastAsia="zh-CN"/>
              </w:rPr>
              <w:t xml:space="preserve">preventive, care and support </w:t>
            </w:r>
            <w:r w:rsidR="00852BD7">
              <w:rPr>
                <w:rFonts w:ascii="Arial" w:eastAsia="SimSun" w:hAnsi="Arial"/>
                <w:b w:val="0"/>
                <w:lang w:eastAsia="zh-CN"/>
              </w:rPr>
              <w:t xml:space="preserve">service </w:t>
            </w:r>
            <w:r w:rsidR="00305DC2">
              <w:rPr>
                <w:rFonts w:ascii="Arial" w:eastAsia="SimSun" w:hAnsi="Arial"/>
                <w:b w:val="0"/>
                <w:lang w:eastAsia="zh-CN"/>
              </w:rPr>
              <w:t>to KP</w:t>
            </w:r>
            <w:r w:rsidR="00852BD7">
              <w:rPr>
                <w:rFonts w:ascii="Arial" w:eastAsia="SimSun" w:hAnsi="Arial"/>
                <w:b w:val="0"/>
                <w:lang w:eastAsia="zh-CN"/>
              </w:rPr>
              <w:t xml:space="preserve">. </w:t>
            </w:r>
            <w:r w:rsidR="003600AE">
              <w:rPr>
                <w:rFonts w:ascii="Arial" w:eastAsia="SimSun" w:hAnsi="Arial"/>
                <w:b w:val="0"/>
                <w:lang w:eastAsia="zh-CN"/>
              </w:rPr>
              <w:t xml:space="preserve">Having as primary purpose institutionalization of a robust social contracting </w:t>
            </w:r>
            <w:r w:rsidR="00B33306">
              <w:rPr>
                <w:rFonts w:ascii="Arial" w:eastAsia="SimSun" w:hAnsi="Arial"/>
                <w:b w:val="0"/>
                <w:lang w:eastAsia="zh-CN"/>
              </w:rPr>
              <w:t>mechanism</w:t>
            </w:r>
            <w:r w:rsidR="003600AE">
              <w:rPr>
                <w:rFonts w:ascii="Arial" w:eastAsia="SimSun" w:hAnsi="Arial"/>
                <w:b w:val="0"/>
                <w:lang w:eastAsia="zh-CN"/>
              </w:rPr>
              <w:t xml:space="preserve"> to scale up coverage of KP with essential services, i</w:t>
            </w:r>
            <w:r w:rsidRPr="00223B98">
              <w:rPr>
                <w:rFonts w:ascii="Arial" w:eastAsia="SimSun" w:hAnsi="Arial"/>
                <w:b w:val="0"/>
                <w:lang w:eastAsia="zh-CN"/>
              </w:rPr>
              <w:t>t addresses</w:t>
            </w:r>
            <w:r w:rsidR="00133F91">
              <w:rPr>
                <w:rFonts w:ascii="Arial" w:eastAsia="SimSun" w:hAnsi="Arial"/>
                <w:b w:val="0"/>
                <w:lang w:eastAsia="zh-CN"/>
              </w:rPr>
              <w:t xml:space="preserve"> (1)</w:t>
            </w:r>
            <w:r w:rsidR="00B33306">
              <w:rPr>
                <w:rFonts w:ascii="Arial" w:eastAsia="SimSun" w:hAnsi="Arial"/>
                <w:b w:val="0"/>
                <w:lang w:eastAsia="zh-CN"/>
              </w:rPr>
              <w:t xml:space="preserve"> the legal and regulatory shortcomings of existing social contracting system, </w:t>
            </w:r>
            <w:r w:rsidR="00133F91">
              <w:rPr>
                <w:rFonts w:ascii="Arial" w:eastAsia="SimSun" w:hAnsi="Arial"/>
                <w:b w:val="0"/>
                <w:lang w:eastAsia="zh-CN"/>
              </w:rPr>
              <w:t xml:space="preserve">(2) </w:t>
            </w:r>
            <w:r w:rsidRPr="00223B98">
              <w:rPr>
                <w:rFonts w:ascii="Arial" w:eastAsia="SimSun" w:hAnsi="Arial"/>
                <w:b w:val="0"/>
                <w:lang w:eastAsia="zh-CN"/>
              </w:rPr>
              <w:t xml:space="preserve">institutional capacity building, </w:t>
            </w:r>
            <w:r w:rsidR="00133F91">
              <w:rPr>
                <w:rFonts w:ascii="Arial" w:eastAsia="SimSun" w:hAnsi="Arial"/>
                <w:b w:val="0"/>
                <w:lang w:eastAsia="zh-CN"/>
              </w:rPr>
              <w:t xml:space="preserve">(3) </w:t>
            </w:r>
            <w:r w:rsidRPr="00223B98">
              <w:rPr>
                <w:rFonts w:ascii="Arial" w:eastAsia="SimSun" w:hAnsi="Arial"/>
                <w:b w:val="0"/>
                <w:lang w:eastAsia="zh-CN"/>
              </w:rPr>
              <w:t xml:space="preserve">preparation for </w:t>
            </w:r>
            <w:r w:rsidR="00B33306">
              <w:rPr>
                <w:rFonts w:ascii="Arial" w:eastAsia="SimSun" w:hAnsi="Arial"/>
                <w:b w:val="0"/>
                <w:lang w:eastAsia="zh-CN"/>
              </w:rPr>
              <w:t xml:space="preserve">KP services’ sustainable </w:t>
            </w:r>
            <w:r w:rsidRPr="00223B98">
              <w:rPr>
                <w:rFonts w:ascii="Arial" w:eastAsia="SimSun" w:hAnsi="Arial"/>
                <w:b w:val="0"/>
                <w:lang w:eastAsia="zh-CN"/>
              </w:rPr>
              <w:t>transition</w:t>
            </w:r>
            <w:r w:rsidR="003600AE">
              <w:rPr>
                <w:rFonts w:ascii="Arial" w:eastAsia="SimSun" w:hAnsi="Arial"/>
                <w:b w:val="0"/>
                <w:lang w:eastAsia="zh-CN"/>
              </w:rPr>
              <w:t>,</w:t>
            </w:r>
            <w:r w:rsidRPr="00223B98">
              <w:rPr>
                <w:rFonts w:ascii="Arial" w:eastAsia="SimSun" w:hAnsi="Arial"/>
                <w:b w:val="0"/>
                <w:lang w:eastAsia="zh-CN"/>
              </w:rPr>
              <w:t xml:space="preserve"> </w:t>
            </w:r>
            <w:r w:rsidR="00133F91">
              <w:rPr>
                <w:rFonts w:ascii="Arial" w:eastAsia="SimSun" w:hAnsi="Arial"/>
                <w:b w:val="0"/>
                <w:lang w:eastAsia="zh-CN"/>
              </w:rPr>
              <w:t xml:space="preserve">(4) </w:t>
            </w:r>
            <w:r w:rsidRPr="00223B98">
              <w:rPr>
                <w:rFonts w:ascii="Arial" w:eastAsia="SimSun" w:hAnsi="Arial"/>
                <w:b w:val="0"/>
                <w:lang w:eastAsia="zh-CN"/>
              </w:rPr>
              <w:t>community system strengthening aim</w:t>
            </w:r>
            <w:r w:rsidR="00852BD7">
              <w:rPr>
                <w:rFonts w:ascii="Arial" w:eastAsia="SimSun" w:hAnsi="Arial"/>
                <w:b w:val="0"/>
                <w:lang w:eastAsia="zh-CN"/>
              </w:rPr>
              <w:t>ing</w:t>
            </w:r>
            <w:r w:rsidRPr="00223B98">
              <w:rPr>
                <w:rFonts w:ascii="Arial" w:eastAsia="SimSun" w:hAnsi="Arial"/>
                <w:b w:val="0"/>
                <w:lang w:eastAsia="zh-CN"/>
              </w:rPr>
              <w:t xml:space="preserve"> to make NGOs a na</w:t>
            </w:r>
            <w:r w:rsidR="00133F91">
              <w:rPr>
                <w:rFonts w:ascii="Arial" w:eastAsia="SimSun" w:hAnsi="Arial"/>
                <w:b w:val="0"/>
                <w:lang w:eastAsia="zh-CN"/>
              </w:rPr>
              <w:t xml:space="preserve">tural part of the health system </w:t>
            </w:r>
            <w:r w:rsidRPr="00223B98">
              <w:rPr>
                <w:rFonts w:ascii="Arial" w:eastAsia="SimSun" w:hAnsi="Arial"/>
                <w:b w:val="0"/>
                <w:lang w:eastAsia="zh-CN"/>
              </w:rPr>
              <w:t>to deliver services for hard t</w:t>
            </w:r>
            <w:r w:rsidR="00991BBA">
              <w:rPr>
                <w:rFonts w:ascii="Arial" w:eastAsia="SimSun" w:hAnsi="Arial"/>
                <w:b w:val="0"/>
                <w:lang w:eastAsia="zh-CN"/>
              </w:rPr>
              <w:t>o reach population</w:t>
            </w:r>
            <w:r w:rsidR="00133F91">
              <w:rPr>
                <w:rFonts w:ascii="Arial" w:eastAsia="SimSun" w:hAnsi="Arial"/>
                <w:b w:val="0"/>
                <w:lang w:eastAsia="zh-CN"/>
              </w:rPr>
              <w:t>,</w:t>
            </w:r>
            <w:r w:rsidR="00991BBA">
              <w:rPr>
                <w:rFonts w:ascii="Arial" w:eastAsia="SimSun" w:hAnsi="Arial"/>
                <w:b w:val="0"/>
                <w:lang w:eastAsia="zh-CN"/>
              </w:rPr>
              <w:t xml:space="preserve"> and</w:t>
            </w:r>
            <w:r w:rsidR="00133F91">
              <w:rPr>
                <w:rFonts w:ascii="Arial" w:eastAsia="SimSun" w:hAnsi="Arial"/>
                <w:b w:val="0"/>
                <w:lang w:eastAsia="zh-CN"/>
              </w:rPr>
              <w:t xml:space="preserve"> (5)</w:t>
            </w:r>
            <w:r w:rsidR="00991BBA">
              <w:rPr>
                <w:rFonts w:ascii="Arial" w:eastAsia="SimSun" w:hAnsi="Arial"/>
                <w:b w:val="0"/>
                <w:lang w:eastAsia="zh-CN"/>
              </w:rPr>
              <w:t xml:space="preserve"> </w:t>
            </w:r>
            <w:r w:rsidR="00133F91">
              <w:rPr>
                <w:rFonts w:ascii="Arial" w:eastAsia="SimSun" w:hAnsi="Arial"/>
                <w:b w:val="0"/>
                <w:lang w:eastAsia="zh-CN"/>
              </w:rPr>
              <w:t xml:space="preserve">improving </w:t>
            </w:r>
            <w:r w:rsidR="00991BBA">
              <w:rPr>
                <w:rFonts w:ascii="Arial" w:eastAsia="SimSun" w:hAnsi="Arial"/>
                <w:b w:val="0"/>
                <w:lang w:eastAsia="zh-CN"/>
              </w:rPr>
              <w:t>link</w:t>
            </w:r>
            <w:r w:rsidR="00133F91">
              <w:rPr>
                <w:rFonts w:ascii="Arial" w:eastAsia="SimSun" w:hAnsi="Arial"/>
                <w:b w:val="0"/>
                <w:lang w:eastAsia="zh-CN"/>
              </w:rPr>
              <w:t>age of services for</w:t>
            </w:r>
            <w:r w:rsidR="00991BBA">
              <w:rPr>
                <w:rFonts w:ascii="Arial" w:eastAsia="SimSun" w:hAnsi="Arial"/>
                <w:b w:val="0"/>
                <w:lang w:eastAsia="zh-CN"/>
              </w:rPr>
              <w:t xml:space="preserve"> </w:t>
            </w:r>
            <w:r w:rsidR="00133F91">
              <w:rPr>
                <w:rFonts w:ascii="Arial" w:eastAsia="SimSun" w:hAnsi="Arial"/>
                <w:b w:val="0"/>
                <w:lang w:eastAsia="zh-CN"/>
              </w:rPr>
              <w:t>KP</w:t>
            </w:r>
            <w:r w:rsidR="00EB45D5">
              <w:rPr>
                <w:rFonts w:ascii="Arial" w:eastAsia="SimSun" w:hAnsi="Arial"/>
                <w:b w:val="0"/>
                <w:lang w:eastAsia="zh-CN"/>
              </w:rPr>
              <w:t xml:space="preserve">. The </w:t>
            </w:r>
            <w:r w:rsidR="003E001D">
              <w:rPr>
                <w:rFonts w:ascii="Arial" w:eastAsia="SimSun" w:hAnsi="Arial"/>
                <w:b w:val="0"/>
                <w:lang w:eastAsia="zh-CN"/>
              </w:rPr>
              <w:t>national-</w:t>
            </w:r>
            <w:r w:rsidR="00B33306">
              <w:rPr>
                <w:rFonts w:ascii="Arial" w:eastAsia="SimSun" w:hAnsi="Arial"/>
                <w:b w:val="0"/>
                <w:lang w:eastAsia="zh-CN"/>
              </w:rPr>
              <w:t xml:space="preserve">wide replication </w:t>
            </w:r>
            <w:r w:rsidR="00EB45D5">
              <w:rPr>
                <w:rFonts w:ascii="Arial" w:eastAsia="SimSun" w:hAnsi="Arial"/>
                <w:b w:val="0"/>
                <w:lang w:eastAsia="zh-CN"/>
              </w:rPr>
              <w:t>of social contracting mechanisms is targeted as a</w:t>
            </w:r>
            <w:r w:rsidR="006F7CAF">
              <w:rPr>
                <w:rFonts w:ascii="Arial" w:eastAsia="SimSun" w:hAnsi="Arial"/>
                <w:b w:val="0"/>
                <w:lang w:eastAsia="zh-CN"/>
              </w:rPr>
              <w:t>n</w:t>
            </w:r>
            <w:r w:rsidR="00EB45D5">
              <w:rPr>
                <w:rFonts w:ascii="Arial" w:eastAsia="SimSun" w:hAnsi="Arial"/>
                <w:b w:val="0"/>
                <w:lang w:eastAsia="zh-CN"/>
              </w:rPr>
              <w:t xml:space="preserve"> ultimate goal </w:t>
            </w:r>
            <w:r w:rsidR="00B33306">
              <w:rPr>
                <w:rFonts w:ascii="Arial" w:eastAsia="SimSun" w:hAnsi="Arial"/>
                <w:b w:val="0"/>
                <w:lang w:eastAsia="zh-CN"/>
              </w:rPr>
              <w:t>towards efficient HIV response</w:t>
            </w:r>
            <w:r w:rsidRPr="00223B98">
              <w:rPr>
                <w:rFonts w:ascii="Arial" w:eastAsia="SimSun" w:hAnsi="Arial"/>
                <w:b w:val="0"/>
                <w:lang w:eastAsia="zh-CN"/>
              </w:rPr>
              <w:t xml:space="preserve">. A new approach </w:t>
            </w:r>
            <w:r w:rsidR="003E001D">
              <w:rPr>
                <w:rFonts w:ascii="Arial" w:eastAsia="SimSun" w:hAnsi="Arial"/>
                <w:b w:val="0"/>
                <w:lang w:eastAsia="zh-CN"/>
              </w:rPr>
              <w:t xml:space="preserve">based on matching funds for </w:t>
            </w:r>
            <w:r w:rsidR="003E001D" w:rsidRPr="00223B98">
              <w:rPr>
                <w:rFonts w:ascii="Arial" w:eastAsia="SimSun" w:hAnsi="Arial"/>
                <w:b w:val="0"/>
                <w:lang w:eastAsia="zh-CN"/>
              </w:rPr>
              <w:t xml:space="preserve">services that are genuine to NGOs </w:t>
            </w:r>
            <w:r w:rsidR="003E001D">
              <w:rPr>
                <w:rFonts w:ascii="Arial" w:eastAsia="SimSun" w:hAnsi="Arial"/>
                <w:b w:val="0"/>
                <w:lang w:eastAsia="zh-CN"/>
              </w:rPr>
              <w:t>(d</w:t>
            </w:r>
            <w:r w:rsidR="0021746B">
              <w:rPr>
                <w:rFonts w:ascii="Arial" w:eastAsia="SimSun" w:hAnsi="Arial"/>
                <w:b w:val="0"/>
                <w:lang w:eastAsia="zh-CN"/>
              </w:rPr>
              <w:t>escribed under Objective 2</w:t>
            </w:r>
            <w:r w:rsidR="003E001D">
              <w:rPr>
                <w:rFonts w:ascii="Arial" w:eastAsia="SimSun" w:hAnsi="Arial"/>
                <w:b w:val="0"/>
                <w:lang w:eastAsia="zh-CN"/>
              </w:rPr>
              <w:t xml:space="preserve">) </w:t>
            </w:r>
            <w:r w:rsidR="003E001D" w:rsidRPr="00223B98">
              <w:rPr>
                <w:rFonts w:ascii="Arial" w:eastAsia="SimSun" w:hAnsi="Arial"/>
                <w:b w:val="0"/>
                <w:lang w:eastAsia="zh-CN"/>
              </w:rPr>
              <w:t>will be subject to social contract</w:t>
            </w:r>
            <w:r w:rsidR="003E001D">
              <w:rPr>
                <w:rFonts w:ascii="Arial" w:eastAsia="SimSun" w:hAnsi="Arial"/>
                <w:b w:val="0"/>
                <w:lang w:eastAsia="zh-CN"/>
              </w:rPr>
              <w:t xml:space="preserve"> supported by this request of funding in earlier intervention </w:t>
            </w:r>
            <w:r w:rsidRPr="00223B98">
              <w:rPr>
                <w:rFonts w:ascii="Arial" w:eastAsia="SimSun" w:hAnsi="Arial"/>
                <w:b w:val="0"/>
                <w:lang w:eastAsia="zh-CN"/>
              </w:rPr>
              <w:t>sites</w:t>
            </w:r>
            <w:r w:rsidR="003E001D">
              <w:rPr>
                <w:rFonts w:ascii="Arial" w:eastAsia="SimSun" w:hAnsi="Arial"/>
                <w:b w:val="0"/>
                <w:lang w:eastAsia="zh-CN"/>
              </w:rPr>
              <w:t xml:space="preserve">. </w:t>
            </w:r>
          </w:p>
          <w:p w14:paraId="603809B3" w14:textId="353764D8" w:rsidR="00324F15" w:rsidRDefault="00C53CCA" w:rsidP="00324F15">
            <w:pPr>
              <w:spacing w:before="120" w:after="120" w:line="240" w:lineRule="auto"/>
              <w:jc w:val="both"/>
              <w:rPr>
                <w:rFonts w:ascii="Arial" w:hAnsi="Arial"/>
                <w:b w:val="0"/>
              </w:rPr>
            </w:pPr>
            <w:r>
              <w:rPr>
                <w:rFonts w:ascii="Arial" w:hAnsi="Arial"/>
                <w:b w:val="0"/>
              </w:rPr>
              <w:t xml:space="preserve">The funding request is focused </w:t>
            </w:r>
            <w:r w:rsidR="00961C04" w:rsidRPr="00223B98">
              <w:rPr>
                <w:rFonts w:ascii="Arial" w:hAnsi="Arial"/>
                <w:b w:val="0"/>
              </w:rPr>
              <w:t>on two</w:t>
            </w:r>
            <w:r>
              <w:rPr>
                <w:rFonts w:ascii="Arial" w:hAnsi="Arial"/>
                <w:b w:val="0"/>
              </w:rPr>
              <w:t xml:space="preserve"> </w:t>
            </w:r>
            <w:r w:rsidR="007443A8">
              <w:rPr>
                <w:rFonts w:ascii="Arial" w:hAnsi="Arial"/>
                <w:b w:val="0"/>
              </w:rPr>
              <w:t xml:space="preserve">most affected </w:t>
            </w:r>
            <w:r>
              <w:rPr>
                <w:rFonts w:ascii="Arial" w:hAnsi="Arial"/>
                <w:b w:val="0"/>
              </w:rPr>
              <w:t xml:space="preserve">earlier intervention </w:t>
            </w:r>
            <w:r w:rsidR="00961C04" w:rsidRPr="00223B98">
              <w:rPr>
                <w:rFonts w:ascii="Arial" w:hAnsi="Arial"/>
                <w:b w:val="0"/>
              </w:rPr>
              <w:t xml:space="preserve">territorial-administrative units: Karaganda oblast and Almaty city, with </w:t>
            </w:r>
            <w:r w:rsidR="007443A8">
              <w:rPr>
                <w:rFonts w:ascii="Arial" w:hAnsi="Arial"/>
                <w:b w:val="0"/>
              </w:rPr>
              <w:t xml:space="preserve">an HIV </w:t>
            </w:r>
            <w:r w:rsidR="00961C04" w:rsidRPr="00223B98">
              <w:rPr>
                <w:rFonts w:ascii="Arial" w:hAnsi="Arial"/>
                <w:b w:val="0"/>
              </w:rPr>
              <w:t>prevalence</w:t>
            </w:r>
            <w:r w:rsidR="007443A8">
              <w:rPr>
                <w:rFonts w:ascii="Arial" w:hAnsi="Arial"/>
                <w:b w:val="0"/>
              </w:rPr>
              <w:t xml:space="preserve"> among PWID</w:t>
            </w:r>
            <w:r w:rsidR="00961C04" w:rsidRPr="00223B98">
              <w:rPr>
                <w:rFonts w:ascii="Arial" w:hAnsi="Arial"/>
                <w:b w:val="0"/>
              </w:rPr>
              <w:t xml:space="preserve"> </w:t>
            </w:r>
            <w:r w:rsidR="007443A8">
              <w:rPr>
                <w:rFonts w:ascii="Arial" w:hAnsi="Arial"/>
                <w:b w:val="0"/>
              </w:rPr>
              <w:t xml:space="preserve">well above national level: </w:t>
            </w:r>
            <w:r w:rsidR="00961C04" w:rsidRPr="00223B98">
              <w:rPr>
                <w:rFonts w:ascii="Arial" w:hAnsi="Arial"/>
                <w:b w:val="0"/>
              </w:rPr>
              <w:t>11.8% and</w:t>
            </w:r>
            <w:r w:rsidR="007443A8">
              <w:rPr>
                <w:rFonts w:ascii="Arial" w:hAnsi="Arial"/>
                <w:b w:val="0"/>
              </w:rPr>
              <w:t xml:space="preserve"> 9.4% respectively. There is a </w:t>
            </w:r>
            <w:r w:rsidR="00961C04" w:rsidRPr="00223B98">
              <w:rPr>
                <w:rFonts w:ascii="Arial" w:hAnsi="Arial"/>
                <w:b w:val="0"/>
              </w:rPr>
              <w:t xml:space="preserve">strong commitment from AIDS Centers and political support from local </w:t>
            </w:r>
            <w:r w:rsidR="007443A8">
              <w:rPr>
                <w:rFonts w:ascii="Arial" w:hAnsi="Arial"/>
                <w:b w:val="0"/>
              </w:rPr>
              <w:t>authorities (</w:t>
            </w:r>
            <w:r w:rsidR="00961C04" w:rsidRPr="00223B98">
              <w:rPr>
                <w:rFonts w:ascii="Arial" w:hAnsi="Arial"/>
                <w:b w:val="0"/>
              </w:rPr>
              <w:t>Akimats</w:t>
            </w:r>
            <w:r w:rsidR="007443A8">
              <w:rPr>
                <w:rFonts w:ascii="Arial" w:hAnsi="Arial"/>
                <w:b w:val="0"/>
              </w:rPr>
              <w:t>)</w:t>
            </w:r>
            <w:r w:rsidR="00961C04" w:rsidRPr="00223B98">
              <w:rPr>
                <w:rFonts w:ascii="Arial" w:hAnsi="Arial"/>
                <w:b w:val="0"/>
              </w:rPr>
              <w:t xml:space="preserve"> for bold HIV response to institutionalize and roll-out the social contracting mechanisms</w:t>
            </w:r>
            <w:r w:rsidR="007443A8">
              <w:rPr>
                <w:rFonts w:ascii="Arial" w:hAnsi="Arial"/>
                <w:b w:val="0"/>
              </w:rPr>
              <w:t xml:space="preserve"> for NGOs</w:t>
            </w:r>
            <w:r>
              <w:rPr>
                <w:rFonts w:ascii="Arial" w:hAnsi="Arial"/>
                <w:b w:val="0"/>
              </w:rPr>
              <w:t xml:space="preserve"> based on matching funds</w:t>
            </w:r>
            <w:r w:rsidR="00961C04" w:rsidRPr="00223B98">
              <w:rPr>
                <w:rFonts w:ascii="Arial" w:hAnsi="Arial"/>
                <w:b w:val="0"/>
              </w:rPr>
              <w:t xml:space="preserve">. A third </w:t>
            </w:r>
            <w:r w:rsidR="007443A8">
              <w:rPr>
                <w:rFonts w:ascii="Arial" w:hAnsi="Arial"/>
                <w:b w:val="0"/>
              </w:rPr>
              <w:t xml:space="preserve">unit </w:t>
            </w:r>
            <w:r w:rsidR="00961C04" w:rsidRPr="00223B98">
              <w:rPr>
                <w:rFonts w:ascii="Arial" w:hAnsi="Arial"/>
                <w:b w:val="0"/>
              </w:rPr>
              <w:t>- Astana city</w:t>
            </w:r>
            <w:r w:rsidR="007443A8">
              <w:rPr>
                <w:rFonts w:ascii="Arial" w:hAnsi="Arial"/>
                <w:b w:val="0"/>
              </w:rPr>
              <w:t xml:space="preserve"> -</w:t>
            </w:r>
            <w:r w:rsidR="00961C04" w:rsidRPr="00223B98">
              <w:rPr>
                <w:rFonts w:ascii="Arial" w:hAnsi="Arial"/>
                <w:b w:val="0"/>
              </w:rPr>
              <w:t xml:space="preserve"> will join the </w:t>
            </w:r>
            <w:r>
              <w:rPr>
                <w:rFonts w:ascii="Arial" w:hAnsi="Arial"/>
                <w:b w:val="0"/>
              </w:rPr>
              <w:t>earlier intervention sites starting Y</w:t>
            </w:r>
            <w:r w:rsidR="00961C04" w:rsidRPr="00223B98">
              <w:rPr>
                <w:rFonts w:ascii="Arial" w:hAnsi="Arial"/>
                <w:b w:val="0"/>
              </w:rPr>
              <w:t>ear 3</w:t>
            </w:r>
            <w:r>
              <w:rPr>
                <w:rFonts w:ascii="Arial" w:hAnsi="Arial"/>
                <w:b w:val="0"/>
              </w:rPr>
              <w:t xml:space="preserve">, initiating </w:t>
            </w:r>
            <w:r w:rsidR="007443A8">
              <w:rPr>
                <w:rFonts w:ascii="Arial" w:hAnsi="Arial"/>
                <w:b w:val="0"/>
              </w:rPr>
              <w:t xml:space="preserve">the process of gradual </w:t>
            </w:r>
            <w:r>
              <w:rPr>
                <w:rFonts w:ascii="Arial" w:hAnsi="Arial"/>
                <w:b w:val="0"/>
              </w:rPr>
              <w:t>expansion of</w:t>
            </w:r>
            <w:r w:rsidR="00961C04" w:rsidRPr="00223B98">
              <w:rPr>
                <w:rFonts w:ascii="Arial" w:hAnsi="Arial"/>
                <w:b w:val="0"/>
              </w:rPr>
              <w:t xml:space="preserve"> the</w:t>
            </w:r>
            <w:r>
              <w:rPr>
                <w:rFonts w:ascii="Arial" w:hAnsi="Arial"/>
                <w:b w:val="0"/>
              </w:rPr>
              <w:t xml:space="preserve"> improved</w:t>
            </w:r>
            <w:r w:rsidR="00961C04" w:rsidRPr="00223B98">
              <w:rPr>
                <w:rFonts w:ascii="Arial" w:hAnsi="Arial"/>
                <w:b w:val="0"/>
              </w:rPr>
              <w:t xml:space="preserve"> mechanism to other regions after </w:t>
            </w:r>
            <w:r w:rsidR="007443A8">
              <w:rPr>
                <w:rFonts w:ascii="Arial" w:hAnsi="Arial"/>
                <w:b w:val="0"/>
              </w:rPr>
              <w:t xml:space="preserve">the </w:t>
            </w:r>
            <w:r w:rsidR="00B25644">
              <w:rPr>
                <w:rFonts w:ascii="Arial" w:hAnsi="Arial"/>
                <w:b w:val="0"/>
              </w:rPr>
              <w:t xml:space="preserve">TGF funding </w:t>
            </w:r>
            <w:r w:rsidR="007443A8">
              <w:rPr>
                <w:rFonts w:ascii="Arial" w:hAnsi="Arial"/>
                <w:b w:val="0"/>
              </w:rPr>
              <w:t>phase out</w:t>
            </w:r>
            <w:r w:rsidR="00961C04" w:rsidRPr="00223B98">
              <w:rPr>
                <w:rFonts w:ascii="Arial" w:hAnsi="Arial"/>
                <w:b w:val="0"/>
              </w:rPr>
              <w:t>.</w:t>
            </w:r>
            <w:r w:rsidR="007443A8">
              <w:rPr>
                <w:rFonts w:ascii="Arial" w:hAnsi="Arial"/>
                <w:b w:val="0"/>
              </w:rPr>
              <w:t xml:space="preserve"> </w:t>
            </w:r>
            <w:r w:rsidR="00C77360">
              <w:rPr>
                <w:rFonts w:ascii="Arial" w:hAnsi="Arial"/>
                <w:b w:val="0"/>
              </w:rPr>
              <w:t>With PEPFAR contribution in Pavlodar and East Kazakhstan most of high-burden regions are supported to scale up essential services to KP.</w:t>
            </w:r>
            <w:r w:rsidR="000E0A5B">
              <w:rPr>
                <w:rFonts w:ascii="Arial" w:hAnsi="Arial"/>
                <w:b w:val="0"/>
              </w:rPr>
              <w:t xml:space="preserve"> </w:t>
            </w:r>
            <w:r w:rsidR="00BE5783">
              <w:rPr>
                <w:rFonts w:ascii="Arial" w:hAnsi="Arial"/>
                <w:b w:val="0"/>
              </w:rPr>
              <w:t>Based on accumulated experience, s</w:t>
            </w:r>
            <w:r w:rsidR="000E0A5B">
              <w:rPr>
                <w:rFonts w:ascii="Arial" w:hAnsi="Arial"/>
                <w:b w:val="0"/>
              </w:rPr>
              <w:t>pecific roadmap for social contracting model replication will be developed by RAC</w:t>
            </w:r>
            <w:r w:rsidR="003235E4">
              <w:rPr>
                <w:rFonts w:ascii="Arial" w:hAnsi="Arial"/>
                <w:b w:val="0"/>
              </w:rPr>
              <w:t>,</w:t>
            </w:r>
            <w:r w:rsidR="000E0A5B">
              <w:rPr>
                <w:rFonts w:ascii="Arial" w:hAnsi="Arial"/>
                <w:b w:val="0"/>
              </w:rPr>
              <w:t xml:space="preserve"> </w:t>
            </w:r>
            <w:r w:rsidR="003235E4">
              <w:rPr>
                <w:rFonts w:ascii="Arial" w:hAnsi="Arial"/>
                <w:b w:val="0"/>
              </w:rPr>
              <w:t>as part of Transition plan</w:t>
            </w:r>
            <w:r w:rsidR="003235E4">
              <w:rPr>
                <w:rFonts w:ascii="Arial" w:hAnsi="Arial"/>
                <w:b w:val="0"/>
              </w:rPr>
              <w:t xml:space="preserve">, </w:t>
            </w:r>
            <w:r w:rsidR="000E0A5B">
              <w:rPr>
                <w:rFonts w:ascii="Arial" w:hAnsi="Arial"/>
                <w:b w:val="0"/>
              </w:rPr>
              <w:t xml:space="preserve">and </w:t>
            </w:r>
            <w:r w:rsidR="003235E4">
              <w:rPr>
                <w:rFonts w:ascii="Arial" w:hAnsi="Arial"/>
                <w:b w:val="0"/>
              </w:rPr>
              <w:t xml:space="preserve">will be </w:t>
            </w:r>
            <w:bookmarkStart w:id="0" w:name="_GoBack"/>
            <w:bookmarkEnd w:id="0"/>
            <w:r w:rsidR="000E0A5B">
              <w:rPr>
                <w:rFonts w:ascii="Arial" w:hAnsi="Arial"/>
                <w:b w:val="0"/>
              </w:rPr>
              <w:t>discussed widely with the relevant stakeholders.</w:t>
            </w:r>
          </w:p>
          <w:p w14:paraId="5B707B6F" w14:textId="3FE04A85" w:rsidR="00961C04" w:rsidRPr="00223B98" w:rsidRDefault="00324F15" w:rsidP="000F6B0C">
            <w:pPr>
              <w:spacing w:before="120" w:after="120" w:line="240" w:lineRule="auto"/>
              <w:jc w:val="both"/>
              <w:rPr>
                <w:rFonts w:ascii="Arial" w:hAnsi="Arial"/>
                <w:b w:val="0"/>
              </w:rPr>
            </w:pPr>
            <w:r w:rsidRPr="00324F15">
              <w:rPr>
                <w:rFonts w:ascii="Arial" w:hAnsi="Arial"/>
                <w:b w:val="0"/>
              </w:rPr>
              <w:t xml:space="preserve">The on-going grant will come to an end </w:t>
            </w:r>
            <w:r w:rsidRPr="00456793">
              <w:rPr>
                <w:rFonts w:ascii="Arial" w:hAnsi="Arial"/>
                <w:b w:val="0"/>
              </w:rPr>
              <w:t>in December 2017,</w:t>
            </w:r>
            <w:r w:rsidRPr="00324F15">
              <w:rPr>
                <w:rFonts w:ascii="Arial" w:hAnsi="Arial"/>
                <w:b w:val="0"/>
              </w:rPr>
              <w:t xml:space="preserve"> therefore there is no duplication or overlap of the activities between the previous grant and the resources allocated by the Government to </w:t>
            </w:r>
            <w:r>
              <w:rPr>
                <w:rFonts w:ascii="Arial" w:hAnsi="Arial"/>
                <w:b w:val="0"/>
              </w:rPr>
              <w:t xml:space="preserve">HIV control. </w:t>
            </w:r>
            <w:r w:rsidR="00153ED8">
              <w:rPr>
                <w:rFonts w:ascii="Arial" w:hAnsi="Arial"/>
                <w:b w:val="0"/>
              </w:rPr>
              <w:t>T</w:t>
            </w:r>
            <w:r w:rsidRPr="00324F15">
              <w:rPr>
                <w:rFonts w:ascii="Arial" w:hAnsi="Arial"/>
                <w:b w:val="0"/>
              </w:rPr>
              <w:t xml:space="preserve">he activities </w:t>
            </w:r>
            <w:r w:rsidR="00CE53F8">
              <w:rPr>
                <w:rFonts w:ascii="Arial" w:hAnsi="Arial"/>
                <w:b w:val="0"/>
              </w:rPr>
              <w:t xml:space="preserve">included in this funding request </w:t>
            </w:r>
            <w:r w:rsidRPr="00324F15">
              <w:rPr>
                <w:rFonts w:ascii="Arial" w:hAnsi="Arial"/>
                <w:b w:val="0"/>
              </w:rPr>
              <w:t xml:space="preserve">have been planned </w:t>
            </w:r>
            <w:r w:rsidR="00DD3A0B">
              <w:rPr>
                <w:rFonts w:ascii="Arial" w:hAnsi="Arial"/>
                <w:b w:val="0"/>
              </w:rPr>
              <w:t>considering</w:t>
            </w:r>
            <w:r w:rsidRPr="00324F15">
              <w:rPr>
                <w:rFonts w:ascii="Arial" w:hAnsi="Arial"/>
                <w:b w:val="0"/>
              </w:rPr>
              <w:t xml:space="preserve"> the increasing contribution of the Government in taking over some key financial needs of the programs.</w:t>
            </w:r>
            <w:r>
              <w:rPr>
                <w:rFonts w:ascii="Arial" w:hAnsi="Arial"/>
                <w:b w:val="0"/>
              </w:rPr>
              <w:t xml:space="preserve"> </w:t>
            </w:r>
            <w:r w:rsidRPr="00324F15">
              <w:rPr>
                <w:rFonts w:ascii="Arial" w:hAnsi="Arial"/>
                <w:b w:val="0"/>
              </w:rPr>
              <w:t xml:space="preserve">The </w:t>
            </w:r>
            <w:r w:rsidR="00AB4127">
              <w:rPr>
                <w:rFonts w:ascii="Arial" w:eastAsia="SimSun" w:hAnsi="Arial"/>
                <w:b w:val="0"/>
                <w:lang w:eastAsia="zh-CN"/>
              </w:rPr>
              <w:t>f</w:t>
            </w:r>
            <w:r w:rsidR="00B25644">
              <w:rPr>
                <w:rFonts w:ascii="Arial" w:eastAsia="SimSun" w:hAnsi="Arial"/>
                <w:b w:val="0"/>
                <w:lang w:eastAsia="zh-CN"/>
              </w:rPr>
              <w:t>undi</w:t>
            </w:r>
            <w:r w:rsidR="00AB4127">
              <w:rPr>
                <w:rFonts w:ascii="Arial" w:eastAsia="SimSun" w:hAnsi="Arial"/>
                <w:b w:val="0"/>
                <w:lang w:eastAsia="zh-CN"/>
              </w:rPr>
              <w:t>ng r</w:t>
            </w:r>
            <w:r w:rsidR="00B25644">
              <w:rPr>
                <w:rFonts w:ascii="Arial" w:eastAsia="SimSun" w:hAnsi="Arial"/>
                <w:b w:val="0"/>
                <w:lang w:eastAsia="zh-CN"/>
              </w:rPr>
              <w:t>equest</w:t>
            </w:r>
            <w:r w:rsidR="00B25644" w:rsidRPr="00223B98">
              <w:rPr>
                <w:rFonts w:ascii="Arial" w:eastAsia="SimSun" w:hAnsi="Arial"/>
                <w:b w:val="0"/>
                <w:lang w:eastAsia="zh-CN"/>
              </w:rPr>
              <w:t xml:space="preserve"> </w:t>
            </w:r>
            <w:r w:rsidRPr="00324F15">
              <w:rPr>
                <w:rFonts w:ascii="Arial" w:hAnsi="Arial"/>
                <w:b w:val="0"/>
              </w:rPr>
              <w:t xml:space="preserve">will be implemented through </w:t>
            </w:r>
            <w:r>
              <w:rPr>
                <w:rFonts w:ascii="Arial" w:hAnsi="Arial"/>
                <w:b w:val="0"/>
              </w:rPr>
              <w:t xml:space="preserve">one </w:t>
            </w:r>
            <w:r w:rsidR="00AB4127">
              <w:rPr>
                <w:rFonts w:ascii="Arial" w:hAnsi="Arial"/>
                <w:b w:val="0"/>
              </w:rPr>
              <w:t>principal recipient</w:t>
            </w:r>
            <w:r w:rsidR="005252E6">
              <w:rPr>
                <w:rFonts w:ascii="Arial" w:hAnsi="Arial"/>
                <w:b w:val="0"/>
              </w:rPr>
              <w:t xml:space="preserve"> (PR),</w:t>
            </w:r>
            <w:r w:rsidRPr="00324F15">
              <w:rPr>
                <w:rFonts w:ascii="Arial" w:hAnsi="Arial"/>
                <w:b w:val="0"/>
              </w:rPr>
              <w:t xml:space="preserve"> </w:t>
            </w:r>
            <w:r>
              <w:rPr>
                <w:rFonts w:ascii="Arial" w:hAnsi="Arial"/>
                <w:b w:val="0"/>
              </w:rPr>
              <w:t xml:space="preserve">Republican AIDS Center having </w:t>
            </w:r>
            <w:r w:rsidR="0032541B">
              <w:rPr>
                <w:rFonts w:ascii="Arial" w:hAnsi="Arial"/>
                <w:b w:val="0"/>
              </w:rPr>
              <w:t>three</w:t>
            </w:r>
            <w:r>
              <w:rPr>
                <w:rFonts w:ascii="Arial" w:hAnsi="Arial"/>
                <w:b w:val="0"/>
              </w:rPr>
              <w:t xml:space="preserve"> sub-recipients (</w:t>
            </w:r>
            <w:r w:rsidR="003D68F1">
              <w:rPr>
                <w:rFonts w:ascii="Arial" w:hAnsi="Arial"/>
                <w:b w:val="0"/>
              </w:rPr>
              <w:t xml:space="preserve">Karaganda AIDS Center, </w:t>
            </w:r>
            <w:r w:rsidR="005252E6">
              <w:rPr>
                <w:rFonts w:ascii="Arial" w:hAnsi="Arial"/>
                <w:b w:val="0"/>
              </w:rPr>
              <w:t xml:space="preserve">Almaty </w:t>
            </w:r>
            <w:r>
              <w:rPr>
                <w:rFonts w:ascii="Arial" w:hAnsi="Arial"/>
                <w:b w:val="0"/>
              </w:rPr>
              <w:t>AIDS Centers</w:t>
            </w:r>
            <w:r w:rsidR="003D68F1">
              <w:rPr>
                <w:rFonts w:ascii="Arial" w:hAnsi="Arial"/>
                <w:b w:val="0"/>
              </w:rPr>
              <w:t xml:space="preserve"> and Astana AIDS Center starting Year 3</w:t>
            </w:r>
            <w:r>
              <w:rPr>
                <w:rFonts w:ascii="Arial" w:hAnsi="Arial"/>
                <w:b w:val="0"/>
              </w:rPr>
              <w:t>)</w:t>
            </w:r>
            <w:r w:rsidRPr="00324F15">
              <w:rPr>
                <w:rFonts w:ascii="Arial" w:hAnsi="Arial"/>
                <w:b w:val="0"/>
              </w:rPr>
              <w:t xml:space="preserve">. </w:t>
            </w:r>
            <w:r w:rsidR="00961C04" w:rsidRPr="00223B98">
              <w:rPr>
                <w:rFonts w:ascii="Arial" w:hAnsi="Arial"/>
                <w:b w:val="0"/>
              </w:rPr>
              <w:t>A brief description of proposed Interventions by each Objective is given below.</w:t>
            </w:r>
          </w:p>
          <w:p w14:paraId="7192AD71" w14:textId="5D030D12" w:rsidR="00961C04" w:rsidRPr="00223B98" w:rsidRDefault="00961C04" w:rsidP="000F6B0C">
            <w:pPr>
              <w:spacing w:before="120" w:after="120" w:line="240" w:lineRule="auto"/>
              <w:jc w:val="both"/>
              <w:rPr>
                <w:rFonts w:ascii="Arial" w:hAnsi="Arial"/>
              </w:rPr>
            </w:pPr>
            <w:r w:rsidRPr="00223B98">
              <w:rPr>
                <w:rFonts w:ascii="Arial" w:hAnsi="Arial"/>
              </w:rPr>
              <w:t>Objective 1. To institutionalize an innovative social contracting system for sustainable national HIV response</w:t>
            </w:r>
          </w:p>
          <w:p w14:paraId="6F13FA34" w14:textId="595DC44A" w:rsidR="00961C04" w:rsidRPr="000F6B0C" w:rsidRDefault="000431C6" w:rsidP="00A436C1">
            <w:pPr>
              <w:spacing w:before="120" w:after="120" w:line="240" w:lineRule="auto"/>
              <w:jc w:val="both"/>
              <w:rPr>
                <w:rFonts w:ascii="Arial" w:eastAsia="SimSun" w:hAnsi="Arial"/>
                <w:b w:val="0"/>
                <w:lang w:eastAsia="zh-CN"/>
              </w:rPr>
            </w:pPr>
            <w:r>
              <w:rPr>
                <w:rFonts w:ascii="Arial" w:hAnsi="Arial"/>
                <w:b w:val="0"/>
              </w:rPr>
              <w:t xml:space="preserve">The </w:t>
            </w:r>
            <w:r w:rsidR="00A36A4A">
              <w:rPr>
                <w:rFonts w:ascii="Arial" w:hAnsi="Arial"/>
                <w:b w:val="0"/>
              </w:rPr>
              <w:t>existing</w:t>
            </w:r>
            <w:r>
              <w:rPr>
                <w:rFonts w:ascii="Arial" w:hAnsi="Arial"/>
                <w:b w:val="0"/>
              </w:rPr>
              <w:t xml:space="preserve"> </w:t>
            </w:r>
            <w:r w:rsidR="00A36A4A">
              <w:rPr>
                <w:rFonts w:ascii="Arial" w:hAnsi="Arial"/>
                <w:b w:val="0"/>
              </w:rPr>
              <w:t xml:space="preserve">social </w:t>
            </w:r>
            <w:r w:rsidR="00A36A4A" w:rsidRPr="00010B47">
              <w:rPr>
                <w:rFonts w:ascii="Arial" w:hAnsi="Arial"/>
                <w:b w:val="0"/>
              </w:rPr>
              <w:t xml:space="preserve">contracting system has a series of </w:t>
            </w:r>
            <w:r w:rsidR="00EB45D5" w:rsidRPr="00010B47">
              <w:rPr>
                <w:rFonts w:ascii="Arial" w:hAnsi="Arial"/>
                <w:b w:val="0"/>
              </w:rPr>
              <w:t xml:space="preserve">legal and procedural </w:t>
            </w:r>
            <w:r w:rsidR="00A36A4A" w:rsidRPr="00010B47">
              <w:rPr>
                <w:rFonts w:ascii="Arial" w:hAnsi="Arial"/>
                <w:b w:val="0"/>
              </w:rPr>
              <w:t xml:space="preserve">shortcoming and cannot be properly used to provide vital services to </w:t>
            </w:r>
            <w:r w:rsidR="00864F58" w:rsidRPr="00010B47">
              <w:rPr>
                <w:rFonts w:ascii="Arial" w:hAnsi="Arial"/>
                <w:b w:val="0"/>
              </w:rPr>
              <w:t>KP</w:t>
            </w:r>
            <w:r w:rsidR="00A36A4A" w:rsidRPr="00010B47">
              <w:rPr>
                <w:rFonts w:ascii="Arial" w:hAnsi="Arial"/>
                <w:b w:val="0"/>
              </w:rPr>
              <w:t xml:space="preserve"> through NGOs</w:t>
            </w:r>
            <w:r w:rsidR="00EB45D5" w:rsidRPr="00010B47">
              <w:rPr>
                <w:rFonts w:ascii="Arial" w:hAnsi="Arial"/>
                <w:b w:val="0"/>
              </w:rPr>
              <w:t xml:space="preserve">, including but not limited to </w:t>
            </w:r>
            <w:r w:rsidR="00864F58" w:rsidRPr="00765056">
              <w:rPr>
                <w:rFonts w:ascii="Arial" w:hAnsi="Arial"/>
                <w:b w:val="0"/>
              </w:rPr>
              <w:t>(1) da</w:t>
            </w:r>
            <w:r w:rsidR="00EB45D5" w:rsidRPr="00765056">
              <w:rPr>
                <w:rFonts w:ascii="Arial" w:hAnsi="Arial"/>
                <w:b w:val="0"/>
              </w:rPr>
              <w:t xml:space="preserve">mping provisions </w:t>
            </w:r>
            <w:r w:rsidR="00B84970" w:rsidRPr="00765056">
              <w:rPr>
                <w:rFonts w:ascii="Arial" w:hAnsi="Arial"/>
                <w:b w:val="0"/>
              </w:rPr>
              <w:t xml:space="preserve">(drop price) </w:t>
            </w:r>
            <w:r w:rsidR="00EB45D5" w:rsidRPr="00765056">
              <w:rPr>
                <w:rFonts w:ascii="Arial" w:hAnsi="Arial"/>
                <w:b w:val="0"/>
              </w:rPr>
              <w:t xml:space="preserve">up to 75% </w:t>
            </w:r>
            <w:r w:rsidR="00010B47">
              <w:rPr>
                <w:rFonts w:ascii="Arial" w:hAnsi="Arial"/>
                <w:b w:val="0"/>
              </w:rPr>
              <w:t xml:space="preserve">from initial price offer </w:t>
            </w:r>
            <w:r w:rsidR="00EB45D5" w:rsidRPr="00765056">
              <w:rPr>
                <w:rFonts w:ascii="Arial" w:hAnsi="Arial"/>
                <w:b w:val="0"/>
              </w:rPr>
              <w:t xml:space="preserve">that directly impact the volume and quality of services, </w:t>
            </w:r>
            <w:r w:rsidR="00864F58" w:rsidRPr="00010B47">
              <w:rPr>
                <w:rFonts w:ascii="Arial" w:hAnsi="Arial"/>
                <w:b w:val="0"/>
              </w:rPr>
              <w:t xml:space="preserve">(2) </w:t>
            </w:r>
            <w:r w:rsidR="00EB45D5" w:rsidRPr="00010B47">
              <w:rPr>
                <w:rFonts w:ascii="Arial" w:hAnsi="Arial"/>
                <w:b w:val="0"/>
              </w:rPr>
              <w:t>post factum payment provision (</w:t>
            </w:r>
            <w:r w:rsidR="00AE005F" w:rsidRPr="00010B47">
              <w:rPr>
                <w:rFonts w:ascii="Arial" w:hAnsi="Arial"/>
                <w:b w:val="0"/>
              </w:rPr>
              <w:t xml:space="preserve">50% to </w:t>
            </w:r>
            <w:r w:rsidR="00EB45D5" w:rsidRPr="00010B47">
              <w:rPr>
                <w:rFonts w:ascii="Arial" w:hAnsi="Arial"/>
                <w:b w:val="0"/>
              </w:rPr>
              <w:t xml:space="preserve">70%) that significantly jeopardize </w:t>
            </w:r>
            <w:r w:rsidR="00864F58" w:rsidRPr="00010B47">
              <w:rPr>
                <w:rFonts w:ascii="Arial" w:hAnsi="Arial"/>
                <w:b w:val="0"/>
              </w:rPr>
              <w:t>implementation</w:t>
            </w:r>
            <w:r w:rsidR="00EB45D5" w:rsidRPr="00010B47">
              <w:rPr>
                <w:rFonts w:ascii="Arial" w:hAnsi="Arial"/>
                <w:b w:val="0"/>
              </w:rPr>
              <w:t xml:space="preserve">, </w:t>
            </w:r>
            <w:r w:rsidR="00864F58" w:rsidRPr="00010B47">
              <w:rPr>
                <w:rFonts w:ascii="Arial" w:hAnsi="Arial"/>
                <w:b w:val="0"/>
              </w:rPr>
              <w:t xml:space="preserve">(3) </w:t>
            </w:r>
            <w:r w:rsidR="00EB45D5" w:rsidRPr="00010B47">
              <w:rPr>
                <w:rFonts w:ascii="Arial" w:hAnsi="Arial"/>
                <w:b w:val="0"/>
              </w:rPr>
              <w:t xml:space="preserve">insensitive selection criteria </w:t>
            </w:r>
            <w:r w:rsidR="00AE005F" w:rsidRPr="00010B47">
              <w:rPr>
                <w:rFonts w:ascii="Arial" w:hAnsi="Arial"/>
                <w:b w:val="0"/>
              </w:rPr>
              <w:t xml:space="preserve">that </w:t>
            </w:r>
            <w:r w:rsidR="00EB45D5" w:rsidRPr="00010B47">
              <w:rPr>
                <w:rFonts w:ascii="Arial" w:hAnsi="Arial"/>
                <w:b w:val="0"/>
              </w:rPr>
              <w:t xml:space="preserve">leave room for </w:t>
            </w:r>
            <w:r w:rsidR="00B84970" w:rsidRPr="00010B47">
              <w:rPr>
                <w:rFonts w:ascii="Arial" w:hAnsi="Arial"/>
                <w:b w:val="0"/>
              </w:rPr>
              <w:t xml:space="preserve">unqualified </w:t>
            </w:r>
            <w:r w:rsidR="00EB45D5" w:rsidRPr="00010B47">
              <w:rPr>
                <w:rFonts w:ascii="Arial" w:hAnsi="Arial"/>
                <w:b w:val="0"/>
              </w:rPr>
              <w:t xml:space="preserve">providers, </w:t>
            </w:r>
            <w:r w:rsidR="001E749E" w:rsidRPr="00010B47">
              <w:rPr>
                <w:rFonts w:ascii="Arial" w:hAnsi="Arial"/>
                <w:b w:val="0"/>
              </w:rPr>
              <w:t xml:space="preserve">(4) one </w:t>
            </w:r>
            <w:r w:rsidR="00EB45D5" w:rsidRPr="00010B47">
              <w:rPr>
                <w:rFonts w:ascii="Arial" w:hAnsi="Arial"/>
                <w:b w:val="0"/>
              </w:rPr>
              <w:t xml:space="preserve">year based </w:t>
            </w:r>
            <w:r w:rsidR="00AE005F" w:rsidRPr="00010B47">
              <w:rPr>
                <w:rFonts w:ascii="Arial" w:hAnsi="Arial"/>
                <w:b w:val="0"/>
              </w:rPr>
              <w:t>contracting that puts continuity of services at risk, etc.</w:t>
            </w:r>
            <w:r w:rsidR="00A36A4A" w:rsidRPr="00010B47">
              <w:rPr>
                <w:rFonts w:ascii="Arial" w:hAnsi="Arial"/>
                <w:b w:val="0"/>
              </w:rPr>
              <w:t xml:space="preserve"> </w:t>
            </w:r>
            <w:r w:rsidR="00961C04" w:rsidRPr="00010B47">
              <w:rPr>
                <w:rFonts w:ascii="Arial" w:hAnsi="Arial"/>
                <w:b w:val="0"/>
              </w:rPr>
              <w:t xml:space="preserve">The </w:t>
            </w:r>
            <w:r w:rsidR="001E749E" w:rsidRPr="00010B47">
              <w:rPr>
                <w:rFonts w:ascii="Arial" w:hAnsi="Arial"/>
                <w:b w:val="0"/>
              </w:rPr>
              <w:t xml:space="preserve">interventions under this Objective are oriented </w:t>
            </w:r>
            <w:r w:rsidR="00961C04" w:rsidRPr="00010B47">
              <w:rPr>
                <w:rFonts w:ascii="Arial" w:hAnsi="Arial"/>
                <w:b w:val="0"/>
              </w:rPr>
              <w:t xml:space="preserve">to intensify country </w:t>
            </w:r>
            <w:r w:rsidR="00961C04" w:rsidRPr="00223B98">
              <w:rPr>
                <w:rFonts w:ascii="Arial" w:hAnsi="Arial"/>
                <w:b w:val="0"/>
              </w:rPr>
              <w:t>efforts aimed at ensuring sustainable funding and delivery mechanisms for efficient HIV prevention,</w:t>
            </w:r>
            <w:r w:rsidR="000F6B0C">
              <w:rPr>
                <w:rFonts w:ascii="Arial" w:hAnsi="Arial"/>
                <w:b w:val="0"/>
              </w:rPr>
              <w:t xml:space="preserve"> care and support delivery to K</w:t>
            </w:r>
            <w:r w:rsidR="00961C04" w:rsidRPr="00223B98">
              <w:rPr>
                <w:rFonts w:ascii="Arial" w:hAnsi="Arial"/>
                <w:b w:val="0"/>
              </w:rPr>
              <w:t>P, through development, roll-out and institutionalization of a robust and viable social contracting mechanism in</w:t>
            </w:r>
            <w:r w:rsidR="001E749E">
              <w:rPr>
                <w:rFonts w:ascii="Arial" w:hAnsi="Arial"/>
                <w:b w:val="0"/>
              </w:rPr>
              <w:t xml:space="preserve"> earlier intervention </w:t>
            </w:r>
            <w:r w:rsidR="00961C04" w:rsidRPr="00223B98">
              <w:rPr>
                <w:rFonts w:ascii="Arial" w:hAnsi="Arial"/>
                <w:b w:val="0"/>
              </w:rPr>
              <w:t xml:space="preserve">sites, with the final goal to scale-up </w:t>
            </w:r>
            <w:r w:rsidR="000F6B0C">
              <w:rPr>
                <w:rFonts w:ascii="Arial" w:hAnsi="Arial"/>
                <w:b w:val="0"/>
              </w:rPr>
              <w:t>and replicate the mechanism throughout the country</w:t>
            </w:r>
            <w:r w:rsidR="00EC02B9">
              <w:rPr>
                <w:rFonts w:ascii="Arial" w:hAnsi="Arial"/>
                <w:b w:val="0"/>
              </w:rPr>
              <w:t xml:space="preserve"> for an efficient HIV </w:t>
            </w:r>
            <w:r w:rsidR="00EC02B9" w:rsidRPr="005B1EFE">
              <w:rPr>
                <w:rFonts w:ascii="Arial" w:hAnsi="Arial"/>
                <w:b w:val="0"/>
              </w:rPr>
              <w:t>response</w:t>
            </w:r>
            <w:r w:rsidR="00961C04" w:rsidRPr="00765056">
              <w:rPr>
                <w:rFonts w:ascii="Arial" w:hAnsi="Arial"/>
                <w:b w:val="0"/>
              </w:rPr>
              <w:t xml:space="preserve">. Community based advocacy and monitoring are </w:t>
            </w:r>
            <w:r w:rsidR="00961C04" w:rsidRPr="00223B98">
              <w:rPr>
                <w:rFonts w:ascii="Arial" w:hAnsi="Arial"/>
                <w:b w:val="0"/>
              </w:rPr>
              <w:t xml:space="preserve">at the </w:t>
            </w:r>
            <w:r w:rsidR="001E749E">
              <w:rPr>
                <w:rFonts w:ascii="Arial" w:hAnsi="Arial"/>
                <w:b w:val="0"/>
              </w:rPr>
              <w:t>heart of this O</w:t>
            </w:r>
            <w:r w:rsidR="00961C04" w:rsidRPr="00223B98">
              <w:rPr>
                <w:rFonts w:ascii="Arial" w:hAnsi="Arial"/>
                <w:b w:val="0"/>
              </w:rPr>
              <w:t>bjective and instrumental for successful implementation and scale-up of social contracting mechanism</w:t>
            </w:r>
            <w:r>
              <w:rPr>
                <w:rFonts w:ascii="Arial" w:hAnsi="Arial"/>
                <w:b w:val="0"/>
              </w:rPr>
              <w:t xml:space="preserve">. </w:t>
            </w:r>
            <w:r w:rsidR="003B7692">
              <w:rPr>
                <w:rFonts w:ascii="Arial" w:hAnsi="Arial"/>
                <w:b w:val="0"/>
              </w:rPr>
              <w:t xml:space="preserve">This will </w:t>
            </w:r>
            <w:r w:rsidR="00E06D81">
              <w:rPr>
                <w:rFonts w:ascii="Arial" w:hAnsi="Arial"/>
                <w:b w:val="0"/>
              </w:rPr>
              <w:t xml:space="preserve">also </w:t>
            </w:r>
            <w:r w:rsidR="003B7692">
              <w:rPr>
                <w:rFonts w:ascii="Arial" w:hAnsi="Arial"/>
                <w:b w:val="0"/>
              </w:rPr>
              <w:t xml:space="preserve">ensure </w:t>
            </w:r>
            <w:r w:rsidR="005B1EFE">
              <w:rPr>
                <w:rFonts w:ascii="Arial" w:hAnsi="Arial"/>
                <w:b w:val="0"/>
              </w:rPr>
              <w:t xml:space="preserve">services </w:t>
            </w:r>
            <w:r w:rsidR="00884E53">
              <w:rPr>
                <w:rFonts w:ascii="Arial" w:hAnsi="Arial"/>
                <w:b w:val="0"/>
              </w:rPr>
              <w:t>described</w:t>
            </w:r>
            <w:r w:rsidR="005B1EFE">
              <w:rPr>
                <w:rFonts w:ascii="Arial" w:hAnsi="Arial"/>
                <w:b w:val="0"/>
              </w:rPr>
              <w:t xml:space="preserve"> under Objective 2 are </w:t>
            </w:r>
            <w:r w:rsidR="003B7692">
              <w:rPr>
                <w:rFonts w:ascii="Arial" w:hAnsi="Arial"/>
                <w:b w:val="0"/>
              </w:rPr>
              <w:t>human rights</w:t>
            </w:r>
            <w:r w:rsidR="00F575D0">
              <w:rPr>
                <w:rFonts w:ascii="Arial" w:hAnsi="Arial"/>
                <w:b w:val="0"/>
              </w:rPr>
              <w:t>-</w:t>
            </w:r>
            <w:r w:rsidR="003B7692">
              <w:rPr>
                <w:rFonts w:ascii="Arial" w:hAnsi="Arial"/>
                <w:b w:val="0"/>
              </w:rPr>
              <w:t xml:space="preserve"> and gender equity</w:t>
            </w:r>
            <w:r w:rsidR="00F575D0">
              <w:rPr>
                <w:rFonts w:ascii="Arial" w:hAnsi="Arial"/>
                <w:b w:val="0"/>
              </w:rPr>
              <w:t>-</w:t>
            </w:r>
            <w:r w:rsidR="005B1EFE">
              <w:rPr>
                <w:rFonts w:ascii="Arial" w:hAnsi="Arial"/>
                <w:b w:val="0"/>
              </w:rPr>
              <w:t xml:space="preserve">based. </w:t>
            </w:r>
            <w:r w:rsidR="00961C04" w:rsidRPr="00223B98">
              <w:rPr>
                <w:rFonts w:ascii="Arial" w:hAnsi="Arial"/>
                <w:b w:val="0"/>
              </w:rPr>
              <w:t xml:space="preserve">It is deemed that the successful practices </w:t>
            </w:r>
            <w:r w:rsidR="001E749E">
              <w:rPr>
                <w:rFonts w:ascii="Arial" w:hAnsi="Arial"/>
                <w:b w:val="0"/>
              </w:rPr>
              <w:t>generated as result of these interventions</w:t>
            </w:r>
            <w:r w:rsidR="00AE005F" w:rsidRPr="00223B98">
              <w:rPr>
                <w:rFonts w:ascii="Arial" w:hAnsi="Arial"/>
                <w:b w:val="0"/>
              </w:rPr>
              <w:t xml:space="preserve"> </w:t>
            </w:r>
            <w:r w:rsidR="00961C04" w:rsidRPr="00223B98">
              <w:rPr>
                <w:rFonts w:ascii="Arial" w:hAnsi="Arial"/>
                <w:b w:val="0"/>
              </w:rPr>
              <w:t xml:space="preserve">will be expanded beyond </w:t>
            </w:r>
            <w:r w:rsidR="001E749E">
              <w:rPr>
                <w:rFonts w:ascii="Arial" w:hAnsi="Arial"/>
                <w:b w:val="0"/>
              </w:rPr>
              <w:t>TGF</w:t>
            </w:r>
            <w:r w:rsidR="00961C04" w:rsidRPr="00223B98">
              <w:rPr>
                <w:rFonts w:ascii="Arial" w:hAnsi="Arial"/>
                <w:b w:val="0"/>
              </w:rPr>
              <w:t xml:space="preserve"> support and be further scaled up and supported by the Government.</w:t>
            </w:r>
          </w:p>
          <w:p w14:paraId="0152724E" w14:textId="610C010E" w:rsidR="00961C04" w:rsidRPr="00223B98" w:rsidRDefault="00961C04" w:rsidP="00A436C1">
            <w:pPr>
              <w:spacing w:before="120" w:after="120" w:line="240" w:lineRule="auto"/>
              <w:jc w:val="both"/>
              <w:rPr>
                <w:rFonts w:ascii="Arial" w:hAnsi="Arial"/>
                <w:b w:val="0"/>
                <w:u w:val="single"/>
              </w:rPr>
            </w:pPr>
            <w:r w:rsidRPr="00223B98">
              <w:rPr>
                <w:rFonts w:ascii="Arial" w:hAnsi="Arial"/>
                <w:b w:val="0"/>
                <w:u w:val="single"/>
              </w:rPr>
              <w:lastRenderedPageBreak/>
              <w:t>Module 1.1. RSSH: Community responses and systems</w:t>
            </w:r>
          </w:p>
          <w:p w14:paraId="52F7C0EC" w14:textId="128DE256" w:rsidR="00961C04" w:rsidRPr="00223B98" w:rsidRDefault="00961C04" w:rsidP="00A436C1">
            <w:pPr>
              <w:spacing w:before="120" w:after="120" w:line="240" w:lineRule="auto"/>
              <w:jc w:val="both"/>
              <w:rPr>
                <w:rFonts w:ascii="Arial" w:hAnsi="Arial"/>
                <w:b w:val="0"/>
              </w:rPr>
            </w:pPr>
            <w:r w:rsidRPr="00223B98">
              <w:rPr>
                <w:rFonts w:ascii="Arial" w:hAnsi="Arial"/>
                <w:b w:val="0"/>
                <w:i/>
              </w:rPr>
              <w:t>Intervention 1.1.1. Other community responses and systems interventions.</w:t>
            </w:r>
            <w:r w:rsidRPr="00223B98">
              <w:rPr>
                <w:rFonts w:ascii="Arial" w:hAnsi="Arial"/>
                <w:b w:val="0"/>
              </w:rPr>
              <w:t xml:space="preserve"> The activities under this intervention are oriented towards assessment of existing normative </w:t>
            </w:r>
            <w:r w:rsidR="009202FF">
              <w:rPr>
                <w:rFonts w:ascii="Arial" w:hAnsi="Arial"/>
                <w:b w:val="0"/>
              </w:rPr>
              <w:t xml:space="preserve">and regulatory </w:t>
            </w:r>
            <w:r w:rsidRPr="00223B98">
              <w:rPr>
                <w:rFonts w:ascii="Arial" w:hAnsi="Arial"/>
                <w:b w:val="0"/>
              </w:rPr>
              <w:t>framework, including Law on procurement, and development of a robust and sustainable contracting framework for efficient s</w:t>
            </w:r>
            <w:r w:rsidR="00B5020C">
              <w:rPr>
                <w:rFonts w:ascii="Arial" w:hAnsi="Arial"/>
                <w:b w:val="0"/>
              </w:rPr>
              <w:t>ocial contracting, including non-government</w:t>
            </w:r>
            <w:r w:rsidRPr="00223B98">
              <w:rPr>
                <w:rFonts w:ascii="Arial" w:hAnsi="Arial"/>
                <w:b w:val="0"/>
              </w:rPr>
              <w:t xml:space="preserve"> service providers’ evaluation criteria, terms of reference for service providers, operating procedures and tools that will be used by AIDS Centers in </w:t>
            </w:r>
            <w:r w:rsidR="00F5379F">
              <w:rPr>
                <w:rFonts w:ascii="Arial" w:hAnsi="Arial"/>
                <w:b w:val="0"/>
              </w:rPr>
              <w:t xml:space="preserve">earlier intervention </w:t>
            </w:r>
            <w:r w:rsidRPr="00223B98">
              <w:rPr>
                <w:rFonts w:ascii="Arial" w:hAnsi="Arial"/>
                <w:b w:val="0"/>
              </w:rPr>
              <w:t>sites for selection and social contracting of NGO to scale-up HIV prevention,</w:t>
            </w:r>
            <w:r w:rsidR="00B5020C">
              <w:rPr>
                <w:rFonts w:ascii="Arial" w:hAnsi="Arial"/>
                <w:b w:val="0"/>
              </w:rPr>
              <w:t xml:space="preserve"> care and support services to K</w:t>
            </w:r>
            <w:r w:rsidRPr="00223B98">
              <w:rPr>
                <w:rFonts w:ascii="Arial" w:hAnsi="Arial"/>
                <w:b w:val="0"/>
              </w:rPr>
              <w:t xml:space="preserve">P. </w:t>
            </w:r>
            <w:r w:rsidR="00B5020C">
              <w:rPr>
                <w:rFonts w:ascii="Arial" w:hAnsi="Arial"/>
                <w:b w:val="0"/>
              </w:rPr>
              <w:t xml:space="preserve">The NGO </w:t>
            </w:r>
            <w:r w:rsidRPr="00223B98">
              <w:rPr>
                <w:rFonts w:ascii="Arial" w:hAnsi="Arial"/>
                <w:b w:val="0"/>
              </w:rPr>
              <w:t>A</w:t>
            </w:r>
            <w:r>
              <w:rPr>
                <w:rFonts w:ascii="Arial" w:hAnsi="Arial"/>
                <w:b w:val="0"/>
              </w:rPr>
              <w:t>man-</w:t>
            </w:r>
            <w:r w:rsidRPr="00223B98">
              <w:rPr>
                <w:rFonts w:ascii="Arial" w:hAnsi="Arial"/>
                <w:b w:val="0"/>
              </w:rPr>
              <w:t>S</w:t>
            </w:r>
            <w:r>
              <w:rPr>
                <w:rFonts w:ascii="Arial" w:hAnsi="Arial"/>
                <w:b w:val="0"/>
              </w:rPr>
              <w:t>a</w:t>
            </w:r>
            <w:r w:rsidRPr="00223B98">
              <w:rPr>
                <w:rFonts w:ascii="Arial" w:hAnsi="Arial"/>
                <w:b w:val="0"/>
              </w:rPr>
              <w:t xml:space="preserve">ulyk will lead the process, including re-evaluation and </w:t>
            </w:r>
            <w:r w:rsidR="00D41F1B">
              <w:rPr>
                <w:rFonts w:ascii="Arial" w:hAnsi="Arial"/>
                <w:b w:val="0"/>
              </w:rPr>
              <w:t>activities improvement</w:t>
            </w:r>
            <w:r w:rsidRPr="00223B98">
              <w:rPr>
                <w:rFonts w:ascii="Arial" w:hAnsi="Arial"/>
                <w:b w:val="0"/>
              </w:rPr>
              <w:t xml:space="preserve">, with inclusive consultation of Akimats </w:t>
            </w:r>
            <w:r w:rsidR="00B5020C">
              <w:rPr>
                <w:rFonts w:ascii="Arial" w:hAnsi="Arial"/>
                <w:b w:val="0"/>
              </w:rPr>
              <w:t xml:space="preserve">and </w:t>
            </w:r>
            <w:r w:rsidRPr="00223B98">
              <w:rPr>
                <w:rFonts w:ascii="Arial" w:hAnsi="Arial"/>
                <w:b w:val="0"/>
              </w:rPr>
              <w:t>Technical Working Group</w:t>
            </w:r>
            <w:r w:rsidR="00B5020C">
              <w:rPr>
                <w:rFonts w:ascii="Arial" w:hAnsi="Arial"/>
                <w:b w:val="0"/>
              </w:rPr>
              <w:t>s</w:t>
            </w:r>
            <w:r w:rsidRPr="00223B98">
              <w:rPr>
                <w:rFonts w:ascii="Arial" w:hAnsi="Arial"/>
                <w:b w:val="0"/>
              </w:rPr>
              <w:t xml:space="preserve">. Two </w:t>
            </w:r>
            <w:r w:rsidR="00B5020C">
              <w:rPr>
                <w:rFonts w:ascii="Arial" w:hAnsi="Arial"/>
                <w:b w:val="0"/>
              </w:rPr>
              <w:t>workshops will be conducted in Y</w:t>
            </w:r>
            <w:r w:rsidRPr="00223B98">
              <w:rPr>
                <w:rFonts w:ascii="Arial" w:hAnsi="Arial"/>
                <w:b w:val="0"/>
              </w:rPr>
              <w:t xml:space="preserve">ear 1, followed by four in two following years. </w:t>
            </w:r>
          </w:p>
          <w:p w14:paraId="74389B74" w14:textId="713558FF" w:rsidR="00961C04" w:rsidRPr="00223B98" w:rsidRDefault="00961C04" w:rsidP="00A436C1">
            <w:pPr>
              <w:spacing w:before="120" w:after="120" w:line="240" w:lineRule="auto"/>
              <w:jc w:val="both"/>
              <w:rPr>
                <w:rFonts w:ascii="Arial" w:hAnsi="Arial"/>
                <w:b w:val="0"/>
              </w:rPr>
            </w:pPr>
            <w:r w:rsidRPr="00223B98">
              <w:rPr>
                <w:rFonts w:ascii="Arial" w:hAnsi="Arial"/>
                <w:b w:val="0"/>
              </w:rPr>
              <w:t xml:space="preserve">To boost social contracting sustainable implementation, Technical Working Groups (TWG) created in </w:t>
            </w:r>
            <w:r w:rsidR="005F1DF5">
              <w:rPr>
                <w:rFonts w:ascii="Arial" w:hAnsi="Arial"/>
                <w:b w:val="0"/>
              </w:rPr>
              <w:t xml:space="preserve">earlier intervention </w:t>
            </w:r>
            <w:r w:rsidRPr="00223B98">
              <w:rPr>
                <w:rFonts w:ascii="Arial" w:hAnsi="Arial"/>
                <w:b w:val="0"/>
              </w:rPr>
              <w:t xml:space="preserve">sites under Akimats umbrella will meet regularly to build the ground for development, implementation and institutionalization of social contracting mechanism. Specific Memorandums of Understanding (MOU) will be signed to join efforts and ensure consistent sectoral coordination (MOH, </w:t>
            </w:r>
            <w:r w:rsidR="00F5379F">
              <w:rPr>
                <w:rFonts w:ascii="Arial" w:hAnsi="Arial"/>
                <w:b w:val="0"/>
              </w:rPr>
              <w:t xml:space="preserve">earlier intervention </w:t>
            </w:r>
            <w:r w:rsidRPr="00223B98">
              <w:rPr>
                <w:rFonts w:ascii="Arial" w:hAnsi="Arial"/>
                <w:b w:val="0"/>
              </w:rPr>
              <w:t>sites Akimats</w:t>
            </w:r>
            <w:r w:rsidR="00A07B04">
              <w:rPr>
                <w:rFonts w:ascii="Arial" w:hAnsi="Arial"/>
                <w:b w:val="0"/>
              </w:rPr>
              <w:t>’</w:t>
            </w:r>
            <w:r w:rsidRPr="00223B98">
              <w:rPr>
                <w:rFonts w:ascii="Arial" w:hAnsi="Arial"/>
                <w:b w:val="0"/>
              </w:rPr>
              <w:t xml:space="preserve"> public health departments, Republican and Regional AIDS Cente</w:t>
            </w:r>
            <w:r w:rsidR="005F1DF5">
              <w:rPr>
                <w:rFonts w:ascii="Arial" w:hAnsi="Arial"/>
                <w:b w:val="0"/>
              </w:rPr>
              <w:t xml:space="preserve">r, NGOs and beneficiaries). TGF is requested to </w:t>
            </w:r>
            <w:r w:rsidRPr="00223B98">
              <w:rPr>
                <w:rFonts w:ascii="Arial" w:hAnsi="Arial"/>
                <w:b w:val="0"/>
              </w:rPr>
              <w:t xml:space="preserve">support two meetings per region per year, while Akimats will provide expertise and technical assistance for groups coordination.   </w:t>
            </w:r>
          </w:p>
          <w:p w14:paraId="252EA375" w14:textId="5F627125" w:rsidR="0032744B" w:rsidRDefault="00961C04" w:rsidP="00A436C1">
            <w:pPr>
              <w:spacing w:before="120" w:after="120" w:line="240" w:lineRule="auto"/>
              <w:jc w:val="both"/>
              <w:rPr>
                <w:rFonts w:ascii="Arial" w:hAnsi="Arial"/>
                <w:b w:val="0"/>
              </w:rPr>
            </w:pPr>
            <w:r w:rsidRPr="00223B98">
              <w:rPr>
                <w:rFonts w:ascii="Arial" w:hAnsi="Arial"/>
                <w:b w:val="0"/>
                <w:i/>
              </w:rPr>
              <w:t>Intervention 1.1.2. Community led advocacy.</w:t>
            </w:r>
            <w:r w:rsidRPr="00223B98">
              <w:rPr>
                <w:rFonts w:ascii="Arial" w:hAnsi="Arial"/>
                <w:b w:val="0"/>
              </w:rPr>
              <w:t xml:space="preserve"> </w:t>
            </w:r>
            <w:r w:rsidR="005B1723">
              <w:rPr>
                <w:rFonts w:ascii="Arial" w:hAnsi="Arial"/>
                <w:b w:val="0"/>
              </w:rPr>
              <w:t xml:space="preserve">TGF </w:t>
            </w:r>
            <w:r w:rsidRPr="00223B98">
              <w:rPr>
                <w:rFonts w:ascii="Arial" w:hAnsi="Arial"/>
                <w:b w:val="0"/>
              </w:rPr>
              <w:t xml:space="preserve">will support effective advocacy and communication campaigns </w:t>
            </w:r>
            <w:r w:rsidR="00810909">
              <w:rPr>
                <w:rFonts w:ascii="Arial" w:hAnsi="Arial"/>
                <w:b w:val="0"/>
              </w:rPr>
              <w:t xml:space="preserve">to </w:t>
            </w:r>
            <w:r w:rsidRPr="00223B98">
              <w:rPr>
                <w:rFonts w:ascii="Arial" w:hAnsi="Arial"/>
                <w:b w:val="0"/>
              </w:rPr>
              <w:t>promot</w:t>
            </w:r>
            <w:r w:rsidR="00810909">
              <w:rPr>
                <w:rFonts w:ascii="Arial" w:hAnsi="Arial"/>
                <w:b w:val="0"/>
              </w:rPr>
              <w:t>e and scale-up</w:t>
            </w:r>
            <w:r w:rsidRPr="00223B98">
              <w:rPr>
                <w:rFonts w:ascii="Arial" w:hAnsi="Arial"/>
                <w:b w:val="0"/>
              </w:rPr>
              <w:t xml:space="preserve"> </w:t>
            </w:r>
            <w:r w:rsidR="00810909">
              <w:rPr>
                <w:rFonts w:ascii="Arial" w:hAnsi="Arial"/>
                <w:b w:val="0"/>
              </w:rPr>
              <w:t xml:space="preserve">social contracting for </w:t>
            </w:r>
            <w:r w:rsidRPr="00223B98">
              <w:rPr>
                <w:rFonts w:ascii="Arial" w:hAnsi="Arial"/>
                <w:b w:val="0"/>
              </w:rPr>
              <w:t>community-based HIV response sustainability</w:t>
            </w:r>
            <w:r w:rsidR="00810909">
              <w:rPr>
                <w:rFonts w:ascii="Arial" w:hAnsi="Arial"/>
                <w:b w:val="0"/>
              </w:rPr>
              <w:t xml:space="preserve"> as well as </w:t>
            </w:r>
            <w:r w:rsidRPr="00223B98">
              <w:rPr>
                <w:rFonts w:ascii="Arial" w:hAnsi="Arial"/>
                <w:b w:val="0"/>
              </w:rPr>
              <w:t>budget advocacy for HIV prevention,</w:t>
            </w:r>
            <w:r w:rsidR="00810909">
              <w:rPr>
                <w:rFonts w:ascii="Arial" w:hAnsi="Arial"/>
                <w:b w:val="0"/>
              </w:rPr>
              <w:t xml:space="preserve"> care and support services to K</w:t>
            </w:r>
            <w:r w:rsidRPr="00223B98">
              <w:rPr>
                <w:rFonts w:ascii="Arial" w:hAnsi="Arial"/>
                <w:b w:val="0"/>
              </w:rPr>
              <w:t>P. In this respect, a series of advocacy meeting</w:t>
            </w:r>
            <w:r w:rsidR="00810909">
              <w:rPr>
                <w:rFonts w:ascii="Arial" w:hAnsi="Arial"/>
                <w:b w:val="0"/>
              </w:rPr>
              <w:t>s</w:t>
            </w:r>
            <w:r w:rsidRPr="00223B98">
              <w:rPr>
                <w:rFonts w:ascii="Arial" w:hAnsi="Arial"/>
                <w:b w:val="0"/>
              </w:rPr>
              <w:t xml:space="preserve"> will be conducted through </w:t>
            </w:r>
            <w:r w:rsidR="00810909">
              <w:rPr>
                <w:rFonts w:ascii="Arial" w:hAnsi="Arial"/>
                <w:b w:val="0"/>
              </w:rPr>
              <w:t xml:space="preserve">NGO </w:t>
            </w:r>
            <w:r w:rsidRPr="00223B98">
              <w:rPr>
                <w:rFonts w:ascii="Arial" w:hAnsi="Arial"/>
                <w:b w:val="0"/>
              </w:rPr>
              <w:t>A</w:t>
            </w:r>
            <w:r>
              <w:rPr>
                <w:rFonts w:ascii="Arial" w:hAnsi="Arial"/>
                <w:b w:val="0"/>
              </w:rPr>
              <w:t>man-</w:t>
            </w:r>
            <w:r w:rsidRPr="00223B98">
              <w:rPr>
                <w:rFonts w:ascii="Arial" w:hAnsi="Arial"/>
                <w:b w:val="0"/>
              </w:rPr>
              <w:t>S</w:t>
            </w:r>
            <w:r>
              <w:rPr>
                <w:rFonts w:ascii="Arial" w:hAnsi="Arial"/>
                <w:b w:val="0"/>
              </w:rPr>
              <w:t>a</w:t>
            </w:r>
            <w:r w:rsidRPr="00223B98">
              <w:rPr>
                <w:rFonts w:ascii="Arial" w:hAnsi="Arial"/>
                <w:b w:val="0"/>
              </w:rPr>
              <w:t>ulyk at central and local level to increase awareness about social contracting and comm</w:t>
            </w:r>
            <w:r w:rsidR="00810909">
              <w:rPr>
                <w:rFonts w:ascii="Arial" w:hAnsi="Arial"/>
                <w:b w:val="0"/>
              </w:rPr>
              <w:t>itment of public authorities (MO</w:t>
            </w:r>
            <w:r w:rsidRPr="00223B98">
              <w:rPr>
                <w:rFonts w:ascii="Arial" w:hAnsi="Arial"/>
                <w:b w:val="0"/>
              </w:rPr>
              <w:t xml:space="preserve">H, Akimats, AIDS Centers) in </w:t>
            </w:r>
            <w:r w:rsidR="00F5379F">
              <w:rPr>
                <w:rFonts w:ascii="Arial" w:hAnsi="Arial"/>
                <w:b w:val="0"/>
              </w:rPr>
              <w:t xml:space="preserve">earlier intervention </w:t>
            </w:r>
            <w:r w:rsidRPr="00223B98">
              <w:rPr>
                <w:rFonts w:ascii="Arial" w:hAnsi="Arial"/>
                <w:b w:val="0"/>
              </w:rPr>
              <w:t xml:space="preserve">sites and to scale-up and replicate the mechanism in other </w:t>
            </w:r>
            <w:r w:rsidR="005B1723">
              <w:rPr>
                <w:rFonts w:ascii="Arial" w:hAnsi="Arial"/>
                <w:b w:val="0"/>
              </w:rPr>
              <w:t>regions</w:t>
            </w:r>
            <w:r w:rsidRPr="00223B98">
              <w:rPr>
                <w:rFonts w:ascii="Arial" w:hAnsi="Arial"/>
                <w:b w:val="0"/>
              </w:rPr>
              <w:t>. In parallel, the Kazakh Union of PLHIV will conduct</w:t>
            </w:r>
            <w:r w:rsidR="00810909">
              <w:rPr>
                <w:rFonts w:ascii="Arial" w:hAnsi="Arial"/>
                <w:b w:val="0"/>
              </w:rPr>
              <w:t xml:space="preserve"> communication campaigns</w:t>
            </w:r>
            <w:r w:rsidRPr="00223B98">
              <w:rPr>
                <w:rFonts w:ascii="Arial" w:hAnsi="Arial"/>
                <w:b w:val="0"/>
              </w:rPr>
              <w:t xml:space="preserve"> w</w:t>
            </w:r>
            <w:r w:rsidR="00810909">
              <w:rPr>
                <w:rFonts w:ascii="Arial" w:hAnsi="Arial"/>
                <w:b w:val="0"/>
              </w:rPr>
              <w:t>ith involvement of partner NGOs,</w:t>
            </w:r>
            <w:r w:rsidRPr="00223B98">
              <w:rPr>
                <w:rFonts w:ascii="Arial" w:hAnsi="Arial"/>
                <w:b w:val="0"/>
              </w:rPr>
              <w:t xml:space="preserve"> to increase awareness about community </w:t>
            </w:r>
            <w:r w:rsidR="00810909">
              <w:rPr>
                <w:rFonts w:ascii="Arial" w:hAnsi="Arial"/>
                <w:b w:val="0"/>
              </w:rPr>
              <w:t>role in HIV services for K</w:t>
            </w:r>
            <w:r w:rsidRPr="00223B98">
              <w:rPr>
                <w:rFonts w:ascii="Arial" w:hAnsi="Arial"/>
                <w:b w:val="0"/>
              </w:rPr>
              <w:t>P, promote social contracting mechanism</w:t>
            </w:r>
            <w:r w:rsidR="00810909">
              <w:rPr>
                <w:rFonts w:ascii="Arial" w:hAnsi="Arial"/>
                <w:b w:val="0"/>
              </w:rPr>
              <w:t>s</w:t>
            </w:r>
            <w:r w:rsidRPr="00223B98">
              <w:rPr>
                <w:rFonts w:ascii="Arial" w:hAnsi="Arial"/>
                <w:b w:val="0"/>
              </w:rPr>
              <w:t>, advocate for budget increase and sustainability al regional level and replication</w:t>
            </w:r>
            <w:r w:rsidR="00810909">
              <w:rPr>
                <w:rFonts w:ascii="Arial" w:hAnsi="Arial"/>
                <w:b w:val="0"/>
              </w:rPr>
              <w:t xml:space="preserve"> of social contracting national</w:t>
            </w:r>
            <w:r w:rsidR="00810909" w:rsidRPr="00223B98">
              <w:rPr>
                <w:rFonts w:ascii="Arial" w:hAnsi="Arial"/>
                <w:b w:val="0"/>
              </w:rPr>
              <w:t xml:space="preserve"> wide</w:t>
            </w:r>
            <w:r w:rsidRPr="00223B98">
              <w:rPr>
                <w:rFonts w:ascii="Arial" w:hAnsi="Arial"/>
                <w:b w:val="0"/>
              </w:rPr>
              <w:t xml:space="preserve">. </w:t>
            </w:r>
          </w:p>
          <w:p w14:paraId="2F34198E" w14:textId="25709971" w:rsidR="00961C04" w:rsidRPr="00223B98" w:rsidRDefault="00961C04" w:rsidP="00A436C1">
            <w:pPr>
              <w:spacing w:before="120" w:after="120" w:line="240" w:lineRule="auto"/>
              <w:jc w:val="both"/>
              <w:rPr>
                <w:rFonts w:ascii="Arial" w:hAnsi="Arial"/>
                <w:b w:val="0"/>
              </w:rPr>
            </w:pPr>
            <w:r w:rsidRPr="00223B98">
              <w:rPr>
                <w:rFonts w:ascii="Arial" w:hAnsi="Arial"/>
                <w:b w:val="0"/>
              </w:rPr>
              <w:t>Also</w:t>
            </w:r>
            <w:r w:rsidR="00810909">
              <w:rPr>
                <w:rFonts w:ascii="Arial" w:hAnsi="Arial"/>
                <w:b w:val="0"/>
              </w:rPr>
              <w:t>,</w:t>
            </w:r>
            <w:r w:rsidRPr="00223B98">
              <w:rPr>
                <w:rFonts w:ascii="Arial" w:hAnsi="Arial"/>
                <w:b w:val="0"/>
              </w:rPr>
              <w:t xml:space="preserve"> advocacy meetings will be organized to promote inst</w:t>
            </w:r>
            <w:r w:rsidR="00810909">
              <w:rPr>
                <w:rFonts w:ascii="Arial" w:hAnsi="Arial"/>
                <w:b w:val="0"/>
              </w:rPr>
              <w:t xml:space="preserve">itutionalization of OST </w:t>
            </w:r>
            <w:r w:rsidRPr="00223B98">
              <w:rPr>
                <w:rFonts w:ascii="Arial" w:hAnsi="Arial"/>
                <w:b w:val="0"/>
              </w:rPr>
              <w:t>as integral part of HIV prevention services for PWID</w:t>
            </w:r>
            <w:r w:rsidR="00810909">
              <w:rPr>
                <w:rFonts w:ascii="Arial" w:hAnsi="Arial"/>
                <w:b w:val="0"/>
              </w:rPr>
              <w:t xml:space="preserve"> </w:t>
            </w:r>
            <w:r w:rsidR="00810909" w:rsidRPr="00223B98">
              <w:rPr>
                <w:rFonts w:ascii="Arial" w:hAnsi="Arial"/>
                <w:b w:val="0"/>
              </w:rPr>
              <w:t xml:space="preserve">developed under previous </w:t>
            </w:r>
            <w:r w:rsidR="00810909">
              <w:rPr>
                <w:rFonts w:ascii="Arial" w:hAnsi="Arial"/>
                <w:b w:val="0"/>
              </w:rPr>
              <w:t xml:space="preserve">TGF grant. The </w:t>
            </w:r>
            <w:r w:rsidRPr="00223B98">
              <w:rPr>
                <w:rFonts w:ascii="Arial" w:hAnsi="Arial"/>
                <w:b w:val="0"/>
              </w:rPr>
              <w:t xml:space="preserve">client centered approach </w:t>
            </w:r>
            <w:r w:rsidR="00810909">
              <w:rPr>
                <w:rFonts w:ascii="Arial" w:hAnsi="Arial"/>
                <w:b w:val="0"/>
              </w:rPr>
              <w:t xml:space="preserve">will be promoted for </w:t>
            </w:r>
            <w:r w:rsidRPr="00223B98">
              <w:rPr>
                <w:rFonts w:ascii="Arial" w:hAnsi="Arial"/>
                <w:b w:val="0"/>
              </w:rPr>
              <w:t>services</w:t>
            </w:r>
            <w:r w:rsidR="00810909">
              <w:rPr>
                <w:rFonts w:ascii="Arial" w:hAnsi="Arial"/>
                <w:b w:val="0"/>
              </w:rPr>
              <w:t xml:space="preserve"> integration</w:t>
            </w:r>
            <w:r w:rsidR="00D747E1">
              <w:rPr>
                <w:rFonts w:ascii="Arial" w:hAnsi="Arial"/>
                <w:b w:val="0"/>
              </w:rPr>
              <w:t xml:space="preserve"> by </w:t>
            </w:r>
            <w:r w:rsidRPr="00223B98">
              <w:rPr>
                <w:rFonts w:ascii="Arial" w:hAnsi="Arial"/>
                <w:b w:val="0"/>
              </w:rPr>
              <w:t>link</w:t>
            </w:r>
            <w:r w:rsidR="00D747E1">
              <w:rPr>
                <w:rFonts w:ascii="Arial" w:hAnsi="Arial"/>
                <w:b w:val="0"/>
              </w:rPr>
              <w:t xml:space="preserve">ing </w:t>
            </w:r>
            <w:r w:rsidRPr="00223B98">
              <w:rPr>
                <w:rFonts w:ascii="Arial" w:hAnsi="Arial"/>
                <w:b w:val="0"/>
              </w:rPr>
              <w:t>services around clients need</w:t>
            </w:r>
            <w:r w:rsidR="00810909">
              <w:rPr>
                <w:rFonts w:ascii="Arial" w:hAnsi="Arial"/>
                <w:b w:val="0"/>
              </w:rPr>
              <w:t xml:space="preserve"> in</w:t>
            </w:r>
            <w:r w:rsidR="00F5379F">
              <w:rPr>
                <w:rFonts w:ascii="Arial" w:hAnsi="Arial"/>
                <w:b w:val="0"/>
              </w:rPr>
              <w:t xml:space="preserve"> earlier intervention </w:t>
            </w:r>
            <w:r w:rsidR="00810909">
              <w:rPr>
                <w:rFonts w:ascii="Arial" w:hAnsi="Arial"/>
                <w:b w:val="0"/>
              </w:rPr>
              <w:t>regions</w:t>
            </w:r>
            <w:r w:rsidR="00D747E1">
              <w:rPr>
                <w:rFonts w:ascii="Arial" w:hAnsi="Arial"/>
                <w:b w:val="0"/>
              </w:rPr>
              <w:t xml:space="preserve">, while advocating for increased </w:t>
            </w:r>
            <w:r w:rsidR="00D747E1" w:rsidRPr="00223B98">
              <w:rPr>
                <w:rFonts w:ascii="Arial" w:hAnsi="Arial"/>
                <w:b w:val="0"/>
              </w:rPr>
              <w:t xml:space="preserve">public authorities’ </w:t>
            </w:r>
            <w:r w:rsidR="00D747E1">
              <w:rPr>
                <w:rFonts w:ascii="Arial" w:hAnsi="Arial"/>
                <w:b w:val="0"/>
              </w:rPr>
              <w:t xml:space="preserve">commitment for </w:t>
            </w:r>
            <w:r w:rsidR="00D747E1" w:rsidRPr="00223B98">
              <w:rPr>
                <w:rFonts w:ascii="Arial" w:hAnsi="Arial"/>
                <w:b w:val="0"/>
              </w:rPr>
              <w:t>sustainability of OST</w:t>
            </w:r>
            <w:r w:rsidRPr="00223B98">
              <w:rPr>
                <w:rFonts w:ascii="Arial" w:hAnsi="Arial"/>
                <w:b w:val="0"/>
              </w:rPr>
              <w:t>.</w:t>
            </w:r>
            <w:r w:rsidR="00810909">
              <w:rPr>
                <w:rFonts w:ascii="Arial" w:hAnsi="Arial"/>
                <w:b w:val="0"/>
              </w:rPr>
              <w:t xml:space="preserve"> </w:t>
            </w:r>
            <w:r w:rsidRPr="00223B98">
              <w:rPr>
                <w:rFonts w:ascii="Arial" w:hAnsi="Arial"/>
                <w:b w:val="0"/>
              </w:rPr>
              <w:t xml:space="preserve">To further scale-up and lay the foundation for replication of social contracting mechanism beyond </w:t>
            </w:r>
            <w:r w:rsidR="00810909">
              <w:rPr>
                <w:rFonts w:ascii="Arial" w:hAnsi="Arial"/>
                <w:b w:val="0"/>
              </w:rPr>
              <w:t>the</w:t>
            </w:r>
            <w:r w:rsidR="005B1723">
              <w:rPr>
                <w:rFonts w:ascii="Arial" w:hAnsi="Arial"/>
                <w:b w:val="0"/>
              </w:rPr>
              <w:t xml:space="preserve"> period covered by this f</w:t>
            </w:r>
            <w:r w:rsidR="005B1723">
              <w:rPr>
                <w:rFonts w:ascii="Arial" w:eastAsia="SimSun" w:hAnsi="Arial"/>
                <w:b w:val="0"/>
                <w:lang w:eastAsia="zh-CN"/>
              </w:rPr>
              <w:t>unding r</w:t>
            </w:r>
            <w:r w:rsidR="00B25644">
              <w:rPr>
                <w:rFonts w:ascii="Arial" w:eastAsia="SimSun" w:hAnsi="Arial"/>
                <w:b w:val="0"/>
                <w:lang w:eastAsia="zh-CN"/>
              </w:rPr>
              <w:t>equest</w:t>
            </w:r>
            <w:r w:rsidR="00810909">
              <w:rPr>
                <w:rFonts w:ascii="Arial" w:hAnsi="Arial"/>
                <w:b w:val="0"/>
              </w:rPr>
              <w:t>,</w:t>
            </w:r>
            <w:r w:rsidRPr="00223B98">
              <w:rPr>
                <w:rFonts w:ascii="Arial" w:hAnsi="Arial"/>
                <w:b w:val="0"/>
              </w:rPr>
              <w:t xml:space="preserve"> experience exchange visits will be organized for other oblast</w:t>
            </w:r>
            <w:r w:rsidR="00810909">
              <w:rPr>
                <w:rFonts w:ascii="Arial" w:hAnsi="Arial"/>
                <w:b w:val="0"/>
              </w:rPr>
              <w:t>i</w:t>
            </w:r>
            <w:r w:rsidRPr="00223B98">
              <w:rPr>
                <w:rFonts w:ascii="Arial" w:hAnsi="Arial"/>
                <w:b w:val="0"/>
              </w:rPr>
              <w:t xml:space="preserve">. </w:t>
            </w:r>
          </w:p>
          <w:p w14:paraId="128CD6CB" w14:textId="77622D00" w:rsidR="00A133FD" w:rsidRDefault="007957CC" w:rsidP="00A436C1">
            <w:pPr>
              <w:spacing w:before="120" w:after="120" w:line="240" w:lineRule="auto"/>
              <w:jc w:val="both"/>
              <w:rPr>
                <w:rFonts w:ascii="Arial" w:hAnsi="Arial"/>
                <w:b w:val="0"/>
              </w:rPr>
            </w:pPr>
            <w:r>
              <w:rPr>
                <w:rFonts w:ascii="Arial" w:hAnsi="Arial"/>
                <w:b w:val="0"/>
                <w:i/>
              </w:rPr>
              <w:t xml:space="preserve">Intervention </w:t>
            </w:r>
            <w:r w:rsidR="00961C04" w:rsidRPr="00223B98">
              <w:rPr>
                <w:rFonts w:ascii="Arial" w:hAnsi="Arial"/>
                <w:b w:val="0"/>
                <w:i/>
              </w:rPr>
              <w:t>1.1.3. Institutional capacity building, planning and leadership development.</w:t>
            </w:r>
            <w:r w:rsidR="00A133FD">
              <w:rPr>
                <w:rFonts w:ascii="Arial" w:hAnsi="Arial"/>
                <w:b w:val="0"/>
              </w:rPr>
              <w:t xml:space="preserve"> </w:t>
            </w:r>
            <w:r w:rsidR="00961C04" w:rsidRPr="00223B98">
              <w:rPr>
                <w:rFonts w:ascii="Arial" w:hAnsi="Arial"/>
                <w:b w:val="0"/>
              </w:rPr>
              <w:t xml:space="preserve">Consistent capacity building will be provided for AIDS Centers staff and NGOs in </w:t>
            </w:r>
            <w:r w:rsidR="00C13B1B">
              <w:rPr>
                <w:rFonts w:ascii="Arial" w:hAnsi="Arial"/>
                <w:b w:val="0"/>
              </w:rPr>
              <w:t xml:space="preserve">earlier intervention </w:t>
            </w:r>
            <w:r w:rsidR="00961C04" w:rsidRPr="00223B98">
              <w:rPr>
                <w:rFonts w:ascii="Arial" w:hAnsi="Arial"/>
                <w:b w:val="0"/>
              </w:rPr>
              <w:t>sites with the aim to ensure efficient implementation and management of social contracting mechanisms and smooth transition to new operating modalities. Four events per year are planned, with participation of representatives from other progressiv</w:t>
            </w:r>
            <w:r w:rsidR="00A133FD">
              <w:rPr>
                <w:rFonts w:ascii="Arial" w:hAnsi="Arial"/>
                <w:b w:val="0"/>
              </w:rPr>
              <w:t>e regions starting Y</w:t>
            </w:r>
            <w:r w:rsidR="00961C04" w:rsidRPr="00223B98">
              <w:rPr>
                <w:rFonts w:ascii="Arial" w:hAnsi="Arial"/>
                <w:b w:val="0"/>
              </w:rPr>
              <w:t>ear 2. Additionally, a distance learning portal with digitalized materials will be developed to facilitate training and capacity building for social contracting and use beyond</w:t>
            </w:r>
            <w:r w:rsidR="00C13B1B">
              <w:rPr>
                <w:rFonts w:ascii="Arial" w:hAnsi="Arial"/>
                <w:b w:val="0"/>
              </w:rPr>
              <w:t xml:space="preserve"> earlier intervention </w:t>
            </w:r>
            <w:r w:rsidR="00961C04" w:rsidRPr="00223B98">
              <w:rPr>
                <w:rFonts w:ascii="Arial" w:hAnsi="Arial"/>
                <w:b w:val="0"/>
              </w:rPr>
              <w:t xml:space="preserve">sites. </w:t>
            </w:r>
          </w:p>
          <w:p w14:paraId="2677FE2A" w14:textId="065787DE" w:rsidR="00961C04" w:rsidRPr="00A133FD" w:rsidRDefault="00961C04" w:rsidP="00A436C1">
            <w:pPr>
              <w:spacing w:before="120" w:after="120" w:line="240" w:lineRule="auto"/>
              <w:jc w:val="both"/>
              <w:rPr>
                <w:rFonts w:ascii="Arial" w:hAnsi="Arial"/>
                <w:b w:val="0"/>
              </w:rPr>
            </w:pPr>
            <w:r w:rsidRPr="00223B98">
              <w:rPr>
                <w:rFonts w:ascii="Arial" w:hAnsi="Arial"/>
                <w:b w:val="0"/>
              </w:rPr>
              <w:t>Attendance of international events on priority issues of HIV control and sustainability will be supported for Akimats, AIDS Centers and civil society leaders from selected regions to share social contracting experience. Also, a national HIV conference will be organized in third year to discuss results and future prospects in the context of social contracting for scale-up of KP access to essential prevention, care and support services.</w:t>
            </w:r>
            <w:r w:rsidR="00A133FD">
              <w:rPr>
                <w:rFonts w:ascii="Arial" w:hAnsi="Arial"/>
                <w:b w:val="0"/>
              </w:rPr>
              <w:t xml:space="preserve"> </w:t>
            </w:r>
            <w:r w:rsidRPr="00223B98">
              <w:rPr>
                <w:rFonts w:ascii="Arial" w:hAnsi="Arial"/>
                <w:b w:val="0"/>
              </w:rPr>
              <w:t>T</w:t>
            </w:r>
            <w:r w:rsidR="00D470E3">
              <w:rPr>
                <w:rFonts w:ascii="Arial" w:hAnsi="Arial"/>
                <w:b w:val="0"/>
              </w:rPr>
              <w:t xml:space="preserve">GF </w:t>
            </w:r>
            <w:r w:rsidRPr="00223B98">
              <w:rPr>
                <w:rFonts w:ascii="Arial" w:hAnsi="Arial"/>
                <w:b w:val="0"/>
              </w:rPr>
              <w:t xml:space="preserve">will </w:t>
            </w:r>
            <w:r w:rsidR="00A133FD">
              <w:rPr>
                <w:rFonts w:ascii="Arial" w:hAnsi="Arial"/>
                <w:b w:val="0"/>
              </w:rPr>
              <w:t>support</w:t>
            </w:r>
            <w:r w:rsidRPr="00223B98">
              <w:rPr>
                <w:rFonts w:ascii="Arial" w:hAnsi="Arial"/>
                <w:b w:val="0"/>
              </w:rPr>
              <w:t xml:space="preserve"> transition readiness assessment and development of transition plan with focus on national social contracting for HIV prevention, care and support to KP through inclusive and participative country dialogue.</w:t>
            </w:r>
          </w:p>
          <w:p w14:paraId="7B4B646D" w14:textId="72D5E90A" w:rsidR="00D339E3" w:rsidRPr="00223B98" w:rsidRDefault="00961C04" w:rsidP="00E46AEB">
            <w:pPr>
              <w:spacing w:before="120" w:after="120" w:line="240" w:lineRule="auto"/>
              <w:jc w:val="both"/>
              <w:rPr>
                <w:rFonts w:ascii="Arial" w:hAnsi="Arial"/>
                <w:b w:val="0"/>
              </w:rPr>
            </w:pPr>
            <w:r w:rsidRPr="00223B98">
              <w:rPr>
                <w:rFonts w:ascii="Arial" w:hAnsi="Arial"/>
                <w:b w:val="0"/>
                <w:i/>
              </w:rPr>
              <w:lastRenderedPageBreak/>
              <w:t xml:space="preserve">Intervention 1.1.4. Community-based monitoring. </w:t>
            </w:r>
            <w:r w:rsidRPr="00223B98">
              <w:rPr>
                <w:rFonts w:ascii="Arial" w:hAnsi="Arial"/>
                <w:b w:val="0"/>
              </w:rPr>
              <w:t>The</w:t>
            </w:r>
            <w:r w:rsidR="00D470E3">
              <w:rPr>
                <w:rFonts w:ascii="Arial" w:hAnsi="Arial"/>
                <w:b w:val="0"/>
              </w:rPr>
              <w:t xml:space="preserve"> Global Fund </w:t>
            </w:r>
            <w:r w:rsidRPr="00223B98">
              <w:rPr>
                <w:rFonts w:ascii="Arial" w:hAnsi="Arial"/>
                <w:b w:val="0"/>
              </w:rPr>
              <w:t xml:space="preserve">will support monitoring visits in </w:t>
            </w:r>
            <w:r w:rsidR="00D470E3">
              <w:rPr>
                <w:rFonts w:ascii="Arial" w:hAnsi="Arial"/>
                <w:b w:val="0"/>
              </w:rPr>
              <w:t xml:space="preserve">earlier intervention </w:t>
            </w:r>
            <w:r w:rsidRPr="00223B98">
              <w:rPr>
                <w:rFonts w:ascii="Arial" w:hAnsi="Arial"/>
                <w:b w:val="0"/>
              </w:rPr>
              <w:t>sites through Kazakh Union of PLHIV to assess social contracting implementation, quality of services, users’ satisfaction and identify barriers to efficient work of NGOs under AIDS Centers social contracting. Four monitoring visits will be conducted in first year, followed</w:t>
            </w:r>
            <w:r w:rsidR="00741462">
              <w:rPr>
                <w:rFonts w:ascii="Arial" w:hAnsi="Arial"/>
                <w:b w:val="0"/>
              </w:rPr>
              <w:t xml:space="preserve"> by </w:t>
            </w:r>
            <w:r w:rsidR="008A35A4">
              <w:rPr>
                <w:rFonts w:ascii="Arial" w:hAnsi="Arial"/>
                <w:b w:val="0"/>
              </w:rPr>
              <w:t>six</w:t>
            </w:r>
            <w:r w:rsidR="00741462">
              <w:rPr>
                <w:rFonts w:ascii="Arial" w:hAnsi="Arial"/>
                <w:b w:val="0"/>
              </w:rPr>
              <w:t xml:space="preserve"> in the two</w:t>
            </w:r>
            <w:r w:rsidR="0089728B">
              <w:rPr>
                <w:rFonts w:ascii="Arial" w:hAnsi="Arial"/>
                <w:b w:val="0"/>
              </w:rPr>
              <w:t xml:space="preserve"> following</w:t>
            </w:r>
            <w:r w:rsidR="00741462">
              <w:rPr>
                <w:rFonts w:ascii="Arial" w:hAnsi="Arial"/>
                <w:b w:val="0"/>
              </w:rPr>
              <w:t xml:space="preserve"> years. </w:t>
            </w:r>
            <w:r w:rsidRPr="00223B98">
              <w:rPr>
                <w:rFonts w:ascii="Arial" w:hAnsi="Arial"/>
                <w:b w:val="0"/>
              </w:rPr>
              <w:t xml:space="preserve">The findings will be widely discussed, with Akimats, Republican AIDS Centers and AIDS Centers </w:t>
            </w:r>
            <w:r w:rsidR="00D470E3">
              <w:rPr>
                <w:rFonts w:ascii="Arial" w:hAnsi="Arial"/>
                <w:b w:val="0"/>
              </w:rPr>
              <w:t xml:space="preserve">from earlier intervention </w:t>
            </w:r>
            <w:r w:rsidRPr="00223B98">
              <w:rPr>
                <w:rFonts w:ascii="Arial" w:hAnsi="Arial"/>
                <w:b w:val="0"/>
              </w:rPr>
              <w:t>sites, NGOs and beneficiaries, under the lead of A</w:t>
            </w:r>
            <w:r>
              <w:rPr>
                <w:rFonts w:ascii="Arial" w:hAnsi="Arial"/>
                <w:b w:val="0"/>
              </w:rPr>
              <w:t>man-</w:t>
            </w:r>
            <w:r w:rsidRPr="00223B98">
              <w:rPr>
                <w:rFonts w:ascii="Arial" w:hAnsi="Arial"/>
                <w:b w:val="0"/>
              </w:rPr>
              <w:t>S</w:t>
            </w:r>
            <w:r>
              <w:rPr>
                <w:rFonts w:ascii="Arial" w:hAnsi="Arial"/>
                <w:b w:val="0"/>
              </w:rPr>
              <w:t>a</w:t>
            </w:r>
            <w:r w:rsidRPr="00223B98">
              <w:rPr>
                <w:rFonts w:ascii="Arial" w:hAnsi="Arial"/>
                <w:b w:val="0"/>
              </w:rPr>
              <w:t xml:space="preserve">ulyk, to identify measures to remove barriers for efficient community-based service provision to KP and feed further strengthening of social contracting mechanism. Two meetings will be organized in year one and four in subsequent years. </w:t>
            </w:r>
          </w:p>
          <w:p w14:paraId="7CD3B54A" w14:textId="564A417D" w:rsidR="00961C04" w:rsidRPr="00E46AEB" w:rsidRDefault="00961C04" w:rsidP="00D339E3">
            <w:pPr>
              <w:spacing w:before="120" w:after="120" w:line="240" w:lineRule="auto"/>
              <w:rPr>
                <w:rFonts w:ascii="Arial" w:hAnsi="Arial"/>
              </w:rPr>
            </w:pPr>
            <w:r w:rsidRPr="00223B98">
              <w:rPr>
                <w:rFonts w:ascii="Arial" w:hAnsi="Arial"/>
              </w:rPr>
              <w:t>Objective 2. To scale-up evidence-based HIV prevention, care and support for key populations</w:t>
            </w:r>
          </w:p>
          <w:p w14:paraId="39EE70C8" w14:textId="1EC46337" w:rsidR="00E46AEB" w:rsidRDefault="00961C04" w:rsidP="00E46AEB">
            <w:pPr>
              <w:spacing w:before="120" w:after="120" w:line="240" w:lineRule="auto"/>
              <w:jc w:val="both"/>
              <w:rPr>
                <w:rFonts w:ascii="Arial" w:eastAsia="SimSun" w:hAnsi="Arial"/>
                <w:b w:val="0"/>
                <w:lang w:eastAsia="zh-CN"/>
              </w:rPr>
            </w:pPr>
            <w:r w:rsidRPr="00223B98">
              <w:rPr>
                <w:rFonts w:ascii="Arial" w:eastAsia="SimSun" w:hAnsi="Arial"/>
                <w:b w:val="0"/>
                <w:lang w:eastAsia="zh-CN"/>
              </w:rPr>
              <w:t>The design of current prevention program in Kazakhstan is largely consi</w:t>
            </w:r>
            <w:r w:rsidR="009D706A">
              <w:rPr>
                <w:rFonts w:ascii="Arial" w:eastAsia="SimSun" w:hAnsi="Arial"/>
                <w:b w:val="0"/>
                <w:lang w:eastAsia="zh-CN"/>
              </w:rPr>
              <w:t xml:space="preserve">stent with the needs of the key </w:t>
            </w:r>
            <w:r w:rsidRPr="00223B98">
              <w:rPr>
                <w:rFonts w:ascii="Arial" w:eastAsia="SimSun" w:hAnsi="Arial"/>
                <w:b w:val="0"/>
                <w:lang w:eastAsia="zh-CN"/>
              </w:rPr>
              <w:t>populations, but requires scale up in coverage and sustainable and efficient implementation mechanisms through NGO</w:t>
            </w:r>
            <w:r w:rsidR="009D706A">
              <w:rPr>
                <w:rFonts w:ascii="Arial" w:eastAsia="SimSun" w:hAnsi="Arial"/>
                <w:b w:val="0"/>
                <w:lang w:eastAsia="zh-CN"/>
              </w:rPr>
              <w:t>s</w:t>
            </w:r>
            <w:r w:rsidRPr="00223B98">
              <w:rPr>
                <w:rFonts w:ascii="Arial" w:eastAsia="SimSun" w:hAnsi="Arial"/>
                <w:b w:val="0"/>
                <w:lang w:eastAsia="zh-CN"/>
              </w:rPr>
              <w:t xml:space="preserve"> that are instrumental for hard to rich populations and key to successful HIV control effo</w:t>
            </w:r>
            <w:r w:rsidR="009D706A">
              <w:rPr>
                <w:rFonts w:ascii="Arial" w:eastAsia="SimSun" w:hAnsi="Arial"/>
                <w:b w:val="0"/>
                <w:lang w:eastAsia="zh-CN"/>
              </w:rPr>
              <w:t>rts. The activities under this O</w:t>
            </w:r>
            <w:r w:rsidRPr="00223B98">
              <w:rPr>
                <w:rFonts w:ascii="Arial" w:eastAsia="SimSun" w:hAnsi="Arial"/>
                <w:b w:val="0"/>
                <w:lang w:eastAsia="zh-CN"/>
              </w:rPr>
              <w:t xml:space="preserve">bjective are focused on the needs of </w:t>
            </w:r>
            <w:r w:rsidR="009D706A">
              <w:rPr>
                <w:rFonts w:ascii="Arial" w:eastAsia="SimSun" w:hAnsi="Arial"/>
                <w:b w:val="0"/>
                <w:lang w:eastAsia="zh-CN"/>
              </w:rPr>
              <w:t>KP</w:t>
            </w:r>
            <w:r w:rsidRPr="00223B98">
              <w:rPr>
                <w:rFonts w:ascii="Arial" w:eastAsia="SimSun" w:hAnsi="Arial"/>
                <w:b w:val="0"/>
                <w:lang w:eastAsia="zh-CN"/>
              </w:rPr>
              <w:t xml:space="preserve"> in HIV prevention, care and support in </w:t>
            </w:r>
            <w:r w:rsidR="009D706A">
              <w:rPr>
                <w:rFonts w:ascii="Arial" w:eastAsia="SimSun" w:hAnsi="Arial"/>
                <w:b w:val="0"/>
                <w:lang w:eastAsia="zh-CN"/>
              </w:rPr>
              <w:t xml:space="preserve">earlier intervention </w:t>
            </w:r>
            <w:r w:rsidRPr="00223B98">
              <w:rPr>
                <w:rFonts w:ascii="Arial" w:eastAsia="SimSun" w:hAnsi="Arial"/>
                <w:b w:val="0"/>
                <w:lang w:eastAsia="zh-CN"/>
              </w:rPr>
              <w:t>site</w:t>
            </w:r>
            <w:r w:rsidR="009D706A">
              <w:rPr>
                <w:rFonts w:ascii="Arial" w:eastAsia="SimSun" w:hAnsi="Arial"/>
                <w:b w:val="0"/>
                <w:lang w:eastAsia="zh-CN"/>
              </w:rPr>
              <w:t>s</w:t>
            </w:r>
            <w:r w:rsidRPr="00223B98">
              <w:rPr>
                <w:rFonts w:ascii="Arial" w:eastAsia="SimSun" w:hAnsi="Arial"/>
                <w:b w:val="0"/>
                <w:lang w:eastAsia="zh-CN"/>
              </w:rPr>
              <w:t xml:space="preserve"> (Karaganda Oblast, Almaty city and Astana city starting year 3) with the aim to roll-out and institutionalize social contracting mechanism for NGO-based service delivery</w:t>
            </w:r>
            <w:r w:rsidR="00E46AEB">
              <w:rPr>
                <w:rFonts w:ascii="Arial" w:eastAsia="SimSun" w:hAnsi="Arial"/>
                <w:b w:val="0"/>
                <w:lang w:eastAsia="zh-CN"/>
              </w:rPr>
              <w:t xml:space="preserve"> (described under Objective 1 above)</w:t>
            </w:r>
            <w:r w:rsidRPr="00223B98">
              <w:rPr>
                <w:rFonts w:ascii="Arial" w:eastAsia="SimSun" w:hAnsi="Arial"/>
                <w:b w:val="0"/>
                <w:lang w:eastAsia="zh-CN"/>
              </w:rPr>
              <w:t xml:space="preserve">. </w:t>
            </w:r>
          </w:p>
          <w:p w14:paraId="5EEC82FC" w14:textId="44FECF06" w:rsidR="00961C04" w:rsidRPr="00E46AEB" w:rsidRDefault="00851361" w:rsidP="00E46AEB">
            <w:pPr>
              <w:spacing w:before="120" w:after="120" w:line="240" w:lineRule="auto"/>
              <w:jc w:val="both"/>
              <w:rPr>
                <w:rFonts w:ascii="Arial" w:eastAsia="SimSun" w:hAnsi="Arial"/>
                <w:b w:val="0"/>
                <w:lang w:eastAsia="zh-CN"/>
              </w:rPr>
            </w:pPr>
            <w:r>
              <w:rPr>
                <w:rFonts w:ascii="Arial" w:eastAsia="SimSun" w:hAnsi="Arial"/>
                <w:b w:val="0"/>
                <w:lang w:eastAsia="zh-CN"/>
              </w:rPr>
              <w:t xml:space="preserve">Most vulnerable PWID, </w:t>
            </w:r>
            <w:r w:rsidR="007429C2">
              <w:rPr>
                <w:rFonts w:ascii="Arial" w:eastAsia="SimSun" w:hAnsi="Arial"/>
                <w:b w:val="0"/>
                <w:lang w:eastAsia="zh-CN"/>
              </w:rPr>
              <w:t>SW</w:t>
            </w:r>
            <w:r w:rsidR="00961C04" w:rsidRPr="00223B98">
              <w:rPr>
                <w:rFonts w:ascii="Arial" w:eastAsia="SimSun" w:hAnsi="Arial"/>
                <w:b w:val="0"/>
                <w:lang w:eastAsia="zh-CN"/>
              </w:rPr>
              <w:t>, MSM engaged in unsafe sex and PLHIV who need psycho-social support will be targeted by NGOs based on social contracts from AIDS Centers</w:t>
            </w:r>
            <w:r w:rsidR="007429C2">
              <w:rPr>
                <w:rFonts w:ascii="Arial" w:eastAsia="SimSun" w:hAnsi="Arial"/>
                <w:b w:val="0"/>
                <w:lang w:eastAsia="zh-CN"/>
              </w:rPr>
              <w:t xml:space="preserve">. The centers </w:t>
            </w:r>
            <w:r w:rsidR="006353A8">
              <w:rPr>
                <w:rFonts w:ascii="Arial" w:eastAsia="SimSun" w:hAnsi="Arial"/>
                <w:b w:val="0"/>
                <w:lang w:eastAsia="zh-CN"/>
              </w:rPr>
              <w:t>will</w:t>
            </w:r>
            <w:r w:rsidR="007429C2">
              <w:rPr>
                <w:rFonts w:ascii="Arial" w:eastAsia="SimSun" w:hAnsi="Arial"/>
                <w:b w:val="0"/>
                <w:lang w:eastAsia="zh-CN"/>
              </w:rPr>
              <w:t xml:space="preserve"> match TGF budget and</w:t>
            </w:r>
            <w:r w:rsidR="006353A8">
              <w:rPr>
                <w:rFonts w:ascii="Arial" w:eastAsia="SimSun" w:hAnsi="Arial"/>
                <w:b w:val="0"/>
                <w:lang w:eastAsia="zh-CN"/>
              </w:rPr>
              <w:t xml:space="preserve"> </w:t>
            </w:r>
            <w:r w:rsidR="007429C2">
              <w:rPr>
                <w:rFonts w:ascii="Arial" w:eastAsia="SimSun" w:hAnsi="Arial"/>
                <w:b w:val="0"/>
                <w:lang w:eastAsia="zh-CN"/>
              </w:rPr>
              <w:t xml:space="preserve">manage directly all facets of </w:t>
            </w:r>
            <w:r w:rsidR="006353A8">
              <w:rPr>
                <w:rFonts w:ascii="Arial" w:eastAsia="SimSun" w:hAnsi="Arial"/>
                <w:b w:val="0"/>
                <w:lang w:eastAsia="zh-CN"/>
              </w:rPr>
              <w:t>social contracts implementation</w:t>
            </w:r>
            <w:r w:rsidR="007429C2">
              <w:rPr>
                <w:rFonts w:ascii="Arial" w:eastAsia="SimSun" w:hAnsi="Arial"/>
                <w:b w:val="0"/>
                <w:lang w:eastAsia="zh-CN"/>
              </w:rPr>
              <w:t xml:space="preserve"> in earlier intervention sites</w:t>
            </w:r>
            <w:r w:rsidR="00961C04" w:rsidRPr="00223B98">
              <w:rPr>
                <w:rFonts w:ascii="Arial" w:eastAsia="SimSun" w:hAnsi="Arial"/>
                <w:b w:val="0"/>
                <w:lang w:eastAsia="zh-CN"/>
              </w:rPr>
              <w:t xml:space="preserve">. </w:t>
            </w:r>
            <w:r w:rsidR="008F7B53">
              <w:rPr>
                <w:rFonts w:ascii="Arial" w:eastAsia="SimSun" w:hAnsi="Arial"/>
                <w:b w:val="0"/>
                <w:lang w:eastAsia="zh-CN"/>
              </w:rPr>
              <w:t xml:space="preserve">Human rights and gender equity will govern the NGOs response to KP needs. </w:t>
            </w:r>
            <w:r w:rsidR="00961C04" w:rsidRPr="00223B98">
              <w:rPr>
                <w:rFonts w:ascii="Arial" w:eastAsia="SimSun" w:hAnsi="Arial"/>
                <w:b w:val="0"/>
                <w:lang w:eastAsia="zh-CN"/>
              </w:rPr>
              <w:t>T</w:t>
            </w:r>
            <w:r w:rsidR="007429C2">
              <w:rPr>
                <w:rFonts w:ascii="Arial" w:eastAsia="SimSun" w:hAnsi="Arial"/>
                <w:b w:val="0"/>
                <w:lang w:eastAsia="zh-CN"/>
              </w:rPr>
              <w:t xml:space="preserve">GF is requested to co-finance </w:t>
            </w:r>
            <w:r w:rsidR="00961C04" w:rsidRPr="00223B98">
              <w:rPr>
                <w:rFonts w:ascii="Arial" w:eastAsia="SimSun" w:hAnsi="Arial"/>
                <w:b w:val="0"/>
                <w:lang w:eastAsia="zh-CN"/>
              </w:rPr>
              <w:t>low-threshold NGO services under social contracts to roll-out and institutionalize the mechanism, while supplies for HIV preventive activities, HTC, including rapid testing</w:t>
            </w:r>
            <w:r w:rsidR="00961C04">
              <w:rPr>
                <w:rFonts w:ascii="Arial" w:eastAsia="SimSun" w:hAnsi="Arial"/>
                <w:b w:val="0"/>
                <w:lang w:eastAsia="zh-CN"/>
              </w:rPr>
              <w:t xml:space="preserve"> </w:t>
            </w:r>
            <w:r w:rsidR="00E46AEB">
              <w:rPr>
                <w:rFonts w:ascii="Arial" w:eastAsia="SimSun" w:hAnsi="Arial"/>
                <w:b w:val="0"/>
                <w:lang w:eastAsia="zh-CN"/>
              </w:rPr>
              <w:t>will be</w:t>
            </w:r>
            <w:r w:rsidR="00961C04" w:rsidRPr="00223B98">
              <w:rPr>
                <w:rFonts w:ascii="Arial" w:eastAsia="SimSun" w:hAnsi="Arial"/>
                <w:b w:val="0"/>
                <w:lang w:eastAsia="zh-CN"/>
              </w:rPr>
              <w:t xml:space="preserve"> fully covered by AIDS Centers from domestic budgets</w:t>
            </w:r>
            <w:r w:rsidR="00961C04">
              <w:rPr>
                <w:rFonts w:ascii="Arial" w:eastAsia="SimSun" w:hAnsi="Arial"/>
                <w:b w:val="0"/>
                <w:lang w:eastAsia="zh-CN"/>
              </w:rPr>
              <w:t xml:space="preserve"> (see </w:t>
            </w:r>
            <w:r w:rsidR="00961C04" w:rsidRPr="008358BB">
              <w:rPr>
                <w:rFonts w:ascii="Arial" w:eastAsia="SimSun" w:hAnsi="Arial"/>
                <w:b w:val="0"/>
                <w:lang w:eastAsia="zh-CN"/>
              </w:rPr>
              <w:t xml:space="preserve">Annex </w:t>
            </w:r>
            <w:r w:rsidR="00832661" w:rsidRPr="008358BB">
              <w:rPr>
                <w:rFonts w:ascii="Arial" w:eastAsia="SimSun" w:hAnsi="Arial"/>
                <w:b w:val="0"/>
                <w:lang w:eastAsia="zh-CN"/>
              </w:rPr>
              <w:t>2</w:t>
            </w:r>
            <w:r w:rsidR="00961C04">
              <w:rPr>
                <w:rFonts w:ascii="Arial" w:eastAsia="SimSun" w:hAnsi="Arial"/>
                <w:b w:val="0"/>
                <w:lang w:eastAsia="zh-CN"/>
              </w:rPr>
              <w:t xml:space="preserve"> – Work plan and budget)</w:t>
            </w:r>
            <w:r w:rsidR="006353A8">
              <w:rPr>
                <w:rFonts w:ascii="Arial" w:eastAsia="SimSun" w:hAnsi="Arial"/>
                <w:b w:val="0"/>
                <w:lang w:eastAsia="zh-CN"/>
              </w:rPr>
              <w:t xml:space="preserve"> based on the </w:t>
            </w:r>
            <w:r w:rsidR="007429C2">
              <w:rPr>
                <w:rFonts w:ascii="Arial" w:eastAsia="SimSun" w:hAnsi="Arial"/>
                <w:b w:val="0"/>
                <w:lang w:eastAsia="zh-CN"/>
              </w:rPr>
              <w:t>mechanisms described</w:t>
            </w:r>
            <w:r w:rsidR="00F67433">
              <w:rPr>
                <w:rFonts w:ascii="Arial" w:eastAsia="SimSun" w:hAnsi="Arial"/>
                <w:b w:val="0"/>
                <w:lang w:eastAsia="zh-CN"/>
              </w:rPr>
              <w:t xml:space="preserve"> under Objective 1</w:t>
            </w:r>
            <w:r w:rsidR="007429C2">
              <w:rPr>
                <w:rFonts w:ascii="Arial" w:eastAsia="SimSun" w:hAnsi="Arial"/>
                <w:b w:val="0"/>
                <w:lang w:eastAsia="zh-CN"/>
              </w:rPr>
              <w:t xml:space="preserve"> above</w:t>
            </w:r>
            <w:r w:rsidR="00961C04" w:rsidRPr="00223B98">
              <w:rPr>
                <w:rFonts w:ascii="Arial" w:eastAsia="SimSun" w:hAnsi="Arial"/>
                <w:b w:val="0"/>
                <w:lang w:eastAsia="zh-CN"/>
              </w:rPr>
              <w:t>. The government also fully support</w:t>
            </w:r>
            <w:r w:rsidR="00961C04" w:rsidRPr="00BF114F">
              <w:rPr>
                <w:rFonts w:ascii="Arial" w:eastAsia="SimSun" w:hAnsi="Arial"/>
                <w:b w:val="0"/>
                <w:lang w:eastAsia="zh-CN"/>
              </w:rPr>
              <w:t xml:space="preserve"> </w:t>
            </w:r>
            <w:r w:rsidR="00961C04" w:rsidRPr="00223B98">
              <w:rPr>
                <w:rFonts w:ascii="Arial" w:eastAsia="SimSun" w:hAnsi="Arial"/>
                <w:b w:val="0"/>
                <w:lang w:eastAsia="zh-CN"/>
              </w:rPr>
              <w:t>ART, pre-ART and ART monitoring, PMTCT, blood safety,</w:t>
            </w:r>
            <w:r w:rsidR="00E52159">
              <w:rPr>
                <w:rFonts w:ascii="Arial" w:eastAsia="SimSun" w:hAnsi="Arial"/>
                <w:b w:val="0"/>
                <w:lang w:eastAsia="zh-CN"/>
              </w:rPr>
              <w:t xml:space="preserve"> OI management, STI testing and treatment, </w:t>
            </w:r>
            <w:r w:rsidR="00961C04" w:rsidRPr="00223B98">
              <w:rPr>
                <w:rFonts w:ascii="Arial" w:eastAsia="SimSun" w:hAnsi="Arial"/>
                <w:b w:val="0"/>
                <w:lang w:eastAsia="zh-CN"/>
              </w:rPr>
              <w:t xml:space="preserve">M&amp;E systems, including BSS in KAP, human resources and infrastructure for HIV services. </w:t>
            </w:r>
          </w:p>
          <w:p w14:paraId="3269D969" w14:textId="48A5B75B" w:rsidR="00961C04" w:rsidRPr="00223B98" w:rsidRDefault="00961C04" w:rsidP="00E46AEB">
            <w:pPr>
              <w:spacing w:before="120" w:after="120" w:line="240" w:lineRule="auto"/>
              <w:jc w:val="both"/>
              <w:rPr>
                <w:rFonts w:ascii="Arial" w:eastAsia="SimSun" w:hAnsi="Arial"/>
                <w:b w:val="0"/>
                <w:u w:val="single"/>
                <w:lang w:eastAsia="zh-CN"/>
              </w:rPr>
            </w:pPr>
            <w:r w:rsidRPr="00223B98">
              <w:rPr>
                <w:rFonts w:ascii="Arial" w:eastAsia="SimSun" w:hAnsi="Arial"/>
                <w:b w:val="0"/>
                <w:u w:val="single"/>
                <w:lang w:eastAsia="zh-CN"/>
              </w:rPr>
              <w:t xml:space="preserve">Module 2.1. Comprehensive prevention programs for </w:t>
            </w:r>
            <w:r w:rsidR="00D339E3">
              <w:rPr>
                <w:rFonts w:ascii="Arial" w:eastAsia="SimSun" w:hAnsi="Arial"/>
                <w:b w:val="0"/>
                <w:u w:val="single"/>
                <w:lang w:eastAsia="zh-CN"/>
              </w:rPr>
              <w:t>PWID</w:t>
            </w:r>
            <w:r w:rsidRPr="00223B98">
              <w:rPr>
                <w:rFonts w:ascii="Arial" w:eastAsia="SimSun" w:hAnsi="Arial"/>
                <w:b w:val="0"/>
                <w:u w:val="single"/>
                <w:lang w:eastAsia="zh-CN"/>
              </w:rPr>
              <w:t xml:space="preserve"> and their partners</w:t>
            </w:r>
          </w:p>
          <w:p w14:paraId="0078C533" w14:textId="1F08B696" w:rsidR="00E46AEB" w:rsidRDefault="00961C04" w:rsidP="00E46AEB">
            <w:pPr>
              <w:spacing w:before="120" w:after="120" w:line="240" w:lineRule="auto"/>
              <w:jc w:val="both"/>
              <w:rPr>
                <w:rFonts w:ascii="Arial" w:eastAsia="SimSun" w:hAnsi="Arial"/>
                <w:b w:val="0"/>
                <w:lang w:eastAsia="zh-CN"/>
              </w:rPr>
            </w:pPr>
            <w:r w:rsidRPr="00223B98">
              <w:rPr>
                <w:rFonts w:ascii="Arial" w:hAnsi="Arial"/>
                <w:b w:val="0"/>
                <w:i/>
              </w:rPr>
              <w:t xml:space="preserve">Intervention 2.1.1. Needle and Syringe programs for PWID and their partners. </w:t>
            </w:r>
            <w:r w:rsidRPr="00223B98">
              <w:rPr>
                <w:rFonts w:ascii="Arial" w:eastAsia="SimSun" w:hAnsi="Arial"/>
                <w:b w:val="0"/>
                <w:lang w:eastAsia="zh-CN"/>
              </w:rPr>
              <w:t xml:space="preserve">Sterile syringe use has not yet become consistent, and safer sexual behaviors have not been </w:t>
            </w:r>
            <w:r w:rsidR="0089728B" w:rsidRPr="00223B98">
              <w:rPr>
                <w:rFonts w:ascii="Arial" w:eastAsia="SimSun" w:hAnsi="Arial"/>
                <w:b w:val="0"/>
                <w:lang w:eastAsia="zh-CN"/>
              </w:rPr>
              <w:t xml:space="preserve">fully </w:t>
            </w:r>
            <w:r w:rsidRPr="00223B98">
              <w:rPr>
                <w:rFonts w:ascii="Arial" w:eastAsia="SimSun" w:hAnsi="Arial"/>
                <w:b w:val="0"/>
                <w:lang w:eastAsia="zh-CN"/>
              </w:rPr>
              <w:t>adopted by PWID in Kazakhstan. T</w:t>
            </w:r>
            <w:r w:rsidR="00E43477">
              <w:rPr>
                <w:rFonts w:ascii="Arial" w:eastAsia="SimSun" w:hAnsi="Arial"/>
                <w:b w:val="0"/>
                <w:lang w:eastAsia="zh-CN"/>
              </w:rPr>
              <w:t xml:space="preserve">GF is requested to support </w:t>
            </w:r>
            <w:r w:rsidRPr="00223B98">
              <w:rPr>
                <w:rFonts w:ascii="Arial" w:eastAsia="SimSun" w:hAnsi="Arial"/>
                <w:b w:val="0"/>
                <w:lang w:eastAsia="zh-CN"/>
              </w:rPr>
              <w:t xml:space="preserve">scale-up </w:t>
            </w:r>
            <w:r w:rsidR="00E43477">
              <w:rPr>
                <w:rFonts w:ascii="Arial" w:eastAsia="SimSun" w:hAnsi="Arial"/>
                <w:b w:val="0"/>
                <w:lang w:eastAsia="zh-CN"/>
              </w:rPr>
              <w:t xml:space="preserve">of </w:t>
            </w:r>
            <w:r w:rsidRPr="00223B98">
              <w:rPr>
                <w:rFonts w:ascii="Arial" w:eastAsia="SimSun" w:hAnsi="Arial"/>
                <w:b w:val="0"/>
                <w:lang w:eastAsia="zh-CN"/>
              </w:rPr>
              <w:t xml:space="preserve">quality harm reduction services under coordination of the Republican AIDS Center through social contracting </w:t>
            </w:r>
            <w:r w:rsidR="00E46AEB">
              <w:rPr>
                <w:rFonts w:ascii="Arial" w:eastAsia="SimSun" w:hAnsi="Arial"/>
                <w:b w:val="0"/>
                <w:lang w:eastAsia="zh-CN"/>
              </w:rPr>
              <w:t xml:space="preserve">for selected NGOs </w:t>
            </w:r>
            <w:r w:rsidRPr="00223B98">
              <w:rPr>
                <w:rFonts w:ascii="Arial" w:eastAsia="SimSun" w:hAnsi="Arial"/>
                <w:b w:val="0"/>
                <w:lang w:eastAsia="zh-CN"/>
              </w:rPr>
              <w:t xml:space="preserve">in Karaganda oblast, Almaty </w:t>
            </w:r>
            <w:r w:rsidR="00E43477">
              <w:rPr>
                <w:rFonts w:ascii="Arial" w:eastAsia="SimSun" w:hAnsi="Arial"/>
                <w:b w:val="0"/>
                <w:lang w:eastAsia="zh-CN"/>
              </w:rPr>
              <w:t>city and Astana city (starting Y</w:t>
            </w:r>
            <w:r w:rsidRPr="00223B98">
              <w:rPr>
                <w:rFonts w:ascii="Arial" w:eastAsia="SimSun" w:hAnsi="Arial"/>
                <w:b w:val="0"/>
                <w:lang w:eastAsia="zh-CN"/>
              </w:rPr>
              <w:t xml:space="preserve">ear 3). A comprehensive package of evidence based harm reduction services will be provided to PWID:  distribution of needles and syringes, IEC counseling, condoms, water for injection, post-injection plaster, alcohol swabs and containers for used syringes, overdose prevention, counseling and referral to HTC, counseling and linkage to OST, ART, Hepatitis, STI and other medical services, with emphasize on gender and age specific needs. To address the perpetuation of unsafe injection and unsafe sexual behaviors in PWID, a mobile application </w:t>
            </w:r>
            <w:r w:rsidR="00F67433" w:rsidRPr="00223B98">
              <w:rPr>
                <w:rFonts w:ascii="Arial" w:eastAsia="SimSun" w:hAnsi="Arial"/>
                <w:b w:val="0"/>
                <w:lang w:eastAsia="zh-CN"/>
              </w:rPr>
              <w:t xml:space="preserve">will </w:t>
            </w:r>
            <w:r w:rsidR="00F67433">
              <w:rPr>
                <w:rFonts w:ascii="Arial" w:eastAsia="SimSun" w:hAnsi="Arial"/>
                <w:b w:val="0"/>
                <w:lang w:eastAsia="zh-CN"/>
              </w:rPr>
              <w:t xml:space="preserve">be </w:t>
            </w:r>
            <w:r w:rsidR="00F67433" w:rsidRPr="00223B98">
              <w:rPr>
                <w:rFonts w:ascii="Arial" w:eastAsia="SimSun" w:hAnsi="Arial"/>
                <w:b w:val="0"/>
                <w:lang w:eastAsia="zh-CN"/>
              </w:rPr>
              <w:t>develop</w:t>
            </w:r>
            <w:r w:rsidR="00F67433">
              <w:rPr>
                <w:rFonts w:ascii="Arial" w:eastAsia="SimSun" w:hAnsi="Arial"/>
                <w:b w:val="0"/>
                <w:lang w:eastAsia="zh-CN"/>
              </w:rPr>
              <w:t xml:space="preserve">ed </w:t>
            </w:r>
            <w:r w:rsidRPr="00223B98">
              <w:rPr>
                <w:rFonts w:ascii="Arial" w:eastAsia="SimSun" w:hAnsi="Arial"/>
                <w:b w:val="0"/>
                <w:lang w:eastAsia="zh-CN"/>
              </w:rPr>
              <w:t>with informational and educational content tailored to specific needs of PWID to support behavior change activities and increase sterile syringes use and condom acceptability and promote safer behaviors.</w:t>
            </w:r>
          </w:p>
          <w:p w14:paraId="523CEBA7" w14:textId="6F9497A5" w:rsidR="00961C04" w:rsidRPr="00223B98" w:rsidRDefault="00961C04" w:rsidP="00E46AEB">
            <w:pPr>
              <w:spacing w:before="120" w:after="120" w:line="240" w:lineRule="auto"/>
              <w:jc w:val="both"/>
              <w:rPr>
                <w:rFonts w:ascii="Arial" w:eastAsia="SimSun" w:hAnsi="Arial"/>
                <w:b w:val="0"/>
                <w:lang w:eastAsia="zh-CN"/>
              </w:rPr>
            </w:pPr>
            <w:r w:rsidRPr="00223B98">
              <w:rPr>
                <w:rFonts w:ascii="Arial" w:eastAsia="SimSun" w:hAnsi="Arial"/>
                <w:b w:val="0"/>
                <w:lang w:eastAsia="zh-CN"/>
              </w:rPr>
              <w:t xml:space="preserve">Basic harm reduction training to NGO staff </w:t>
            </w:r>
            <w:r w:rsidR="00CF41FF" w:rsidRPr="00223B98">
              <w:rPr>
                <w:rFonts w:ascii="Arial" w:eastAsia="SimSun" w:hAnsi="Arial"/>
                <w:b w:val="0"/>
                <w:lang w:eastAsia="zh-CN"/>
              </w:rPr>
              <w:t xml:space="preserve">to ensure quality service provision and minimal standards of services, including HTC counseling and linkage to OST </w:t>
            </w:r>
            <w:r w:rsidRPr="00223B98">
              <w:rPr>
                <w:rFonts w:ascii="Arial" w:eastAsia="SimSun" w:hAnsi="Arial"/>
                <w:b w:val="0"/>
                <w:lang w:eastAsia="zh-CN"/>
              </w:rPr>
              <w:t xml:space="preserve">will be provided by Kazakh Union of PLHIV. Harm reduction supplies (needle and syringes, condoms, injection paraphernalia, etc.) will be procured by AIDS Centers from domestic sources and </w:t>
            </w:r>
            <w:r w:rsidR="00A85620">
              <w:rPr>
                <w:rFonts w:ascii="Arial" w:eastAsia="SimSun" w:hAnsi="Arial"/>
                <w:b w:val="0"/>
                <w:lang w:eastAsia="zh-CN"/>
              </w:rPr>
              <w:t>provided</w:t>
            </w:r>
            <w:r w:rsidRPr="00223B98">
              <w:rPr>
                <w:rFonts w:ascii="Arial" w:eastAsia="SimSun" w:hAnsi="Arial"/>
                <w:b w:val="0"/>
                <w:lang w:eastAsia="zh-CN"/>
              </w:rPr>
              <w:t xml:space="preserve"> to NGO </w:t>
            </w:r>
            <w:r w:rsidR="00A85620">
              <w:rPr>
                <w:rFonts w:ascii="Arial" w:eastAsia="SimSun" w:hAnsi="Arial"/>
                <w:b w:val="0"/>
                <w:lang w:eastAsia="zh-CN"/>
              </w:rPr>
              <w:t>for further distribution</w:t>
            </w:r>
            <w:r w:rsidRPr="00223B98">
              <w:rPr>
                <w:rFonts w:ascii="Arial" w:eastAsia="SimSun" w:hAnsi="Arial"/>
                <w:b w:val="0"/>
                <w:lang w:eastAsia="zh-CN"/>
              </w:rPr>
              <w:t xml:space="preserve"> by outreach workers. 60% of estimated number of PWID in </w:t>
            </w:r>
            <w:r w:rsidR="00F5379F">
              <w:rPr>
                <w:rFonts w:ascii="Arial" w:eastAsia="SimSun" w:hAnsi="Arial"/>
                <w:b w:val="0"/>
                <w:lang w:eastAsia="zh-CN"/>
              </w:rPr>
              <w:t xml:space="preserve">earlier intervention </w:t>
            </w:r>
            <w:r w:rsidRPr="00223B98">
              <w:rPr>
                <w:rFonts w:ascii="Arial" w:eastAsia="SimSun" w:hAnsi="Arial"/>
                <w:b w:val="0"/>
                <w:lang w:eastAsia="zh-CN"/>
              </w:rPr>
              <w:t>sites</w:t>
            </w:r>
            <w:r w:rsidR="00E46AEB">
              <w:rPr>
                <w:rFonts w:ascii="Arial" w:eastAsia="SimSun" w:hAnsi="Arial"/>
                <w:b w:val="0"/>
                <w:lang w:eastAsia="zh-CN"/>
              </w:rPr>
              <w:t xml:space="preserve"> will be </w:t>
            </w:r>
            <w:r w:rsidRPr="00223B98">
              <w:rPr>
                <w:rFonts w:ascii="Arial" w:eastAsia="SimSun" w:hAnsi="Arial"/>
                <w:b w:val="0"/>
                <w:lang w:eastAsia="zh-CN"/>
              </w:rPr>
              <w:t>reached with harm reduction services by 2020, in line with national road map on accelerated HIV response. HIV testing services for PWID will be further scaled-up by NGOs in collaboration with AIDS Centers to reach 90% of covered PWID. The Government wil</w:t>
            </w:r>
            <w:r w:rsidR="002A007B">
              <w:rPr>
                <w:rFonts w:ascii="Arial" w:eastAsia="SimSun" w:hAnsi="Arial"/>
                <w:b w:val="0"/>
                <w:lang w:eastAsia="zh-CN"/>
              </w:rPr>
              <w:t xml:space="preserve">l </w:t>
            </w:r>
            <w:r w:rsidR="002A007B">
              <w:rPr>
                <w:rFonts w:ascii="Arial" w:eastAsia="SimSun" w:hAnsi="Arial"/>
                <w:b w:val="0"/>
                <w:lang w:eastAsia="zh-CN"/>
              </w:rPr>
              <w:lastRenderedPageBreak/>
              <w:t xml:space="preserve">ensure necessary HIV testing supplies </w:t>
            </w:r>
            <w:r w:rsidR="00A17D4A">
              <w:rPr>
                <w:rFonts w:ascii="Arial" w:eastAsia="SimSun" w:hAnsi="Arial"/>
                <w:b w:val="0"/>
                <w:lang w:eastAsia="zh-CN"/>
              </w:rPr>
              <w:t xml:space="preserve">as part of social contracting mechanism described under Objective 1 above. </w:t>
            </w:r>
          </w:p>
          <w:p w14:paraId="06293E03" w14:textId="77777777" w:rsidR="00961C04" w:rsidRPr="00223B98" w:rsidRDefault="00961C04" w:rsidP="00E46AEB">
            <w:pPr>
              <w:spacing w:before="120" w:after="120" w:line="240" w:lineRule="auto"/>
              <w:jc w:val="both"/>
              <w:rPr>
                <w:rFonts w:ascii="Arial" w:hAnsi="Arial"/>
                <w:b w:val="0"/>
                <w:u w:val="single"/>
              </w:rPr>
            </w:pPr>
            <w:r w:rsidRPr="00223B98">
              <w:rPr>
                <w:rFonts w:ascii="Arial" w:hAnsi="Arial"/>
                <w:b w:val="0"/>
                <w:u w:val="single"/>
              </w:rPr>
              <w:t>Module 2.2. Comprehensive prevention programs for sex workers and their clients</w:t>
            </w:r>
          </w:p>
          <w:p w14:paraId="1A2023C2" w14:textId="04F70DCE" w:rsidR="00B27901" w:rsidRDefault="00961C04" w:rsidP="00E46AEB">
            <w:pPr>
              <w:spacing w:before="120" w:after="120" w:line="240" w:lineRule="auto"/>
              <w:jc w:val="both"/>
              <w:rPr>
                <w:rFonts w:ascii="Arial" w:eastAsia="SimSun" w:hAnsi="Arial"/>
                <w:b w:val="0"/>
                <w:lang w:eastAsia="zh-CN"/>
              </w:rPr>
            </w:pPr>
            <w:r w:rsidRPr="00223B98">
              <w:rPr>
                <w:rFonts w:ascii="Arial" w:hAnsi="Arial"/>
                <w:b w:val="0"/>
                <w:i/>
              </w:rPr>
              <w:t xml:space="preserve">Intervention 2.2.1. Behavioral interventions for sex workers. </w:t>
            </w:r>
            <w:r w:rsidRPr="00223B98">
              <w:rPr>
                <w:rFonts w:ascii="Arial" w:eastAsia="SimSun" w:hAnsi="Arial"/>
                <w:b w:val="0"/>
                <w:lang w:eastAsia="zh-CN"/>
              </w:rPr>
              <w:t xml:space="preserve">The </w:t>
            </w:r>
            <w:r w:rsidR="0083633B">
              <w:rPr>
                <w:rFonts w:ascii="Arial" w:eastAsia="SimSun" w:hAnsi="Arial"/>
                <w:b w:val="0"/>
                <w:lang w:eastAsia="zh-CN"/>
              </w:rPr>
              <w:t xml:space="preserve">Global Fund support </w:t>
            </w:r>
            <w:r w:rsidRPr="00223B98">
              <w:rPr>
                <w:rFonts w:ascii="Arial" w:eastAsia="SimSun" w:hAnsi="Arial"/>
                <w:b w:val="0"/>
                <w:lang w:eastAsia="zh-CN"/>
              </w:rPr>
              <w:t xml:space="preserve">will scale-up preventive services among sex workers coordinated by the Republican AIDS Centers and implemented based on social contracting by </w:t>
            </w:r>
            <w:r w:rsidR="00B27901">
              <w:rPr>
                <w:rFonts w:ascii="Arial" w:eastAsia="SimSun" w:hAnsi="Arial"/>
                <w:b w:val="0"/>
                <w:lang w:eastAsia="zh-CN"/>
              </w:rPr>
              <w:t>NGOs</w:t>
            </w:r>
            <w:r w:rsidRPr="00223B98">
              <w:rPr>
                <w:rFonts w:ascii="Arial" w:eastAsia="SimSun" w:hAnsi="Arial"/>
                <w:b w:val="0"/>
                <w:lang w:eastAsia="zh-CN"/>
              </w:rPr>
              <w:t xml:space="preserve"> in selected sites (Karaganda oblast, Almaty </w:t>
            </w:r>
            <w:r w:rsidR="0083633B">
              <w:rPr>
                <w:rFonts w:ascii="Arial" w:eastAsia="SimSun" w:hAnsi="Arial"/>
                <w:b w:val="0"/>
                <w:lang w:eastAsia="zh-CN"/>
              </w:rPr>
              <w:t>city and Astana city (starting Y</w:t>
            </w:r>
            <w:r w:rsidRPr="00223B98">
              <w:rPr>
                <w:rFonts w:ascii="Arial" w:eastAsia="SimSun" w:hAnsi="Arial"/>
                <w:b w:val="0"/>
                <w:lang w:eastAsia="zh-CN"/>
              </w:rPr>
              <w:t xml:space="preserve">ear 3)). HIV prevention in sex work settings will be </w:t>
            </w:r>
            <w:r w:rsidR="0083633B">
              <w:rPr>
                <w:rFonts w:ascii="Arial" w:eastAsia="SimSun" w:hAnsi="Arial"/>
                <w:b w:val="0"/>
                <w:lang w:eastAsia="zh-CN"/>
              </w:rPr>
              <w:t>directed to ensure</w:t>
            </w:r>
            <w:r w:rsidRPr="00223B98">
              <w:rPr>
                <w:rFonts w:ascii="Arial" w:eastAsia="SimSun" w:hAnsi="Arial"/>
                <w:b w:val="0"/>
                <w:lang w:eastAsia="zh-CN"/>
              </w:rPr>
              <w:t xml:space="preserve"> inc</w:t>
            </w:r>
            <w:r w:rsidR="0083633B">
              <w:rPr>
                <w:rFonts w:ascii="Arial" w:eastAsia="SimSun" w:hAnsi="Arial"/>
                <w:b w:val="0"/>
                <w:lang w:eastAsia="zh-CN"/>
              </w:rPr>
              <w:t>reased condom use and safer sex, and</w:t>
            </w:r>
            <w:r w:rsidRPr="00223B98">
              <w:rPr>
                <w:rFonts w:ascii="Arial" w:eastAsia="SimSun" w:hAnsi="Arial"/>
                <w:b w:val="0"/>
                <w:lang w:eastAsia="zh-CN"/>
              </w:rPr>
              <w:t xml:space="preserve"> reduced STI burden through an approach able to adapt to changing needs. A comprehensive range of well-coordinated and flexible </w:t>
            </w:r>
            <w:r w:rsidR="0083633B">
              <w:rPr>
                <w:rFonts w:ascii="Arial" w:eastAsia="SimSun" w:hAnsi="Arial"/>
                <w:b w:val="0"/>
                <w:lang w:eastAsia="zh-CN"/>
              </w:rPr>
              <w:t>services will be provided to SW</w:t>
            </w:r>
            <w:r w:rsidRPr="00223B98">
              <w:rPr>
                <w:rFonts w:ascii="Arial" w:eastAsia="SimSun" w:hAnsi="Arial"/>
                <w:b w:val="0"/>
                <w:lang w:eastAsia="zh-CN"/>
              </w:rPr>
              <w:t xml:space="preserve">, using community and peer outreach: easy access to condoms, easy access to information, communication and education; risk reduction counseling; peer education; referral system for HIV testing and counseling, as well as health services, HIV care, management of STI. Condoms for SW will be provided from domestic resources by the AIDS Centers. </w:t>
            </w:r>
          </w:p>
          <w:p w14:paraId="773CB27B" w14:textId="20FBE558" w:rsidR="00961C04" w:rsidRDefault="00961C04" w:rsidP="00E46AEB">
            <w:pPr>
              <w:spacing w:before="120" w:after="120" w:line="240" w:lineRule="auto"/>
              <w:jc w:val="both"/>
              <w:rPr>
                <w:rFonts w:ascii="Arial" w:eastAsia="SimSun" w:hAnsi="Arial"/>
                <w:b w:val="0"/>
                <w:lang w:eastAsia="zh-CN"/>
              </w:rPr>
            </w:pPr>
            <w:r w:rsidRPr="00223B98">
              <w:rPr>
                <w:rFonts w:ascii="Arial" w:eastAsia="SimSun" w:hAnsi="Arial"/>
                <w:b w:val="0"/>
                <w:lang w:eastAsia="zh-CN"/>
              </w:rPr>
              <w:t xml:space="preserve">The </w:t>
            </w:r>
            <w:r w:rsidR="0083633B">
              <w:rPr>
                <w:rFonts w:ascii="Arial" w:eastAsia="SimSun" w:hAnsi="Arial"/>
                <w:b w:val="0"/>
                <w:lang w:eastAsia="zh-CN"/>
              </w:rPr>
              <w:t xml:space="preserve">Global Fund </w:t>
            </w:r>
            <w:r w:rsidRPr="00223B98">
              <w:rPr>
                <w:rFonts w:ascii="Arial" w:eastAsia="SimSun" w:hAnsi="Arial"/>
                <w:b w:val="0"/>
                <w:lang w:eastAsia="zh-CN"/>
              </w:rPr>
              <w:t xml:space="preserve">will support consistent capacity building for NGOs staff through Kazakh Union of PLHIV and develop a mobile IEC application with informational and educational content tailored to specific needs of SW to be promoted through outreach activities. </w:t>
            </w:r>
            <w:r w:rsidR="0083633B">
              <w:rPr>
                <w:rFonts w:ascii="Arial" w:eastAsia="SimSun" w:hAnsi="Arial"/>
                <w:b w:val="0"/>
                <w:lang w:eastAsia="zh-CN"/>
              </w:rPr>
              <w:t xml:space="preserve">Based on improved social contracting mechanism, </w:t>
            </w:r>
            <w:r w:rsidRPr="00223B98">
              <w:rPr>
                <w:rFonts w:ascii="Arial" w:eastAsia="SimSun" w:hAnsi="Arial"/>
                <w:b w:val="0"/>
                <w:lang w:eastAsia="zh-CN"/>
              </w:rPr>
              <w:t xml:space="preserve">80% of estimated number of SW in </w:t>
            </w:r>
            <w:r w:rsidR="00F5379F">
              <w:rPr>
                <w:rFonts w:ascii="Arial" w:eastAsia="SimSun" w:hAnsi="Arial"/>
                <w:b w:val="0"/>
                <w:lang w:eastAsia="zh-CN"/>
              </w:rPr>
              <w:t xml:space="preserve">earlier intervention </w:t>
            </w:r>
            <w:r w:rsidRPr="00223B98">
              <w:rPr>
                <w:rFonts w:ascii="Arial" w:eastAsia="SimSun" w:hAnsi="Arial"/>
                <w:b w:val="0"/>
                <w:lang w:eastAsia="zh-CN"/>
              </w:rPr>
              <w:t>sites</w:t>
            </w:r>
            <w:r w:rsidR="00A46B06">
              <w:rPr>
                <w:rFonts w:ascii="Arial" w:eastAsia="SimSun" w:hAnsi="Arial"/>
                <w:b w:val="0"/>
                <w:lang w:eastAsia="zh-CN"/>
              </w:rPr>
              <w:t xml:space="preserve"> will be </w:t>
            </w:r>
            <w:r w:rsidRPr="00223B98">
              <w:rPr>
                <w:rFonts w:ascii="Arial" w:eastAsia="SimSun" w:hAnsi="Arial"/>
                <w:b w:val="0"/>
                <w:lang w:eastAsia="zh-CN"/>
              </w:rPr>
              <w:t xml:space="preserve">reached with </w:t>
            </w:r>
            <w:r w:rsidR="00064F4F">
              <w:rPr>
                <w:rFonts w:ascii="Arial" w:eastAsia="SimSun" w:hAnsi="Arial"/>
                <w:b w:val="0"/>
                <w:lang w:eastAsia="zh-CN"/>
              </w:rPr>
              <w:t>preventive</w:t>
            </w:r>
            <w:r w:rsidRPr="00223B98">
              <w:rPr>
                <w:rFonts w:ascii="Arial" w:eastAsia="SimSun" w:hAnsi="Arial"/>
                <w:b w:val="0"/>
                <w:lang w:eastAsia="zh-CN"/>
              </w:rPr>
              <w:t xml:space="preserve"> services by 2020, in line with national road map on accelerated HIV response. HIV testing services for SW will be further scaled-up by NGOs in collaboration with AIDS Centers to reach 95% of SW covered with preventive services. The Government will </w:t>
            </w:r>
            <w:r w:rsidR="0083633B">
              <w:rPr>
                <w:rFonts w:ascii="Arial" w:eastAsia="SimSun" w:hAnsi="Arial"/>
                <w:b w:val="0"/>
                <w:lang w:eastAsia="zh-CN"/>
              </w:rPr>
              <w:t xml:space="preserve">match TGF support and cover all </w:t>
            </w:r>
            <w:r w:rsidRPr="00223B98">
              <w:rPr>
                <w:rFonts w:ascii="Arial" w:eastAsia="SimSun" w:hAnsi="Arial"/>
                <w:b w:val="0"/>
                <w:lang w:eastAsia="zh-CN"/>
              </w:rPr>
              <w:t>necessary HIV testing, including rapid testing</w:t>
            </w:r>
            <w:r w:rsidR="006C11CA">
              <w:rPr>
                <w:rFonts w:ascii="Arial" w:eastAsia="SimSun" w:hAnsi="Arial"/>
                <w:b w:val="0"/>
                <w:lang w:eastAsia="zh-CN"/>
              </w:rPr>
              <w:t xml:space="preserve"> and other supplies</w:t>
            </w:r>
            <w:r w:rsidR="00B27901">
              <w:rPr>
                <w:rFonts w:ascii="Arial" w:eastAsia="SimSun" w:hAnsi="Arial"/>
                <w:b w:val="0"/>
                <w:lang w:eastAsia="zh-CN"/>
              </w:rPr>
              <w:t>.</w:t>
            </w:r>
          </w:p>
          <w:p w14:paraId="5CC8C528" w14:textId="77777777" w:rsidR="00961C04" w:rsidRPr="00223B98" w:rsidRDefault="00961C04" w:rsidP="00E46AEB">
            <w:pPr>
              <w:spacing w:before="120" w:after="120" w:line="240" w:lineRule="auto"/>
              <w:jc w:val="both"/>
              <w:rPr>
                <w:rFonts w:ascii="Arial" w:hAnsi="Arial"/>
                <w:b w:val="0"/>
                <w:u w:val="single"/>
              </w:rPr>
            </w:pPr>
            <w:r w:rsidRPr="00223B98">
              <w:rPr>
                <w:rFonts w:ascii="Arial" w:hAnsi="Arial"/>
                <w:b w:val="0"/>
                <w:u w:val="single"/>
              </w:rPr>
              <w:t>Module 2.3 Comprehensive prevention programs for MSM</w:t>
            </w:r>
          </w:p>
          <w:p w14:paraId="1D408266" w14:textId="06635271" w:rsidR="00961C04" w:rsidRPr="00223B98" w:rsidRDefault="00961C04" w:rsidP="00E46AEB">
            <w:pPr>
              <w:spacing w:before="120" w:after="120" w:line="240" w:lineRule="auto"/>
              <w:jc w:val="both"/>
              <w:rPr>
                <w:rFonts w:ascii="Arial" w:eastAsia="SimSun" w:hAnsi="Arial"/>
                <w:b w:val="0"/>
                <w:lang w:eastAsia="zh-CN"/>
              </w:rPr>
            </w:pPr>
            <w:r w:rsidRPr="00223B98">
              <w:rPr>
                <w:rFonts w:ascii="Arial" w:hAnsi="Arial"/>
                <w:b w:val="0"/>
                <w:i/>
              </w:rPr>
              <w:t xml:space="preserve">Intervention 2.3.1. Behavioral interventions for MSM. </w:t>
            </w:r>
            <w:r w:rsidRPr="00223B98">
              <w:rPr>
                <w:rFonts w:ascii="Arial" w:eastAsia="SimSun" w:hAnsi="Arial"/>
                <w:b w:val="0"/>
                <w:lang w:eastAsia="zh-CN"/>
              </w:rPr>
              <w:t xml:space="preserve">The </w:t>
            </w:r>
            <w:r w:rsidR="00A42760">
              <w:rPr>
                <w:rFonts w:ascii="Arial" w:eastAsia="SimSun" w:hAnsi="Arial"/>
                <w:b w:val="0"/>
                <w:lang w:eastAsia="zh-CN"/>
              </w:rPr>
              <w:t xml:space="preserve">Global Fund support </w:t>
            </w:r>
            <w:r w:rsidRPr="00223B98">
              <w:rPr>
                <w:rFonts w:ascii="Arial" w:eastAsia="SimSun" w:hAnsi="Arial"/>
                <w:b w:val="0"/>
                <w:lang w:eastAsia="zh-CN"/>
              </w:rPr>
              <w:t>will scale-up HIV preventive services to MSM under coordinatio</w:t>
            </w:r>
            <w:r w:rsidR="00A42760">
              <w:rPr>
                <w:rFonts w:ascii="Arial" w:eastAsia="SimSun" w:hAnsi="Arial"/>
                <w:b w:val="0"/>
                <w:lang w:eastAsia="zh-CN"/>
              </w:rPr>
              <w:t>n of the Republican AIDS Center</w:t>
            </w:r>
            <w:r w:rsidRPr="00223B98">
              <w:rPr>
                <w:rFonts w:ascii="Arial" w:eastAsia="SimSun" w:hAnsi="Arial"/>
                <w:b w:val="0"/>
                <w:lang w:eastAsia="zh-CN"/>
              </w:rPr>
              <w:t xml:space="preserve"> through social contracting of selected </w:t>
            </w:r>
            <w:r w:rsidR="00B27901">
              <w:rPr>
                <w:rFonts w:ascii="Arial" w:eastAsia="SimSun" w:hAnsi="Arial"/>
                <w:b w:val="0"/>
                <w:lang w:eastAsia="zh-CN"/>
              </w:rPr>
              <w:t>NGOs</w:t>
            </w:r>
            <w:r w:rsidRPr="00223B98">
              <w:rPr>
                <w:rFonts w:ascii="Arial" w:eastAsia="SimSun" w:hAnsi="Arial"/>
                <w:b w:val="0"/>
                <w:lang w:eastAsia="zh-CN"/>
              </w:rPr>
              <w:t xml:space="preserve"> in Karaganda oblast, Almaty </w:t>
            </w:r>
            <w:r w:rsidR="00A42760">
              <w:rPr>
                <w:rFonts w:ascii="Arial" w:eastAsia="SimSun" w:hAnsi="Arial"/>
                <w:b w:val="0"/>
                <w:lang w:eastAsia="zh-CN"/>
              </w:rPr>
              <w:t>city and Astana city (starting Y</w:t>
            </w:r>
            <w:r w:rsidRPr="00223B98">
              <w:rPr>
                <w:rFonts w:ascii="Arial" w:eastAsia="SimSun" w:hAnsi="Arial"/>
                <w:b w:val="0"/>
                <w:lang w:eastAsia="zh-CN"/>
              </w:rPr>
              <w:t xml:space="preserve">ear 3). Service provision includes outreach work, provision of IEC, condoms and lubricants, counseling services and peer support, counseling and referral to THC and health services. Condoms with increased resistance and lubricant for preventive activities will be procured by AIDS Centers from domestic sources and supplied to NGO to be distributed by outreach workers. </w:t>
            </w:r>
          </w:p>
          <w:p w14:paraId="559F262E" w14:textId="6F591004" w:rsidR="00961C04" w:rsidRPr="00DD4C73" w:rsidRDefault="00961C04" w:rsidP="00E46AEB">
            <w:pPr>
              <w:spacing w:before="120" w:after="120" w:line="240" w:lineRule="auto"/>
              <w:jc w:val="both"/>
              <w:rPr>
                <w:rFonts w:ascii="Arial" w:eastAsia="SimSun" w:hAnsi="Arial"/>
                <w:b w:val="0"/>
                <w:lang w:eastAsia="zh-CN"/>
              </w:rPr>
            </w:pPr>
            <w:r w:rsidRPr="00223B98">
              <w:rPr>
                <w:rFonts w:ascii="Arial" w:eastAsia="SimSun" w:hAnsi="Arial"/>
                <w:b w:val="0"/>
                <w:lang w:eastAsia="zh-CN"/>
              </w:rPr>
              <w:t xml:space="preserve">A series of training for service will be provided by Kazakh Union of PLHIV to NGOs staff to ensure quality service provision and minimal standards of services. To increase efficiency of IEC efforts, a mobile application with informational and educational content tailored to specific needs of MSM (HIV, safe sex, HTC, preventive services and HIV care, etc.) will be developed and promoted free of charge among target group through outreach activity. The application will be accessible beyond </w:t>
            </w:r>
            <w:r w:rsidR="00A42760">
              <w:rPr>
                <w:rFonts w:ascii="Arial" w:eastAsia="SimSun" w:hAnsi="Arial"/>
                <w:b w:val="0"/>
                <w:lang w:eastAsia="zh-CN"/>
              </w:rPr>
              <w:t xml:space="preserve">earlier intervention </w:t>
            </w:r>
            <w:r w:rsidRPr="00223B98">
              <w:rPr>
                <w:rFonts w:ascii="Arial" w:eastAsia="SimSun" w:hAnsi="Arial"/>
                <w:b w:val="0"/>
                <w:lang w:eastAsia="zh-CN"/>
              </w:rPr>
              <w:t>site</w:t>
            </w:r>
            <w:r w:rsidR="00A42760">
              <w:rPr>
                <w:rFonts w:ascii="Arial" w:eastAsia="SimSun" w:hAnsi="Arial"/>
                <w:b w:val="0"/>
                <w:lang w:eastAsia="zh-CN"/>
              </w:rPr>
              <w:t>s</w:t>
            </w:r>
            <w:r w:rsidRPr="00223B98">
              <w:rPr>
                <w:rFonts w:ascii="Arial" w:eastAsia="SimSun" w:hAnsi="Arial"/>
                <w:b w:val="0"/>
                <w:lang w:eastAsia="zh-CN"/>
              </w:rPr>
              <w:t xml:space="preserve"> contributing to overall IEC effort for MSM. </w:t>
            </w:r>
            <w:r w:rsidR="00A42760">
              <w:rPr>
                <w:rFonts w:ascii="Arial" w:eastAsia="SimSun" w:hAnsi="Arial"/>
                <w:b w:val="0"/>
                <w:lang w:eastAsia="zh-CN"/>
              </w:rPr>
              <w:t>Due to improved s</w:t>
            </w:r>
            <w:r w:rsidR="00064F4F">
              <w:rPr>
                <w:rFonts w:ascii="Arial" w:eastAsia="SimSun" w:hAnsi="Arial"/>
                <w:b w:val="0"/>
                <w:lang w:eastAsia="zh-CN"/>
              </w:rPr>
              <w:t xml:space="preserve">ocial contracting mechanism </w:t>
            </w:r>
            <w:r w:rsidR="00A42760">
              <w:rPr>
                <w:rFonts w:ascii="Arial" w:eastAsia="SimSun" w:hAnsi="Arial"/>
                <w:b w:val="0"/>
                <w:lang w:eastAsia="zh-CN"/>
              </w:rPr>
              <w:t xml:space="preserve">(described in Objective 1) the coverage will be boosted </w:t>
            </w:r>
            <w:r w:rsidR="00064F4F">
              <w:rPr>
                <w:rFonts w:ascii="Arial" w:eastAsia="SimSun" w:hAnsi="Arial"/>
                <w:b w:val="0"/>
                <w:lang w:eastAsia="zh-CN"/>
              </w:rPr>
              <w:t xml:space="preserve">by reaching </w:t>
            </w:r>
            <w:r w:rsidR="00D910A8">
              <w:rPr>
                <w:rFonts w:ascii="Arial" w:eastAsia="SimSun" w:hAnsi="Arial"/>
                <w:b w:val="0"/>
                <w:lang w:eastAsia="zh-CN"/>
              </w:rPr>
              <w:t>4</w:t>
            </w:r>
            <w:r w:rsidRPr="00223B98">
              <w:rPr>
                <w:rFonts w:ascii="Arial" w:eastAsia="SimSun" w:hAnsi="Arial"/>
                <w:b w:val="0"/>
                <w:lang w:eastAsia="zh-CN"/>
              </w:rPr>
              <w:t xml:space="preserve">0% of estimated number of </w:t>
            </w:r>
            <w:r w:rsidR="00EC02B9">
              <w:rPr>
                <w:rFonts w:ascii="Arial" w:eastAsia="SimSun" w:hAnsi="Arial"/>
                <w:b w:val="0"/>
                <w:lang w:eastAsia="zh-CN"/>
              </w:rPr>
              <w:t>MSM</w:t>
            </w:r>
            <w:r w:rsidR="00EC02B9" w:rsidRPr="00223B98">
              <w:rPr>
                <w:rFonts w:ascii="Arial" w:eastAsia="SimSun" w:hAnsi="Arial"/>
                <w:b w:val="0"/>
                <w:lang w:eastAsia="zh-CN"/>
              </w:rPr>
              <w:t xml:space="preserve"> </w:t>
            </w:r>
            <w:r w:rsidRPr="00223B98">
              <w:rPr>
                <w:rFonts w:ascii="Arial" w:eastAsia="SimSun" w:hAnsi="Arial"/>
                <w:b w:val="0"/>
                <w:lang w:eastAsia="zh-CN"/>
              </w:rPr>
              <w:t xml:space="preserve">with </w:t>
            </w:r>
            <w:r w:rsidR="00064F4F">
              <w:rPr>
                <w:rFonts w:ascii="Arial" w:eastAsia="SimSun" w:hAnsi="Arial"/>
                <w:b w:val="0"/>
                <w:lang w:eastAsia="zh-CN"/>
              </w:rPr>
              <w:t>preventive</w:t>
            </w:r>
            <w:r w:rsidRPr="00223B98">
              <w:rPr>
                <w:rFonts w:ascii="Arial" w:eastAsia="SimSun" w:hAnsi="Arial"/>
                <w:b w:val="0"/>
                <w:lang w:eastAsia="zh-CN"/>
              </w:rPr>
              <w:t xml:space="preserve"> services by 2020</w:t>
            </w:r>
            <w:r w:rsidR="00A42760">
              <w:rPr>
                <w:rFonts w:ascii="Arial" w:eastAsia="SimSun" w:hAnsi="Arial"/>
                <w:b w:val="0"/>
                <w:lang w:eastAsia="zh-CN"/>
              </w:rPr>
              <w:t xml:space="preserve">. It is </w:t>
            </w:r>
            <w:r w:rsidR="001D4F52">
              <w:rPr>
                <w:rFonts w:ascii="Arial" w:eastAsia="SimSun" w:hAnsi="Arial"/>
                <w:b w:val="0"/>
                <w:lang w:eastAsia="zh-CN"/>
              </w:rPr>
              <w:t xml:space="preserve">well </w:t>
            </w:r>
            <w:r w:rsidRPr="00223B98">
              <w:rPr>
                <w:rFonts w:ascii="Arial" w:eastAsia="SimSun" w:hAnsi="Arial"/>
                <w:b w:val="0"/>
                <w:lang w:eastAsia="zh-CN"/>
              </w:rPr>
              <w:t xml:space="preserve">beyond targets settled by the national road map on accelerated HIV response </w:t>
            </w:r>
            <w:r w:rsidR="001D4F52">
              <w:rPr>
                <w:rFonts w:ascii="Arial" w:eastAsia="SimSun" w:hAnsi="Arial"/>
                <w:b w:val="0"/>
                <w:lang w:eastAsia="zh-CN"/>
              </w:rPr>
              <w:t xml:space="preserve">(10%) </w:t>
            </w:r>
            <w:r w:rsidRPr="00223B98">
              <w:rPr>
                <w:rFonts w:ascii="Arial" w:eastAsia="SimSun" w:hAnsi="Arial"/>
                <w:b w:val="0"/>
                <w:lang w:eastAsia="zh-CN"/>
              </w:rPr>
              <w:t xml:space="preserve">due </w:t>
            </w:r>
            <w:r w:rsidR="00064F4F">
              <w:rPr>
                <w:rFonts w:ascii="Arial" w:eastAsia="SimSun" w:hAnsi="Arial"/>
                <w:b w:val="0"/>
                <w:lang w:eastAsia="zh-CN"/>
              </w:rPr>
              <w:t xml:space="preserve">funding request </w:t>
            </w:r>
            <w:r w:rsidRPr="00223B98">
              <w:rPr>
                <w:rFonts w:ascii="Arial" w:eastAsia="SimSun" w:hAnsi="Arial"/>
                <w:b w:val="0"/>
                <w:lang w:eastAsia="zh-CN"/>
              </w:rPr>
              <w:t xml:space="preserve">geographic focus </w:t>
            </w:r>
            <w:r w:rsidR="00064F4F">
              <w:rPr>
                <w:rFonts w:ascii="Arial" w:eastAsia="SimSun" w:hAnsi="Arial"/>
                <w:b w:val="0"/>
                <w:lang w:eastAsia="zh-CN"/>
              </w:rPr>
              <w:t xml:space="preserve">on big cities </w:t>
            </w:r>
            <w:r w:rsidR="00A42760">
              <w:rPr>
                <w:rFonts w:ascii="Arial" w:eastAsia="SimSun" w:hAnsi="Arial"/>
                <w:b w:val="0"/>
                <w:lang w:eastAsia="zh-CN"/>
              </w:rPr>
              <w:t xml:space="preserve">where MSM are </w:t>
            </w:r>
            <w:r w:rsidRPr="00223B98">
              <w:rPr>
                <w:rFonts w:ascii="Arial" w:eastAsia="SimSun" w:hAnsi="Arial"/>
                <w:b w:val="0"/>
                <w:lang w:eastAsia="zh-CN"/>
              </w:rPr>
              <w:t>concentrate</w:t>
            </w:r>
            <w:r w:rsidR="00A42760">
              <w:rPr>
                <w:rFonts w:ascii="Arial" w:eastAsia="SimSun" w:hAnsi="Arial"/>
                <w:b w:val="0"/>
                <w:lang w:eastAsia="zh-CN"/>
              </w:rPr>
              <w:t>d</w:t>
            </w:r>
            <w:r w:rsidRPr="00223B98">
              <w:rPr>
                <w:rFonts w:ascii="Arial" w:eastAsia="SimSun" w:hAnsi="Arial"/>
                <w:b w:val="0"/>
                <w:lang w:eastAsia="zh-CN"/>
              </w:rPr>
              <w:t xml:space="preserve"> more</w:t>
            </w:r>
            <w:r w:rsidR="008A35A4">
              <w:rPr>
                <w:rFonts w:ascii="Arial" w:eastAsia="SimSun" w:hAnsi="Arial"/>
                <w:b w:val="0"/>
                <w:lang w:eastAsia="zh-CN"/>
              </w:rPr>
              <w:t xml:space="preserve"> and NGOs </w:t>
            </w:r>
            <w:r w:rsidR="00AE52BA">
              <w:rPr>
                <w:rFonts w:ascii="Arial" w:eastAsia="SimSun" w:hAnsi="Arial"/>
                <w:b w:val="0"/>
                <w:lang w:eastAsia="zh-CN"/>
              </w:rPr>
              <w:t>access to target group</w:t>
            </w:r>
            <w:r w:rsidR="00A42760">
              <w:rPr>
                <w:rFonts w:ascii="Arial" w:eastAsia="SimSun" w:hAnsi="Arial"/>
                <w:b w:val="0"/>
                <w:lang w:eastAsia="zh-CN"/>
              </w:rPr>
              <w:t xml:space="preserve">. </w:t>
            </w:r>
            <w:r w:rsidRPr="00223B98">
              <w:rPr>
                <w:rFonts w:ascii="Arial" w:eastAsia="SimSun" w:hAnsi="Arial"/>
                <w:b w:val="0"/>
                <w:lang w:eastAsia="zh-CN"/>
              </w:rPr>
              <w:t xml:space="preserve">HIV testing services for MSM will be further scaled-up by NGOs in collaboration with AIDS Centers to reach 90% of covered MSM with testing. The Government will </w:t>
            </w:r>
            <w:r w:rsidR="00A42760">
              <w:rPr>
                <w:rFonts w:ascii="Arial" w:eastAsia="SimSun" w:hAnsi="Arial"/>
                <w:b w:val="0"/>
                <w:lang w:eastAsia="zh-CN"/>
              </w:rPr>
              <w:t xml:space="preserve">match TGF budget and cover costs for </w:t>
            </w:r>
            <w:r w:rsidRPr="00223B98">
              <w:rPr>
                <w:rFonts w:ascii="Arial" w:eastAsia="SimSun" w:hAnsi="Arial"/>
                <w:b w:val="0"/>
                <w:lang w:eastAsia="zh-CN"/>
              </w:rPr>
              <w:t>HIV testing, including rapid testing</w:t>
            </w:r>
            <w:r w:rsidR="00A42760">
              <w:rPr>
                <w:rFonts w:ascii="Arial" w:eastAsia="SimSun" w:hAnsi="Arial"/>
                <w:b w:val="0"/>
                <w:lang w:eastAsia="zh-CN"/>
              </w:rPr>
              <w:t xml:space="preserve"> and other </w:t>
            </w:r>
            <w:r w:rsidR="00071EBD">
              <w:rPr>
                <w:rFonts w:ascii="Arial" w:eastAsia="SimSun" w:hAnsi="Arial"/>
                <w:b w:val="0"/>
                <w:lang w:eastAsia="zh-CN"/>
              </w:rPr>
              <w:t>supplies</w:t>
            </w:r>
            <w:r w:rsidRPr="00223B98">
              <w:rPr>
                <w:rFonts w:ascii="Arial" w:eastAsia="SimSun" w:hAnsi="Arial"/>
                <w:b w:val="0"/>
                <w:lang w:eastAsia="zh-CN"/>
              </w:rPr>
              <w:t xml:space="preserve">.  </w:t>
            </w:r>
          </w:p>
          <w:p w14:paraId="55888B80" w14:textId="77777777" w:rsidR="00961C04" w:rsidRPr="00223B98" w:rsidRDefault="00961C04" w:rsidP="00E46AEB">
            <w:pPr>
              <w:spacing w:before="120" w:after="120" w:line="240" w:lineRule="auto"/>
              <w:jc w:val="both"/>
              <w:rPr>
                <w:rFonts w:ascii="Arial" w:hAnsi="Arial"/>
                <w:b w:val="0"/>
                <w:u w:val="single"/>
              </w:rPr>
            </w:pPr>
            <w:r w:rsidRPr="00223B98">
              <w:rPr>
                <w:rFonts w:ascii="Arial" w:hAnsi="Arial"/>
                <w:b w:val="0"/>
                <w:u w:val="single"/>
              </w:rPr>
              <w:t>Module 2.4. Treatment, care and support</w:t>
            </w:r>
          </w:p>
          <w:p w14:paraId="18B2E185" w14:textId="2C2DB3A5" w:rsidR="00961C04" w:rsidRPr="00DD4C73" w:rsidRDefault="00961C04" w:rsidP="00E46AEB">
            <w:pPr>
              <w:spacing w:before="120" w:after="120" w:line="240" w:lineRule="auto"/>
              <w:jc w:val="both"/>
              <w:rPr>
                <w:rFonts w:ascii="Arial" w:eastAsia="SimSun" w:hAnsi="Arial"/>
                <w:b w:val="0"/>
                <w:lang w:eastAsia="zh-CN"/>
              </w:rPr>
            </w:pPr>
            <w:r w:rsidRPr="00223B98">
              <w:rPr>
                <w:rFonts w:ascii="Arial" w:hAnsi="Arial"/>
                <w:b w:val="0"/>
                <w:i/>
              </w:rPr>
              <w:t xml:space="preserve">Intervention 2.4.1. Counseling and psycho-social support. </w:t>
            </w:r>
            <w:r w:rsidR="007274C4">
              <w:rPr>
                <w:rFonts w:ascii="Arial" w:eastAsia="SimSun" w:hAnsi="Arial"/>
                <w:b w:val="0"/>
                <w:lang w:eastAsia="zh-CN"/>
              </w:rPr>
              <w:t xml:space="preserve">TGF is requested to support </w:t>
            </w:r>
            <w:r w:rsidRPr="00223B98">
              <w:rPr>
                <w:rFonts w:ascii="Arial" w:eastAsia="SimSun" w:hAnsi="Arial"/>
                <w:b w:val="0"/>
                <w:lang w:eastAsia="zh-CN"/>
              </w:rPr>
              <w:t xml:space="preserve">scale-up </w:t>
            </w:r>
            <w:r w:rsidR="007274C4">
              <w:rPr>
                <w:rFonts w:ascii="Arial" w:eastAsia="SimSun" w:hAnsi="Arial"/>
                <w:b w:val="0"/>
                <w:lang w:eastAsia="zh-CN"/>
              </w:rPr>
              <w:t xml:space="preserve">of </w:t>
            </w:r>
            <w:r w:rsidRPr="00223B98">
              <w:rPr>
                <w:rFonts w:ascii="Arial" w:eastAsia="SimSun" w:hAnsi="Arial"/>
                <w:b w:val="0"/>
                <w:lang w:eastAsia="zh-CN"/>
              </w:rPr>
              <w:t xml:space="preserve">community based outreach to PLHIV under coordination of the Republican AIDS Center through social contracting </w:t>
            </w:r>
            <w:r w:rsidR="00DD4C73">
              <w:rPr>
                <w:rFonts w:ascii="Arial" w:eastAsia="SimSun" w:hAnsi="Arial"/>
                <w:b w:val="0"/>
                <w:lang w:eastAsia="zh-CN"/>
              </w:rPr>
              <w:t>of NGOs</w:t>
            </w:r>
            <w:r w:rsidRPr="00223B98">
              <w:rPr>
                <w:rFonts w:ascii="Arial" w:eastAsia="SimSun" w:hAnsi="Arial"/>
                <w:b w:val="0"/>
                <w:lang w:eastAsia="zh-CN"/>
              </w:rPr>
              <w:t xml:space="preserve"> in Karaganda oblast, Almaty city and Astana city (starting </w:t>
            </w:r>
            <w:r w:rsidR="007274C4">
              <w:rPr>
                <w:rFonts w:ascii="Arial" w:eastAsia="SimSun" w:hAnsi="Arial"/>
                <w:b w:val="0"/>
                <w:lang w:eastAsia="zh-CN"/>
              </w:rPr>
              <w:t>Y</w:t>
            </w:r>
            <w:r w:rsidRPr="00223B98">
              <w:rPr>
                <w:rFonts w:ascii="Arial" w:eastAsia="SimSun" w:hAnsi="Arial"/>
                <w:b w:val="0"/>
                <w:lang w:eastAsia="zh-CN"/>
              </w:rPr>
              <w:t xml:space="preserve">ear 3). A comprehensive support package for PLHIV in care (pre-ART and ART) will be </w:t>
            </w:r>
            <w:r w:rsidR="007274C4">
              <w:rPr>
                <w:rFonts w:ascii="Arial" w:eastAsia="SimSun" w:hAnsi="Arial"/>
                <w:b w:val="0"/>
                <w:lang w:eastAsia="zh-CN"/>
              </w:rPr>
              <w:t>promoted</w:t>
            </w:r>
            <w:r w:rsidRPr="00223B98">
              <w:rPr>
                <w:rFonts w:ascii="Arial" w:eastAsia="SimSun" w:hAnsi="Arial"/>
                <w:b w:val="0"/>
                <w:lang w:eastAsia="zh-CN"/>
              </w:rPr>
              <w:t xml:space="preserve">, including psycho-social support, mentoring and support for enrolment and retention in HIV care, case-management, linkage to other services (including OST, TB/HIV). </w:t>
            </w:r>
            <w:r w:rsidR="007274C4">
              <w:rPr>
                <w:rFonts w:ascii="Arial" w:eastAsia="SimSun" w:hAnsi="Arial"/>
                <w:b w:val="0"/>
                <w:lang w:eastAsia="zh-CN"/>
              </w:rPr>
              <w:t xml:space="preserve">TGF </w:t>
            </w:r>
            <w:r w:rsidRPr="00223B98">
              <w:rPr>
                <w:rFonts w:ascii="Arial" w:eastAsia="SimSun" w:hAnsi="Arial"/>
                <w:b w:val="0"/>
                <w:lang w:eastAsia="zh-CN"/>
              </w:rPr>
              <w:t xml:space="preserve">will support capacity building for HIV case management to ensure quality of service provision through Kazakh Union of PLHIV and IEC efforts </w:t>
            </w:r>
            <w:r w:rsidR="00DD4C73">
              <w:rPr>
                <w:rFonts w:ascii="Arial" w:eastAsia="SimSun" w:hAnsi="Arial"/>
                <w:b w:val="0"/>
                <w:lang w:eastAsia="zh-CN"/>
              </w:rPr>
              <w:t>using</w:t>
            </w:r>
            <w:r w:rsidRPr="00223B98">
              <w:rPr>
                <w:rFonts w:ascii="Arial" w:eastAsia="SimSun" w:hAnsi="Arial"/>
                <w:b w:val="0"/>
                <w:lang w:eastAsia="zh-CN"/>
              </w:rPr>
              <w:t xml:space="preserve"> develop</w:t>
            </w:r>
            <w:r w:rsidR="00DD4C73">
              <w:rPr>
                <w:rFonts w:ascii="Arial" w:eastAsia="SimSun" w:hAnsi="Arial"/>
                <w:b w:val="0"/>
                <w:lang w:eastAsia="zh-CN"/>
              </w:rPr>
              <w:t xml:space="preserve">ed </w:t>
            </w:r>
            <w:r w:rsidRPr="00223B98">
              <w:rPr>
                <w:rFonts w:ascii="Arial" w:eastAsia="SimSun" w:hAnsi="Arial"/>
                <w:b w:val="0"/>
                <w:lang w:eastAsia="zh-CN"/>
              </w:rPr>
              <w:t xml:space="preserve">mobile application with informational </w:t>
            </w:r>
            <w:r w:rsidRPr="00223B98">
              <w:rPr>
                <w:rFonts w:ascii="Arial" w:eastAsia="SimSun" w:hAnsi="Arial"/>
                <w:b w:val="0"/>
                <w:lang w:eastAsia="zh-CN"/>
              </w:rPr>
              <w:lastRenderedPageBreak/>
              <w:t>and educational content tailored to specific needs of PLHIV to be promoted free of charge among target group.</w:t>
            </w:r>
            <w:r w:rsidR="00DD4C73">
              <w:rPr>
                <w:rFonts w:ascii="Arial" w:eastAsia="SimSun" w:hAnsi="Arial"/>
                <w:b w:val="0"/>
                <w:lang w:eastAsia="zh-CN"/>
              </w:rPr>
              <w:t xml:space="preserve"> </w:t>
            </w:r>
            <w:r w:rsidR="007274C4">
              <w:rPr>
                <w:rFonts w:ascii="Arial" w:eastAsia="SimSun" w:hAnsi="Arial"/>
                <w:b w:val="0"/>
                <w:lang w:eastAsia="zh-CN"/>
              </w:rPr>
              <w:t>The G</w:t>
            </w:r>
            <w:r w:rsidRPr="00223B98">
              <w:rPr>
                <w:rFonts w:ascii="Arial" w:eastAsia="SimSun" w:hAnsi="Arial"/>
                <w:b w:val="0"/>
                <w:lang w:eastAsia="zh-CN"/>
              </w:rPr>
              <w:t xml:space="preserve">overnment </w:t>
            </w:r>
            <w:r w:rsidR="00DD4C73">
              <w:rPr>
                <w:rFonts w:ascii="Arial" w:eastAsia="SimSun" w:hAnsi="Arial"/>
                <w:b w:val="0"/>
                <w:lang w:eastAsia="zh-CN"/>
              </w:rPr>
              <w:t xml:space="preserve">will </w:t>
            </w:r>
            <w:r w:rsidRPr="00223B98">
              <w:rPr>
                <w:rFonts w:ascii="Arial" w:eastAsia="SimSun" w:hAnsi="Arial"/>
                <w:b w:val="0"/>
                <w:lang w:eastAsia="zh-CN"/>
              </w:rPr>
              <w:t>fully suppor</w:t>
            </w:r>
            <w:r w:rsidR="00DD4C73">
              <w:rPr>
                <w:rFonts w:ascii="Arial" w:eastAsia="SimSun" w:hAnsi="Arial"/>
                <w:b w:val="0"/>
                <w:lang w:eastAsia="zh-CN"/>
              </w:rPr>
              <w:t xml:space="preserve">t </w:t>
            </w:r>
            <w:r w:rsidRPr="00223B98">
              <w:rPr>
                <w:rFonts w:ascii="Arial" w:eastAsia="SimSun" w:hAnsi="Arial"/>
                <w:b w:val="0"/>
                <w:lang w:eastAsia="zh-CN"/>
              </w:rPr>
              <w:t xml:space="preserve">ART, pre-ART and ART monitoring and update </w:t>
            </w:r>
            <w:r w:rsidR="00DD4C73">
              <w:rPr>
                <w:rFonts w:ascii="Arial" w:eastAsia="SimSun" w:hAnsi="Arial"/>
                <w:b w:val="0"/>
                <w:lang w:eastAsia="zh-CN"/>
              </w:rPr>
              <w:t xml:space="preserve">the </w:t>
            </w:r>
            <w:r w:rsidRPr="00223B98">
              <w:rPr>
                <w:rFonts w:ascii="Arial" w:eastAsia="SimSun" w:hAnsi="Arial"/>
                <w:b w:val="0"/>
                <w:lang w:eastAsia="zh-CN"/>
              </w:rPr>
              <w:t xml:space="preserve">clinical protocols to the Test and Treat Strategy starting year 2018 with the aim to reach 90% of PLHIV in ART and 90% viral suppression among them by 2020. </w:t>
            </w:r>
          </w:p>
          <w:p w14:paraId="218260E4" w14:textId="77777777" w:rsidR="00961C04" w:rsidRPr="00223B98" w:rsidRDefault="00961C04" w:rsidP="00E46AEB">
            <w:pPr>
              <w:spacing w:before="120" w:after="120" w:line="240" w:lineRule="auto"/>
              <w:jc w:val="both"/>
              <w:rPr>
                <w:rFonts w:ascii="Arial" w:hAnsi="Arial"/>
                <w:b w:val="0"/>
                <w:u w:val="single"/>
              </w:rPr>
            </w:pPr>
            <w:r w:rsidRPr="00223B98">
              <w:rPr>
                <w:rFonts w:ascii="Arial" w:hAnsi="Arial"/>
                <w:b w:val="0"/>
                <w:u w:val="single"/>
              </w:rPr>
              <w:t>Module 3.1. Program management</w:t>
            </w:r>
          </w:p>
          <w:p w14:paraId="20535D8A" w14:textId="5E442989" w:rsidR="00EE1D73" w:rsidRPr="00735705" w:rsidRDefault="00961C04" w:rsidP="00A635D2">
            <w:pPr>
              <w:spacing w:before="120" w:after="120" w:line="240" w:lineRule="auto"/>
              <w:jc w:val="both"/>
              <w:rPr>
                <w:rFonts w:ascii="Arial" w:hAnsi="Arial"/>
                <w:b w:val="0"/>
                <w:sz w:val="20"/>
                <w:szCs w:val="20"/>
              </w:rPr>
            </w:pPr>
            <w:r w:rsidRPr="00223B98">
              <w:rPr>
                <w:rFonts w:ascii="Arial" w:hAnsi="Arial"/>
                <w:b w:val="0"/>
                <w:i/>
              </w:rPr>
              <w:t>Inter</w:t>
            </w:r>
            <w:r w:rsidR="00DD4C73">
              <w:rPr>
                <w:rFonts w:ascii="Arial" w:hAnsi="Arial"/>
                <w:b w:val="0"/>
                <w:i/>
              </w:rPr>
              <w:t>vention 3</w:t>
            </w:r>
            <w:r w:rsidRPr="00223B98">
              <w:rPr>
                <w:rFonts w:ascii="Arial" w:hAnsi="Arial"/>
                <w:b w:val="0"/>
                <w:i/>
              </w:rPr>
              <w:t xml:space="preserve">.1.1. Grant management. </w:t>
            </w:r>
            <w:r w:rsidRPr="00223B98">
              <w:rPr>
                <w:rFonts w:ascii="Arial" w:eastAsia="SimSun" w:hAnsi="Arial"/>
                <w:b w:val="0"/>
                <w:lang w:eastAsia="zh-CN"/>
              </w:rPr>
              <w:t xml:space="preserve">The program management component includes staffing, office management, communication and other relevant activities and </w:t>
            </w:r>
            <w:r w:rsidR="00064997">
              <w:rPr>
                <w:rFonts w:ascii="Arial" w:eastAsia="SimSun" w:hAnsi="Arial"/>
                <w:b w:val="0"/>
                <w:lang w:eastAsia="zh-CN"/>
              </w:rPr>
              <w:t xml:space="preserve">program related </w:t>
            </w:r>
            <w:r w:rsidRPr="00223B98">
              <w:rPr>
                <w:rFonts w:ascii="Arial" w:eastAsia="SimSun" w:hAnsi="Arial"/>
                <w:b w:val="0"/>
                <w:lang w:eastAsia="zh-CN"/>
              </w:rPr>
              <w:t>costs of the nominated Principal Recipients – the Republican Center on Prevention and Control of AIDS of the Ministry of Health of the Republic of Kazakhstan.</w:t>
            </w:r>
          </w:p>
        </w:tc>
      </w:tr>
    </w:tbl>
    <w:p w14:paraId="5B4C9D61" w14:textId="77777777" w:rsidR="001F346E" w:rsidRPr="00735705" w:rsidRDefault="001F346E">
      <w:pPr>
        <w:spacing w:after="0" w:line="240" w:lineRule="auto"/>
        <w:rPr>
          <w:rFonts w:ascii="Arial" w:eastAsia="SimSun" w:hAnsi="Arial"/>
          <w:b w:val="0"/>
          <w:sz w:val="20"/>
          <w:szCs w:val="20"/>
          <w:lang w:val="en-GB" w:eastAsia="zh-CN"/>
        </w:rPr>
      </w:pPr>
    </w:p>
    <w:tbl>
      <w:tblPr>
        <w:tblW w:w="9493"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9493"/>
      </w:tblGrid>
      <w:tr w:rsidR="006819CF" w:rsidRPr="00D56B57" w14:paraId="53563F10" w14:textId="77777777" w:rsidTr="006819CF">
        <w:trPr>
          <w:trHeight w:val="409"/>
        </w:trPr>
        <w:tc>
          <w:tcPr>
            <w:tcW w:w="9493" w:type="dxa"/>
            <w:shd w:val="clear" w:color="auto" w:fill="1F497D"/>
            <w:vAlign w:val="center"/>
          </w:tcPr>
          <w:p w14:paraId="53563F0F" w14:textId="3AB64653" w:rsidR="006B114C" w:rsidRPr="00D56B57" w:rsidRDefault="006B114C" w:rsidP="00D56B57">
            <w:pPr>
              <w:spacing w:after="0" w:line="240" w:lineRule="auto"/>
              <w:rPr>
                <w:rFonts w:ascii="Arial" w:hAnsi="Arial"/>
                <w:b w:val="0"/>
                <w:bCs/>
                <w:color w:val="FFFFFF" w:themeColor="background1"/>
                <w:sz w:val="20"/>
                <w:szCs w:val="20"/>
              </w:rPr>
            </w:pPr>
            <w:r w:rsidRPr="00D56B57">
              <w:rPr>
                <w:rFonts w:ascii="Arial" w:eastAsia="SimSun" w:hAnsi="Arial"/>
                <w:b w:val="0"/>
                <w:color w:val="FFFFFF" w:themeColor="background1"/>
                <w:sz w:val="20"/>
                <w:szCs w:val="20"/>
                <w:lang w:eastAsia="zh-CN"/>
              </w:rPr>
              <w:t xml:space="preserve">SECTION </w:t>
            </w:r>
            <w:r w:rsidR="00F55A38" w:rsidRPr="00D56B57">
              <w:rPr>
                <w:rFonts w:ascii="Arial" w:eastAsia="SimSun" w:hAnsi="Arial"/>
                <w:b w:val="0"/>
                <w:color w:val="FFFFFF" w:themeColor="background1"/>
                <w:sz w:val="20"/>
                <w:szCs w:val="20"/>
                <w:lang w:eastAsia="zh-CN"/>
              </w:rPr>
              <w:t>3</w:t>
            </w:r>
            <w:r w:rsidRPr="00D56B57">
              <w:rPr>
                <w:rFonts w:ascii="Arial" w:eastAsia="SimSun" w:hAnsi="Arial"/>
                <w:b w:val="0"/>
                <w:color w:val="FFFFFF" w:themeColor="background1"/>
                <w:sz w:val="20"/>
                <w:szCs w:val="20"/>
                <w:lang w:eastAsia="zh-CN"/>
              </w:rPr>
              <w:t xml:space="preserve">: </w:t>
            </w:r>
            <w:r w:rsidR="00C7583B" w:rsidRPr="00D56B57">
              <w:rPr>
                <w:rFonts w:ascii="Arial" w:eastAsia="SimSun" w:hAnsi="Arial"/>
                <w:b w:val="0"/>
                <w:color w:val="FFFFFF" w:themeColor="background1"/>
                <w:sz w:val="20"/>
                <w:szCs w:val="20"/>
                <w:lang w:eastAsia="zh-CN"/>
              </w:rPr>
              <w:t>OPERATIONALIZATION AND RISK MITIGATION</w:t>
            </w:r>
          </w:p>
        </w:tc>
      </w:tr>
      <w:tr w:rsidR="006819CF" w:rsidRPr="00D56B57" w14:paraId="53563F12" w14:textId="77777777" w:rsidTr="006819CF">
        <w:trPr>
          <w:trHeight w:val="283"/>
        </w:trPr>
        <w:tc>
          <w:tcPr>
            <w:tcW w:w="9493" w:type="dxa"/>
            <w:shd w:val="clear" w:color="auto" w:fill="F2F2F2" w:themeFill="background1" w:themeFillShade="F2"/>
            <w:vAlign w:val="center"/>
          </w:tcPr>
          <w:p w14:paraId="53563F11" w14:textId="59629788" w:rsidR="001A43EA" w:rsidRPr="00D56B57" w:rsidRDefault="009A1AC0" w:rsidP="00D56B57">
            <w:pPr>
              <w:keepNext/>
              <w:keepLines/>
              <w:spacing w:after="0" w:line="240" w:lineRule="auto"/>
              <w:jc w:val="both"/>
              <w:rPr>
                <w:rFonts w:ascii="Arial" w:hAnsi="Arial"/>
                <w:b w:val="0"/>
                <w:bCs/>
                <w:iCs/>
                <w:sz w:val="20"/>
                <w:szCs w:val="20"/>
              </w:rPr>
            </w:pPr>
            <w:r w:rsidRPr="00D56B57">
              <w:rPr>
                <w:rFonts w:ascii="Arial" w:hAnsi="Arial"/>
                <w:b w:val="0"/>
                <w:bCs/>
                <w:iCs/>
                <w:sz w:val="20"/>
                <w:szCs w:val="20"/>
              </w:rPr>
              <w:t xml:space="preserve">This section describes the </w:t>
            </w:r>
            <w:r w:rsidR="001A43EA" w:rsidRPr="00D56B57">
              <w:rPr>
                <w:rFonts w:ascii="Arial" w:hAnsi="Arial"/>
                <w:b w:val="0"/>
                <w:bCs/>
                <w:iCs/>
                <w:sz w:val="20"/>
                <w:szCs w:val="20"/>
              </w:rPr>
              <w:t xml:space="preserve">planned </w:t>
            </w:r>
            <w:r w:rsidRPr="00D56B57">
              <w:rPr>
                <w:rFonts w:ascii="Arial" w:hAnsi="Arial"/>
                <w:b w:val="0"/>
                <w:bCs/>
                <w:iCs/>
                <w:sz w:val="20"/>
                <w:szCs w:val="20"/>
              </w:rPr>
              <w:t>implementation arrangements and foreseen risks for the proposed program(s).</w:t>
            </w:r>
            <w:r w:rsidR="00D56B57">
              <w:rPr>
                <w:rFonts w:ascii="Arial" w:hAnsi="Arial"/>
                <w:b w:val="0"/>
                <w:bCs/>
                <w:iCs/>
                <w:sz w:val="20"/>
                <w:szCs w:val="20"/>
              </w:rPr>
              <w:t xml:space="preserve"> </w:t>
            </w:r>
            <w:r w:rsidR="001A43EA" w:rsidRPr="00D56B57">
              <w:rPr>
                <w:rFonts w:ascii="Arial" w:hAnsi="Arial"/>
                <w:b w:val="0"/>
                <w:bCs/>
                <w:iCs/>
                <w:sz w:val="20"/>
                <w:szCs w:val="20"/>
              </w:rPr>
              <w:t xml:space="preserve">To respond, refer to additional guidance provided in the </w:t>
            </w:r>
            <w:r w:rsidR="001A43EA" w:rsidRPr="00D56B57">
              <w:rPr>
                <w:rFonts w:ascii="Arial" w:hAnsi="Arial"/>
                <w:b w:val="0"/>
                <w:bCs/>
                <w:i/>
                <w:iCs/>
                <w:sz w:val="20"/>
                <w:szCs w:val="20"/>
              </w:rPr>
              <w:t>Instructions</w:t>
            </w:r>
            <w:r w:rsidR="000D4A2D" w:rsidRPr="00D56B57">
              <w:rPr>
                <w:rFonts w:ascii="Arial" w:hAnsi="Arial"/>
                <w:b w:val="0"/>
                <w:bCs/>
                <w:iCs/>
                <w:sz w:val="20"/>
                <w:szCs w:val="20"/>
              </w:rPr>
              <w:t>.</w:t>
            </w:r>
          </w:p>
        </w:tc>
      </w:tr>
    </w:tbl>
    <w:p w14:paraId="53563F13" w14:textId="77777777" w:rsidR="00BF6111" w:rsidRPr="00D56B57" w:rsidRDefault="00BF6111" w:rsidP="00D56B57">
      <w:pPr>
        <w:spacing w:after="0" w:line="240" w:lineRule="auto"/>
        <w:rPr>
          <w:rFonts w:ascii="Arial" w:hAnsi="Arial"/>
          <w:b w:val="0"/>
          <w:sz w:val="20"/>
          <w:szCs w:val="20"/>
        </w:rPr>
      </w:pPr>
    </w:p>
    <w:tbl>
      <w:tblPr>
        <w:tblW w:w="9494"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6975"/>
        <w:gridCol w:w="2519"/>
      </w:tblGrid>
      <w:tr w:rsidR="00C7583B" w:rsidRPr="00D56B57" w14:paraId="7E7BCFD2" w14:textId="77777777" w:rsidTr="006819CF">
        <w:trPr>
          <w:trHeight w:val="274"/>
        </w:trPr>
        <w:tc>
          <w:tcPr>
            <w:tcW w:w="9494" w:type="dxa"/>
            <w:gridSpan w:val="2"/>
            <w:shd w:val="clear" w:color="auto" w:fill="C6D9F1" w:themeFill="text2" w:themeFillTint="33"/>
          </w:tcPr>
          <w:p w14:paraId="0A0860F2" w14:textId="0F178700" w:rsidR="00C7583B" w:rsidRPr="00D56B57" w:rsidRDefault="00C7583B" w:rsidP="00D56B57">
            <w:pPr>
              <w:spacing w:after="0" w:line="240" w:lineRule="auto"/>
              <w:jc w:val="both"/>
              <w:rPr>
                <w:rFonts w:ascii="Arial" w:hAnsi="Arial"/>
                <w:b w:val="0"/>
                <w:bCs/>
                <w:sz w:val="20"/>
                <w:szCs w:val="20"/>
              </w:rPr>
            </w:pPr>
            <w:r w:rsidRPr="00D56B57">
              <w:rPr>
                <w:rFonts w:ascii="Arial" w:hAnsi="Arial"/>
                <w:b w:val="0"/>
                <w:bCs/>
                <w:sz w:val="20"/>
                <w:szCs w:val="20"/>
              </w:rPr>
              <w:t xml:space="preserve">3.1 </w:t>
            </w:r>
            <w:r w:rsidRPr="00D56B57">
              <w:rPr>
                <w:rFonts w:ascii="Arial" w:hAnsi="Arial"/>
                <w:b w:val="0"/>
                <w:bCs/>
                <w:sz w:val="20"/>
                <w:szCs w:val="20"/>
              </w:rPr>
              <w:tab/>
              <w:t>Implementation arrangements summary</w:t>
            </w:r>
          </w:p>
        </w:tc>
      </w:tr>
      <w:tr w:rsidR="00C7583B" w:rsidRPr="00D56B57" w14:paraId="7931CC04" w14:textId="77777777" w:rsidTr="006819CF">
        <w:trPr>
          <w:trHeight w:val="465"/>
        </w:trPr>
        <w:tc>
          <w:tcPr>
            <w:tcW w:w="6975" w:type="dxa"/>
            <w:shd w:val="clear" w:color="auto" w:fill="F2F2F2" w:themeFill="background1" w:themeFillShade="F2"/>
          </w:tcPr>
          <w:p w14:paraId="6EE0960F" w14:textId="34C06E55" w:rsidR="00C7583B" w:rsidRPr="00D56B57" w:rsidRDefault="00C7583B" w:rsidP="00D56B57">
            <w:pPr>
              <w:spacing w:after="0" w:line="240" w:lineRule="auto"/>
              <w:jc w:val="both"/>
              <w:rPr>
                <w:rFonts w:ascii="Arial" w:hAnsi="Arial"/>
                <w:b w:val="0"/>
                <w:bCs/>
                <w:sz w:val="20"/>
                <w:szCs w:val="20"/>
              </w:rPr>
            </w:pPr>
            <w:r w:rsidRPr="00D56B57">
              <w:rPr>
                <w:rFonts w:ascii="Arial" w:hAnsi="Arial"/>
                <w:b w:val="0"/>
                <w:bCs/>
                <w:sz w:val="20"/>
                <w:szCs w:val="20"/>
              </w:rPr>
              <w:t>Do you propose major changes from past implementation arrange</w:t>
            </w:r>
            <w:r w:rsidR="00114136" w:rsidRPr="00D56B57">
              <w:rPr>
                <w:rFonts w:ascii="Arial" w:hAnsi="Arial"/>
                <w:b w:val="0"/>
                <w:bCs/>
                <w:sz w:val="20"/>
                <w:szCs w:val="20"/>
              </w:rPr>
              <w:t>ments, e.g. in key implementers or</w:t>
            </w:r>
            <w:r w:rsidRPr="00D56B57">
              <w:rPr>
                <w:rFonts w:ascii="Arial" w:hAnsi="Arial"/>
                <w:b w:val="0"/>
                <w:bCs/>
                <w:sz w:val="20"/>
                <w:szCs w:val="20"/>
              </w:rPr>
              <w:t xml:space="preserve"> flow of funds or commodities?</w:t>
            </w:r>
          </w:p>
        </w:tc>
        <w:tc>
          <w:tcPr>
            <w:tcW w:w="2519" w:type="dxa"/>
            <w:shd w:val="clear" w:color="auto" w:fill="FFFFFF" w:themeFill="background1"/>
            <w:vAlign w:val="center"/>
          </w:tcPr>
          <w:p w14:paraId="38E9B782" w14:textId="618EEDE7" w:rsidR="00C7583B" w:rsidRPr="00D56B57" w:rsidRDefault="00FC4D8E" w:rsidP="00D56B57">
            <w:pPr>
              <w:spacing w:after="0" w:line="240" w:lineRule="auto"/>
              <w:rPr>
                <w:rFonts w:ascii="Arial" w:hAnsi="Arial"/>
                <w:b w:val="0"/>
                <w:bCs/>
                <w:sz w:val="20"/>
                <w:szCs w:val="20"/>
              </w:rPr>
            </w:pPr>
            <w:sdt>
              <w:sdtPr>
                <w:rPr>
                  <w:rFonts w:ascii="Arial" w:hAnsi="Arial"/>
                  <w:b w:val="0"/>
                  <w:bCs/>
                  <w:iCs/>
                  <w:sz w:val="20"/>
                  <w:szCs w:val="20"/>
                </w:rPr>
                <w:id w:val="-2008894418"/>
                <w14:checkbox>
                  <w14:checked w14:val="0"/>
                  <w14:checkedState w14:val="2612" w14:font="MS Gothic"/>
                  <w14:uncheckedState w14:val="2610" w14:font="MS Gothic"/>
                </w14:checkbox>
              </w:sdtPr>
              <w:sdtEndPr/>
              <w:sdtContent>
                <w:r w:rsidR="007E2D4E" w:rsidRPr="00D56B57">
                  <w:rPr>
                    <w:rFonts w:ascii="MS Mincho" w:eastAsia="MS Mincho" w:hAnsi="MS Mincho" w:cs="MS Mincho"/>
                    <w:b w:val="0"/>
                    <w:bCs/>
                    <w:iCs/>
                    <w:sz w:val="20"/>
                    <w:szCs w:val="20"/>
                  </w:rPr>
                  <w:t>☐</w:t>
                </w:r>
              </w:sdtContent>
            </w:sdt>
            <w:r w:rsidR="00793E94" w:rsidRPr="00D56B57">
              <w:rPr>
                <w:rFonts w:ascii="Arial" w:hAnsi="Arial"/>
                <w:b w:val="0"/>
                <w:bCs/>
                <w:iCs/>
                <w:sz w:val="20"/>
                <w:szCs w:val="20"/>
              </w:rPr>
              <w:t xml:space="preserve"> </w:t>
            </w:r>
            <w:r w:rsidR="00C7583B" w:rsidRPr="00D56B57">
              <w:rPr>
                <w:rFonts w:ascii="Arial" w:hAnsi="Arial"/>
                <w:b w:val="0"/>
                <w:bCs/>
                <w:iCs/>
                <w:sz w:val="20"/>
                <w:szCs w:val="20"/>
              </w:rPr>
              <w:t xml:space="preserve">Yes       </w:t>
            </w:r>
            <w:sdt>
              <w:sdtPr>
                <w:rPr>
                  <w:rFonts w:ascii="Arial" w:hAnsi="Arial"/>
                  <w:b w:val="0"/>
                  <w:bCs/>
                  <w:iCs/>
                  <w:sz w:val="20"/>
                  <w:szCs w:val="20"/>
                </w:rPr>
                <w:id w:val="-1284489466"/>
                <w14:checkbox>
                  <w14:checked w14:val="1"/>
                  <w14:checkedState w14:val="2612" w14:font="MS Gothic"/>
                  <w14:uncheckedState w14:val="2610" w14:font="MS Gothic"/>
                </w14:checkbox>
              </w:sdtPr>
              <w:sdtEndPr/>
              <w:sdtContent>
                <w:r w:rsidR="00F22874" w:rsidRPr="00D56B57">
                  <w:rPr>
                    <w:rFonts w:ascii="MS Mincho" w:eastAsia="MS Mincho" w:hAnsi="MS Mincho" w:cs="MS Mincho"/>
                    <w:b w:val="0"/>
                    <w:bCs/>
                    <w:iCs/>
                    <w:sz w:val="20"/>
                    <w:szCs w:val="20"/>
                  </w:rPr>
                  <w:t>☒</w:t>
                </w:r>
              </w:sdtContent>
            </w:sdt>
            <w:r w:rsidR="00C7583B" w:rsidRPr="00D56B57">
              <w:rPr>
                <w:rFonts w:ascii="Arial" w:hAnsi="Arial"/>
                <w:b w:val="0"/>
                <w:bCs/>
                <w:iCs/>
                <w:sz w:val="20"/>
                <w:szCs w:val="20"/>
              </w:rPr>
              <w:t xml:space="preserve"> No</w:t>
            </w:r>
          </w:p>
        </w:tc>
      </w:tr>
      <w:tr w:rsidR="00C7583B" w:rsidRPr="00D56B57" w14:paraId="13622121" w14:textId="77777777" w:rsidTr="006819CF">
        <w:trPr>
          <w:trHeight w:val="339"/>
        </w:trPr>
        <w:tc>
          <w:tcPr>
            <w:tcW w:w="9494" w:type="dxa"/>
            <w:gridSpan w:val="2"/>
            <w:tcBorders>
              <w:bottom w:val="single" w:sz="4" w:space="0" w:color="808080" w:themeColor="background1" w:themeShade="80"/>
            </w:tcBorders>
            <w:shd w:val="clear" w:color="auto" w:fill="F2F2F2" w:themeFill="background1" w:themeFillShade="F2"/>
            <w:vAlign w:val="center"/>
          </w:tcPr>
          <w:p w14:paraId="16C26E7F" w14:textId="77777777" w:rsidR="00793E94" w:rsidRPr="00D56B57" w:rsidRDefault="000A57BC" w:rsidP="00D56B57">
            <w:pPr>
              <w:spacing w:after="0" w:line="240" w:lineRule="auto"/>
              <w:jc w:val="both"/>
              <w:rPr>
                <w:rFonts w:ascii="Arial" w:hAnsi="Arial"/>
                <w:b w:val="0"/>
                <w:sz w:val="20"/>
                <w:szCs w:val="20"/>
              </w:rPr>
            </w:pPr>
            <w:r w:rsidRPr="00D56B57">
              <w:rPr>
                <w:rFonts w:ascii="Arial" w:hAnsi="Arial"/>
                <w:b w:val="0"/>
                <w:sz w:val="20"/>
                <w:szCs w:val="20"/>
              </w:rPr>
              <w:t>If yes</w:t>
            </w:r>
            <w:r w:rsidR="00C7583B" w:rsidRPr="00D56B57">
              <w:rPr>
                <w:rFonts w:ascii="Arial" w:hAnsi="Arial"/>
                <w:b w:val="0"/>
                <w:sz w:val="20"/>
                <w:szCs w:val="20"/>
              </w:rPr>
              <w:t xml:space="preserve">, </w:t>
            </w:r>
          </w:p>
          <w:p w14:paraId="7B285112" w14:textId="78DAB5AC" w:rsidR="00793E94" w:rsidRPr="00D56B57" w:rsidRDefault="00603916" w:rsidP="008552E5">
            <w:pPr>
              <w:pStyle w:val="ListParagraph"/>
              <w:numPr>
                <w:ilvl w:val="0"/>
                <w:numId w:val="4"/>
              </w:numPr>
              <w:spacing w:after="0" w:line="240" w:lineRule="auto"/>
              <w:jc w:val="both"/>
              <w:rPr>
                <w:rFonts w:ascii="Arial" w:hAnsi="Arial"/>
                <w:b w:val="0"/>
                <w:sz w:val="20"/>
                <w:szCs w:val="20"/>
              </w:rPr>
            </w:pPr>
            <w:r w:rsidRPr="00D56B57">
              <w:rPr>
                <w:rFonts w:ascii="Arial" w:hAnsi="Arial"/>
                <w:b w:val="0"/>
                <w:sz w:val="20"/>
                <w:szCs w:val="20"/>
              </w:rPr>
              <w:t>O</w:t>
            </w:r>
            <w:r w:rsidR="000A57BC" w:rsidRPr="00D56B57">
              <w:rPr>
                <w:rFonts w:ascii="Arial" w:hAnsi="Arial"/>
                <w:b w:val="0"/>
                <w:sz w:val="20"/>
                <w:szCs w:val="20"/>
              </w:rPr>
              <w:t xml:space="preserve">utline </w:t>
            </w:r>
            <w:r w:rsidRPr="00D56B57">
              <w:rPr>
                <w:rFonts w:ascii="Arial" w:hAnsi="Arial"/>
                <w:b w:val="0"/>
                <w:sz w:val="20"/>
                <w:szCs w:val="20"/>
              </w:rPr>
              <w:t xml:space="preserve">the reasons and the </w:t>
            </w:r>
            <w:r w:rsidR="000A57BC" w:rsidRPr="00D56B57">
              <w:rPr>
                <w:rFonts w:ascii="Arial" w:hAnsi="Arial"/>
                <w:b w:val="0"/>
                <w:sz w:val="20"/>
                <w:szCs w:val="20"/>
              </w:rPr>
              <w:t>key changes from past implementation arrangements to give an understanding of grant operationalization</w:t>
            </w:r>
            <w:r w:rsidRPr="00D56B57">
              <w:rPr>
                <w:rFonts w:ascii="Arial" w:hAnsi="Arial"/>
                <w:b w:val="0"/>
                <w:sz w:val="20"/>
                <w:szCs w:val="20"/>
              </w:rPr>
              <w:t xml:space="preserve">. You can provide an </w:t>
            </w:r>
            <w:r w:rsidR="003967BB" w:rsidRPr="00D56B57">
              <w:rPr>
                <w:rFonts w:ascii="Arial" w:hAnsi="Arial"/>
                <w:b w:val="0"/>
                <w:sz w:val="20"/>
                <w:szCs w:val="20"/>
              </w:rPr>
              <w:t>update</w:t>
            </w:r>
            <w:r w:rsidRPr="00D56B57">
              <w:rPr>
                <w:rFonts w:ascii="Arial" w:hAnsi="Arial"/>
                <w:b w:val="0"/>
                <w:sz w:val="20"/>
                <w:szCs w:val="20"/>
              </w:rPr>
              <w:t>d</w:t>
            </w:r>
            <w:r w:rsidR="003967BB" w:rsidRPr="00D56B57">
              <w:rPr>
                <w:rFonts w:ascii="Arial" w:hAnsi="Arial"/>
                <w:b w:val="0"/>
                <w:sz w:val="20"/>
                <w:szCs w:val="20"/>
              </w:rPr>
              <w:t xml:space="preserve"> Implementation Arrangements </w:t>
            </w:r>
            <w:r w:rsidR="00793E94" w:rsidRPr="00D56B57">
              <w:rPr>
                <w:rFonts w:ascii="Arial" w:hAnsi="Arial"/>
                <w:b w:val="0"/>
                <w:sz w:val="20"/>
                <w:szCs w:val="20"/>
              </w:rPr>
              <w:t>Map;</w:t>
            </w:r>
            <w:r w:rsidR="00C7583B" w:rsidRPr="00D56B57">
              <w:rPr>
                <w:rFonts w:ascii="Arial" w:hAnsi="Arial"/>
                <w:b w:val="0"/>
                <w:sz w:val="20"/>
                <w:szCs w:val="20"/>
              </w:rPr>
              <w:t xml:space="preserve"> </w:t>
            </w:r>
          </w:p>
          <w:p w14:paraId="70089230" w14:textId="79788E21" w:rsidR="00793E94" w:rsidRPr="00D56B57" w:rsidRDefault="00603916" w:rsidP="008552E5">
            <w:pPr>
              <w:pStyle w:val="ListParagraph"/>
              <w:numPr>
                <w:ilvl w:val="0"/>
                <w:numId w:val="4"/>
              </w:numPr>
              <w:spacing w:after="0" w:line="240" w:lineRule="auto"/>
              <w:jc w:val="both"/>
              <w:rPr>
                <w:rFonts w:ascii="Arial" w:hAnsi="Arial"/>
                <w:b w:val="0"/>
                <w:sz w:val="20"/>
                <w:szCs w:val="20"/>
              </w:rPr>
            </w:pPr>
            <w:r w:rsidRPr="00D56B57">
              <w:rPr>
                <w:rFonts w:ascii="Arial" w:hAnsi="Arial"/>
                <w:b w:val="0"/>
                <w:sz w:val="20"/>
                <w:szCs w:val="20"/>
              </w:rPr>
              <w:t>D</w:t>
            </w:r>
            <w:r w:rsidR="00872AE4" w:rsidRPr="00D56B57">
              <w:rPr>
                <w:rFonts w:ascii="Arial" w:hAnsi="Arial"/>
                <w:b w:val="0"/>
                <w:sz w:val="20"/>
                <w:szCs w:val="20"/>
              </w:rPr>
              <w:t>etail how representatives of women's organizations, key populations and people living with the disease(s) as applicable will actively participate in the implementation of this funding request</w:t>
            </w:r>
            <w:r w:rsidR="00793E94" w:rsidRPr="00D56B57">
              <w:rPr>
                <w:rFonts w:ascii="Arial" w:hAnsi="Arial"/>
                <w:b w:val="0"/>
                <w:sz w:val="20"/>
                <w:szCs w:val="20"/>
              </w:rPr>
              <w:t>;</w:t>
            </w:r>
            <w:r w:rsidR="00872AE4" w:rsidRPr="00D56B57">
              <w:rPr>
                <w:rFonts w:ascii="Arial" w:hAnsi="Arial"/>
                <w:b w:val="0"/>
                <w:sz w:val="20"/>
                <w:szCs w:val="20"/>
              </w:rPr>
              <w:t xml:space="preserve"> </w:t>
            </w:r>
          </w:p>
          <w:p w14:paraId="066CB4D6" w14:textId="4BA3344B" w:rsidR="001A068C" w:rsidRPr="00D56B57" w:rsidRDefault="00603916" w:rsidP="00A3426E">
            <w:pPr>
              <w:pStyle w:val="ListParagraph"/>
              <w:numPr>
                <w:ilvl w:val="0"/>
                <w:numId w:val="4"/>
              </w:numPr>
              <w:spacing w:after="0" w:line="240" w:lineRule="auto"/>
              <w:jc w:val="both"/>
              <w:rPr>
                <w:rFonts w:ascii="Arial" w:hAnsi="Arial"/>
                <w:b w:val="0"/>
                <w:sz w:val="20"/>
                <w:szCs w:val="20"/>
              </w:rPr>
            </w:pPr>
            <w:r w:rsidRPr="00D56B57">
              <w:rPr>
                <w:rFonts w:ascii="Arial" w:hAnsi="Arial"/>
                <w:b w:val="0"/>
                <w:sz w:val="20"/>
                <w:szCs w:val="20"/>
              </w:rPr>
              <w:t>I</w:t>
            </w:r>
            <w:r w:rsidR="00872AE4" w:rsidRPr="00D56B57">
              <w:rPr>
                <w:rFonts w:ascii="Arial" w:hAnsi="Arial"/>
                <w:b w:val="0"/>
                <w:sz w:val="20"/>
                <w:szCs w:val="20"/>
              </w:rPr>
              <w:t>nclude a description of procurement mechanisms for the grant(s).</w:t>
            </w:r>
          </w:p>
        </w:tc>
      </w:tr>
      <w:tr w:rsidR="00D56B57" w:rsidRPr="00D56B57" w14:paraId="51568235" w14:textId="77777777" w:rsidTr="006819CF">
        <w:trPr>
          <w:trHeight w:val="339"/>
        </w:trPr>
        <w:tc>
          <w:tcPr>
            <w:tcW w:w="9494" w:type="dxa"/>
            <w:gridSpan w:val="2"/>
            <w:shd w:val="clear" w:color="auto" w:fill="auto"/>
            <w:vAlign w:val="center"/>
          </w:tcPr>
          <w:p w14:paraId="36A7940E" w14:textId="5A7DCB65" w:rsidR="003A4553" w:rsidRDefault="00260CFA" w:rsidP="00260CFA">
            <w:pPr>
              <w:spacing w:before="120" w:after="120" w:line="240" w:lineRule="auto"/>
              <w:jc w:val="both"/>
              <w:rPr>
                <w:rFonts w:ascii="Arial" w:eastAsia="SimSun" w:hAnsi="Arial"/>
                <w:b w:val="0"/>
                <w:bCs/>
                <w:lang w:eastAsia="zh-CN"/>
              </w:rPr>
            </w:pPr>
            <w:r w:rsidRPr="00223B98">
              <w:rPr>
                <w:rFonts w:ascii="Arial" w:eastAsia="SimSun" w:hAnsi="Arial"/>
                <w:b w:val="0"/>
                <w:bCs/>
                <w:lang w:eastAsia="zh-CN"/>
              </w:rPr>
              <w:t xml:space="preserve">The Country Coordination Mechanism (National Coordination Council for TB and HIV/AIDS) oversees the overall implementation of the </w:t>
            </w:r>
            <w:r w:rsidR="00F67433">
              <w:rPr>
                <w:rFonts w:ascii="Arial" w:eastAsia="SimSun" w:hAnsi="Arial"/>
                <w:b w:val="0"/>
                <w:bCs/>
                <w:lang w:eastAsia="zh-CN"/>
              </w:rPr>
              <w:t>grant</w:t>
            </w:r>
            <w:r w:rsidR="00F67433" w:rsidRPr="00223B98">
              <w:rPr>
                <w:rFonts w:ascii="Arial" w:eastAsia="SimSun" w:hAnsi="Arial"/>
                <w:b w:val="0"/>
                <w:bCs/>
                <w:lang w:eastAsia="zh-CN"/>
              </w:rPr>
              <w:t xml:space="preserve"> </w:t>
            </w:r>
            <w:r w:rsidRPr="00223B98">
              <w:rPr>
                <w:rFonts w:ascii="Arial" w:eastAsia="SimSun" w:hAnsi="Arial"/>
                <w:b w:val="0"/>
                <w:bCs/>
                <w:lang w:eastAsia="zh-CN"/>
              </w:rPr>
              <w:t xml:space="preserve">and ensures proper coordination between different sectors as well as different programs implemented by other external partners. The CCM will monitor the </w:t>
            </w:r>
            <w:r w:rsidR="00F67433">
              <w:rPr>
                <w:rFonts w:ascii="Arial" w:eastAsia="SimSun" w:hAnsi="Arial"/>
                <w:b w:val="0"/>
                <w:bCs/>
                <w:lang w:eastAsia="zh-CN"/>
              </w:rPr>
              <w:t>grant</w:t>
            </w:r>
            <w:r w:rsidR="00F67433" w:rsidRPr="00223B98">
              <w:rPr>
                <w:rFonts w:ascii="Arial" w:eastAsia="SimSun" w:hAnsi="Arial"/>
                <w:b w:val="0"/>
                <w:bCs/>
                <w:lang w:eastAsia="zh-CN"/>
              </w:rPr>
              <w:t xml:space="preserve"> </w:t>
            </w:r>
            <w:r w:rsidRPr="00223B98">
              <w:rPr>
                <w:rFonts w:ascii="Arial" w:eastAsia="SimSun" w:hAnsi="Arial"/>
                <w:b w:val="0"/>
                <w:bCs/>
                <w:lang w:eastAsia="zh-CN"/>
              </w:rPr>
              <w:t>progress to ensure that the activities are carried out according to the work</w:t>
            </w:r>
            <w:r w:rsidR="003A4553">
              <w:rPr>
                <w:rFonts w:ascii="Arial" w:eastAsia="SimSun" w:hAnsi="Arial"/>
                <w:b w:val="0"/>
                <w:bCs/>
                <w:lang w:eastAsia="zh-CN"/>
              </w:rPr>
              <w:t xml:space="preserve"> </w:t>
            </w:r>
            <w:r w:rsidRPr="00223B98">
              <w:rPr>
                <w:rFonts w:ascii="Arial" w:eastAsia="SimSun" w:hAnsi="Arial"/>
                <w:b w:val="0"/>
                <w:bCs/>
                <w:lang w:eastAsia="zh-CN"/>
              </w:rPr>
              <w:t xml:space="preserve">plan and indicators of programmatic and financial performance are accomplished. It will make the key financial and programmatic decisions and will have the responsibility to address the main problems and challenges related to the </w:t>
            </w:r>
            <w:r w:rsidR="00F67433">
              <w:rPr>
                <w:rFonts w:ascii="Arial" w:eastAsia="SimSun" w:hAnsi="Arial"/>
                <w:b w:val="0"/>
                <w:bCs/>
                <w:lang w:eastAsia="zh-CN"/>
              </w:rPr>
              <w:t>grant</w:t>
            </w:r>
            <w:r w:rsidRPr="00223B98">
              <w:rPr>
                <w:rFonts w:ascii="Arial" w:eastAsia="SimSun" w:hAnsi="Arial"/>
                <w:b w:val="0"/>
                <w:bCs/>
                <w:lang w:eastAsia="zh-CN"/>
              </w:rPr>
              <w:t>.</w:t>
            </w:r>
            <w:r w:rsidR="003A4553">
              <w:rPr>
                <w:rFonts w:ascii="Arial" w:eastAsia="SimSun" w:hAnsi="Arial"/>
                <w:b w:val="0"/>
                <w:bCs/>
                <w:lang w:eastAsia="zh-CN"/>
              </w:rPr>
              <w:t xml:space="preserve"> </w:t>
            </w:r>
            <w:r w:rsidRPr="00223B98">
              <w:rPr>
                <w:rFonts w:ascii="Arial" w:eastAsia="SimSun" w:hAnsi="Arial"/>
                <w:b w:val="0"/>
                <w:bCs/>
                <w:lang w:eastAsia="zh-CN"/>
              </w:rPr>
              <w:t xml:space="preserve">The CCM meetings will be convened quarterly or more frequently </w:t>
            </w:r>
            <w:r w:rsidR="00732374">
              <w:rPr>
                <w:rFonts w:ascii="Arial" w:eastAsia="SimSun" w:hAnsi="Arial"/>
                <w:b w:val="0"/>
                <w:bCs/>
                <w:lang w:eastAsia="zh-CN"/>
              </w:rPr>
              <w:t>if</w:t>
            </w:r>
            <w:r w:rsidRPr="00223B98">
              <w:rPr>
                <w:rFonts w:ascii="Arial" w:eastAsia="SimSun" w:hAnsi="Arial"/>
                <w:b w:val="0"/>
                <w:bCs/>
                <w:lang w:eastAsia="zh-CN"/>
              </w:rPr>
              <w:t xml:space="preserve"> necessary. Technical working groups for each component will work with the stakeholders between the CCM meetings and prepare the documentation to be endorsed by the CCM. The CCM and the </w:t>
            </w:r>
            <w:r w:rsidR="003A4553">
              <w:rPr>
                <w:rFonts w:ascii="Arial" w:eastAsia="SimSun" w:hAnsi="Arial"/>
                <w:b w:val="0"/>
                <w:bCs/>
                <w:lang w:eastAsia="zh-CN"/>
              </w:rPr>
              <w:t>MOH</w:t>
            </w:r>
            <w:r w:rsidRPr="00223B98">
              <w:rPr>
                <w:rFonts w:ascii="Arial" w:eastAsia="SimSun" w:hAnsi="Arial"/>
                <w:b w:val="0"/>
                <w:bCs/>
                <w:lang w:eastAsia="zh-CN"/>
              </w:rPr>
              <w:t xml:space="preserve"> will carry out the role of coordination with other programs and development initiatives. The CCM will ensure practical coordination and collaboration.</w:t>
            </w:r>
            <w:r w:rsidR="003A4553">
              <w:rPr>
                <w:rFonts w:ascii="Arial" w:eastAsia="SimSun" w:hAnsi="Arial"/>
                <w:b w:val="0"/>
                <w:bCs/>
                <w:lang w:eastAsia="zh-CN"/>
              </w:rPr>
              <w:t xml:space="preserve"> </w:t>
            </w:r>
          </w:p>
          <w:p w14:paraId="158EDE88" w14:textId="0AF99C86" w:rsidR="003A4553" w:rsidRDefault="00260CFA" w:rsidP="00260CFA">
            <w:pPr>
              <w:spacing w:before="120" w:after="120" w:line="240" w:lineRule="auto"/>
              <w:jc w:val="both"/>
              <w:rPr>
                <w:rFonts w:ascii="Arial" w:eastAsia="SimSun" w:hAnsi="Arial"/>
                <w:b w:val="0"/>
                <w:bCs/>
                <w:lang w:eastAsia="zh-CN"/>
              </w:rPr>
            </w:pPr>
            <w:r w:rsidRPr="00223B98">
              <w:rPr>
                <w:rFonts w:ascii="Arial" w:eastAsia="SimSun" w:hAnsi="Arial"/>
                <w:b w:val="0"/>
                <w:bCs/>
                <w:lang w:eastAsia="zh-CN"/>
              </w:rPr>
              <w:t xml:space="preserve">The CCM </w:t>
            </w:r>
            <w:r w:rsidR="00027CAF">
              <w:rPr>
                <w:rFonts w:ascii="Arial" w:eastAsia="SimSun" w:hAnsi="Arial"/>
                <w:b w:val="0"/>
                <w:bCs/>
                <w:lang w:eastAsia="zh-CN"/>
              </w:rPr>
              <w:t>assigned</w:t>
            </w:r>
            <w:r w:rsidRPr="00223B98">
              <w:rPr>
                <w:rFonts w:ascii="Arial" w:eastAsia="SimSun" w:hAnsi="Arial"/>
                <w:b w:val="0"/>
                <w:bCs/>
                <w:lang w:eastAsia="zh-CN"/>
              </w:rPr>
              <w:t xml:space="preserve"> Republican Center on Prevention and Control of AIDS of the Ministry of Health of the Republic of Kazakhstan </w:t>
            </w:r>
            <w:r w:rsidR="00027CAF">
              <w:rPr>
                <w:rFonts w:ascii="Arial" w:eastAsia="SimSun" w:hAnsi="Arial"/>
                <w:b w:val="0"/>
                <w:bCs/>
                <w:lang w:eastAsia="zh-CN"/>
              </w:rPr>
              <w:t>to</w:t>
            </w:r>
            <w:r w:rsidRPr="00223B98">
              <w:rPr>
                <w:rFonts w:ascii="Arial" w:eastAsia="SimSun" w:hAnsi="Arial"/>
                <w:b w:val="0"/>
                <w:bCs/>
                <w:lang w:eastAsia="zh-CN"/>
              </w:rPr>
              <w:t xml:space="preserve"> </w:t>
            </w:r>
            <w:r w:rsidR="00027CAF" w:rsidRPr="00223B98">
              <w:rPr>
                <w:rFonts w:ascii="Arial" w:eastAsia="SimSun" w:hAnsi="Arial"/>
                <w:b w:val="0"/>
                <w:bCs/>
                <w:lang w:eastAsia="zh-CN"/>
              </w:rPr>
              <w:t>continue</w:t>
            </w:r>
            <w:r w:rsidRPr="00223B98">
              <w:rPr>
                <w:rFonts w:ascii="Arial" w:eastAsia="SimSun" w:hAnsi="Arial"/>
                <w:b w:val="0"/>
                <w:bCs/>
                <w:lang w:eastAsia="zh-CN"/>
              </w:rPr>
              <w:t xml:space="preserve"> </w:t>
            </w:r>
            <w:r w:rsidR="00027CAF">
              <w:rPr>
                <w:rFonts w:ascii="Arial" w:eastAsia="SimSun" w:hAnsi="Arial"/>
                <w:b w:val="0"/>
                <w:bCs/>
                <w:lang w:eastAsia="zh-CN"/>
              </w:rPr>
              <w:t>with</w:t>
            </w:r>
            <w:r w:rsidRPr="00223B98">
              <w:rPr>
                <w:rFonts w:ascii="Arial" w:eastAsia="SimSun" w:hAnsi="Arial"/>
                <w:b w:val="0"/>
                <w:bCs/>
                <w:lang w:eastAsia="zh-CN"/>
              </w:rPr>
              <w:t xml:space="preserve"> its current role as the Principal Recipients for HIV grant.</w:t>
            </w:r>
            <w:r w:rsidR="003A4553">
              <w:rPr>
                <w:rFonts w:ascii="Arial" w:eastAsia="SimSun" w:hAnsi="Arial"/>
                <w:b w:val="0"/>
                <w:bCs/>
                <w:lang w:eastAsia="zh-CN"/>
              </w:rPr>
              <w:t xml:space="preserve"> </w:t>
            </w:r>
            <w:r w:rsidRPr="00223B98">
              <w:rPr>
                <w:rFonts w:ascii="Arial" w:eastAsia="SimSun" w:hAnsi="Arial"/>
                <w:b w:val="0"/>
                <w:bCs/>
                <w:lang w:eastAsia="zh-CN"/>
              </w:rPr>
              <w:t xml:space="preserve">The Principal Recipients will execute its functions and apply procedures in accordance to </w:t>
            </w:r>
            <w:r w:rsidR="003A4553">
              <w:rPr>
                <w:rFonts w:ascii="Arial" w:eastAsia="SimSun" w:hAnsi="Arial"/>
                <w:b w:val="0"/>
                <w:bCs/>
                <w:lang w:eastAsia="zh-CN"/>
              </w:rPr>
              <w:t>TGF</w:t>
            </w:r>
            <w:r w:rsidRPr="00223B98">
              <w:rPr>
                <w:rFonts w:ascii="Arial" w:eastAsia="SimSun" w:hAnsi="Arial"/>
                <w:b w:val="0"/>
                <w:bCs/>
                <w:lang w:eastAsia="zh-CN"/>
              </w:rPr>
              <w:t xml:space="preserve"> requirements and in compliance with the national legislation. The grant funds will be transferred to the special accounts of the PR. The PR will be responsible for all practical issues related to the </w:t>
            </w:r>
            <w:r w:rsidR="00F67433">
              <w:rPr>
                <w:rFonts w:ascii="Arial" w:eastAsia="SimSun" w:hAnsi="Arial"/>
                <w:b w:val="0"/>
                <w:bCs/>
                <w:lang w:eastAsia="zh-CN"/>
              </w:rPr>
              <w:t>grant</w:t>
            </w:r>
            <w:r w:rsidR="00F67433" w:rsidRPr="00223B98">
              <w:rPr>
                <w:rFonts w:ascii="Arial" w:eastAsia="SimSun" w:hAnsi="Arial"/>
                <w:b w:val="0"/>
                <w:bCs/>
                <w:lang w:eastAsia="zh-CN"/>
              </w:rPr>
              <w:t xml:space="preserve"> </w:t>
            </w:r>
            <w:r w:rsidRPr="00223B98">
              <w:rPr>
                <w:rFonts w:ascii="Arial" w:eastAsia="SimSun" w:hAnsi="Arial"/>
                <w:b w:val="0"/>
                <w:bCs/>
                <w:lang w:eastAsia="zh-CN"/>
              </w:rPr>
              <w:t>implementation including oversight of the Sub-recipients (S</w:t>
            </w:r>
            <w:r w:rsidR="003A4553">
              <w:rPr>
                <w:rFonts w:ascii="Arial" w:eastAsia="SimSun" w:hAnsi="Arial"/>
                <w:b w:val="0"/>
                <w:bCs/>
                <w:lang w:eastAsia="zh-CN"/>
              </w:rPr>
              <w:t>Rs) and Sub-contractors. The PR</w:t>
            </w:r>
            <w:r w:rsidRPr="00223B98">
              <w:rPr>
                <w:rFonts w:ascii="Arial" w:eastAsia="SimSun" w:hAnsi="Arial"/>
                <w:b w:val="0"/>
                <w:bCs/>
                <w:lang w:eastAsia="zh-CN"/>
              </w:rPr>
              <w:t xml:space="preserve"> will undertake the functions of procurement (equipment, civil works and services), financial management, </w:t>
            </w:r>
            <w:r w:rsidR="00F67433">
              <w:rPr>
                <w:rFonts w:ascii="Arial" w:eastAsia="SimSun" w:hAnsi="Arial"/>
                <w:b w:val="0"/>
                <w:bCs/>
                <w:lang w:eastAsia="zh-CN"/>
              </w:rPr>
              <w:t>grant</w:t>
            </w:r>
            <w:r w:rsidR="000C5933">
              <w:rPr>
                <w:rFonts w:ascii="Arial" w:eastAsia="SimSun" w:hAnsi="Arial"/>
                <w:b w:val="0"/>
                <w:bCs/>
                <w:lang w:eastAsia="zh-CN"/>
              </w:rPr>
              <w:t xml:space="preserve">-related monitoring, </w:t>
            </w:r>
            <w:r w:rsidRPr="00223B98">
              <w:rPr>
                <w:rFonts w:ascii="Arial" w:eastAsia="SimSun" w:hAnsi="Arial"/>
                <w:b w:val="0"/>
                <w:bCs/>
                <w:lang w:eastAsia="zh-CN"/>
              </w:rPr>
              <w:t>evaluation and reporting to TGF. No health and non-health products are envisaged to</w:t>
            </w:r>
            <w:r w:rsidR="003A4553">
              <w:rPr>
                <w:rFonts w:ascii="Arial" w:eastAsia="SimSun" w:hAnsi="Arial"/>
                <w:b w:val="0"/>
                <w:bCs/>
                <w:lang w:eastAsia="zh-CN"/>
              </w:rPr>
              <w:t xml:space="preserve"> be procured by the PR under this</w:t>
            </w:r>
            <w:r w:rsidRPr="00223B98">
              <w:rPr>
                <w:rFonts w:ascii="Arial" w:eastAsia="SimSun" w:hAnsi="Arial"/>
                <w:b w:val="0"/>
                <w:bCs/>
                <w:lang w:eastAsia="zh-CN"/>
              </w:rPr>
              <w:t xml:space="preserve"> funding request. </w:t>
            </w:r>
          </w:p>
          <w:p w14:paraId="6429C911" w14:textId="3BEF8AC6" w:rsidR="00260CFA" w:rsidRPr="00B75D52" w:rsidRDefault="00260CFA" w:rsidP="00260CFA">
            <w:pPr>
              <w:spacing w:before="120" w:after="120" w:line="240" w:lineRule="auto"/>
              <w:jc w:val="both"/>
              <w:rPr>
                <w:rFonts w:ascii="Arial" w:eastAsia="SimSun" w:hAnsi="Arial"/>
                <w:b w:val="0"/>
                <w:lang w:eastAsia="zh-CN"/>
              </w:rPr>
            </w:pPr>
            <w:r w:rsidRPr="00223B98">
              <w:rPr>
                <w:rFonts w:ascii="Arial" w:eastAsia="SimSun" w:hAnsi="Arial"/>
                <w:b w:val="0"/>
                <w:lang w:eastAsia="zh-CN"/>
              </w:rPr>
              <w:t xml:space="preserve">The PR will develop the work plans for </w:t>
            </w:r>
            <w:r w:rsidR="00F67433">
              <w:rPr>
                <w:rFonts w:ascii="Arial" w:eastAsia="SimSun" w:hAnsi="Arial"/>
                <w:b w:val="0"/>
                <w:lang w:eastAsia="zh-CN"/>
              </w:rPr>
              <w:t>grant</w:t>
            </w:r>
            <w:r w:rsidR="00F67433" w:rsidRPr="00223B98">
              <w:rPr>
                <w:rFonts w:ascii="Arial" w:eastAsia="SimSun" w:hAnsi="Arial"/>
                <w:b w:val="0"/>
                <w:lang w:eastAsia="zh-CN"/>
              </w:rPr>
              <w:t xml:space="preserve"> </w:t>
            </w:r>
            <w:r w:rsidRPr="00223B98">
              <w:rPr>
                <w:rFonts w:ascii="Arial" w:eastAsia="SimSun" w:hAnsi="Arial"/>
                <w:b w:val="0"/>
                <w:lang w:eastAsia="zh-CN"/>
              </w:rPr>
              <w:t xml:space="preserve">implementation and will present </w:t>
            </w:r>
            <w:r w:rsidR="00F67433">
              <w:rPr>
                <w:rFonts w:ascii="Arial" w:eastAsia="SimSun" w:hAnsi="Arial"/>
                <w:b w:val="0"/>
                <w:lang w:eastAsia="zh-CN"/>
              </w:rPr>
              <w:t>grant</w:t>
            </w:r>
            <w:r w:rsidR="00F67433" w:rsidRPr="00223B98">
              <w:rPr>
                <w:rFonts w:ascii="Arial" w:eastAsia="SimSun" w:hAnsi="Arial"/>
                <w:b w:val="0"/>
                <w:lang w:eastAsia="zh-CN"/>
              </w:rPr>
              <w:t xml:space="preserve"> </w:t>
            </w:r>
            <w:r w:rsidRPr="00223B98">
              <w:rPr>
                <w:rFonts w:ascii="Arial" w:eastAsia="SimSun" w:hAnsi="Arial"/>
                <w:b w:val="0"/>
                <w:lang w:eastAsia="zh-CN"/>
              </w:rPr>
              <w:t xml:space="preserve">performance reports to the CCM. Financial and activity progress reports will be forwarded to the CCM members for review. </w:t>
            </w:r>
            <w:r w:rsidR="008D7BAD">
              <w:rPr>
                <w:rFonts w:ascii="Arial" w:eastAsia="SimSun" w:hAnsi="Arial"/>
                <w:b w:val="0"/>
                <w:lang w:eastAsia="zh-CN"/>
              </w:rPr>
              <w:t xml:space="preserve">The </w:t>
            </w:r>
            <w:r w:rsidRPr="00223B98">
              <w:rPr>
                <w:rFonts w:ascii="Arial" w:eastAsia="SimSun" w:hAnsi="Arial"/>
                <w:b w:val="0"/>
                <w:lang w:eastAsia="zh-CN"/>
              </w:rPr>
              <w:t xml:space="preserve">CCM will </w:t>
            </w:r>
            <w:r w:rsidR="008D7BAD">
              <w:rPr>
                <w:rFonts w:ascii="Arial" w:eastAsia="SimSun" w:hAnsi="Arial"/>
                <w:b w:val="0"/>
                <w:lang w:eastAsia="zh-CN"/>
              </w:rPr>
              <w:t xml:space="preserve">annually </w:t>
            </w:r>
            <w:r w:rsidRPr="00223B98">
              <w:rPr>
                <w:rFonts w:ascii="Arial" w:eastAsia="SimSun" w:hAnsi="Arial"/>
                <w:b w:val="0"/>
                <w:lang w:eastAsia="zh-CN"/>
              </w:rPr>
              <w:t xml:space="preserve">review the </w:t>
            </w:r>
            <w:r w:rsidR="00F67433">
              <w:rPr>
                <w:rFonts w:ascii="Arial" w:eastAsia="SimSun" w:hAnsi="Arial"/>
                <w:b w:val="0"/>
                <w:lang w:eastAsia="zh-CN"/>
              </w:rPr>
              <w:t>grant</w:t>
            </w:r>
            <w:r w:rsidR="00F67433" w:rsidRPr="00223B98">
              <w:rPr>
                <w:rFonts w:ascii="Arial" w:eastAsia="SimSun" w:hAnsi="Arial"/>
                <w:b w:val="0"/>
                <w:lang w:eastAsia="zh-CN"/>
              </w:rPr>
              <w:t xml:space="preserve"> </w:t>
            </w:r>
            <w:r w:rsidRPr="00223B98">
              <w:rPr>
                <w:rFonts w:ascii="Arial" w:eastAsia="SimSun" w:hAnsi="Arial"/>
                <w:b w:val="0"/>
                <w:lang w:eastAsia="zh-CN"/>
              </w:rPr>
              <w:t>performance and proposed work plans for the upcoming year and will approve additional disbursements.</w:t>
            </w:r>
            <w:r w:rsidR="003A4553">
              <w:rPr>
                <w:rFonts w:ascii="Arial" w:eastAsia="SimSun" w:hAnsi="Arial"/>
                <w:b w:val="0"/>
                <w:lang w:eastAsia="zh-CN"/>
              </w:rPr>
              <w:t xml:space="preserve"> </w:t>
            </w:r>
            <w:r w:rsidRPr="00223B98">
              <w:rPr>
                <w:rFonts w:ascii="Arial" w:eastAsia="SimSun" w:hAnsi="Arial"/>
                <w:b w:val="0"/>
                <w:lang w:eastAsia="zh-CN"/>
              </w:rPr>
              <w:t xml:space="preserve">The implementation structure has been discussed during </w:t>
            </w:r>
            <w:r w:rsidR="0045158D">
              <w:rPr>
                <w:rFonts w:ascii="Arial" w:eastAsia="SimSun" w:hAnsi="Arial"/>
                <w:b w:val="0"/>
                <w:lang w:eastAsia="zh-CN"/>
              </w:rPr>
              <w:t xml:space="preserve">the </w:t>
            </w:r>
            <w:r w:rsidRPr="00223B98">
              <w:rPr>
                <w:rFonts w:ascii="Arial" w:eastAsia="SimSun" w:hAnsi="Arial"/>
                <w:b w:val="0"/>
                <w:lang w:eastAsia="zh-CN"/>
              </w:rPr>
              <w:t xml:space="preserve">CCM meetings and the Principal Recipient has been </w:t>
            </w:r>
            <w:r w:rsidRPr="00223B98">
              <w:rPr>
                <w:rFonts w:ascii="Arial" w:eastAsia="SimSun" w:hAnsi="Arial"/>
                <w:b w:val="0"/>
                <w:lang w:eastAsia="zh-CN"/>
              </w:rPr>
              <w:lastRenderedPageBreak/>
              <w:t>nominated by the CCM in accordance with the Global Fund recommendations (</w:t>
            </w:r>
            <w:r w:rsidRPr="00765056">
              <w:rPr>
                <w:rFonts w:ascii="Arial" w:eastAsia="SimSun" w:hAnsi="Arial"/>
                <w:b w:val="0"/>
                <w:lang w:eastAsia="zh-CN"/>
              </w:rPr>
              <w:t>see enclosed</w:t>
            </w:r>
            <w:r w:rsidR="0062618C" w:rsidRPr="00765056">
              <w:rPr>
                <w:rFonts w:ascii="Arial" w:eastAsia="SimSun" w:hAnsi="Arial"/>
                <w:b w:val="0"/>
                <w:lang w:eastAsia="zh-CN"/>
              </w:rPr>
              <w:t xml:space="preserve"> Annex </w:t>
            </w:r>
            <w:r w:rsidR="004B7537" w:rsidRPr="00765056">
              <w:rPr>
                <w:rFonts w:ascii="Arial" w:eastAsia="SimSun" w:hAnsi="Arial"/>
                <w:b w:val="0"/>
                <w:lang w:eastAsia="zh-CN"/>
              </w:rPr>
              <w:t>3</w:t>
            </w:r>
            <w:r w:rsidRPr="00765056">
              <w:rPr>
                <w:rFonts w:ascii="Arial" w:eastAsia="SimSun" w:hAnsi="Arial"/>
                <w:b w:val="0"/>
                <w:lang w:eastAsia="zh-CN"/>
              </w:rPr>
              <w:t xml:space="preserve"> CCM Eligibility Requirements</w:t>
            </w:r>
            <w:r w:rsidRPr="00B75D52">
              <w:rPr>
                <w:rFonts w:ascii="Arial" w:eastAsia="SimSun" w:hAnsi="Arial"/>
                <w:b w:val="0"/>
                <w:lang w:eastAsia="zh-CN"/>
              </w:rPr>
              <w:t xml:space="preserve">). </w:t>
            </w:r>
          </w:p>
          <w:p w14:paraId="21000E42" w14:textId="264F9D23" w:rsidR="00260CFA" w:rsidRPr="00223B98" w:rsidRDefault="00260CFA" w:rsidP="00260CFA">
            <w:pPr>
              <w:spacing w:before="120" w:after="120" w:line="240" w:lineRule="auto"/>
              <w:jc w:val="both"/>
              <w:rPr>
                <w:rFonts w:ascii="Arial" w:eastAsia="SimSun" w:hAnsi="Arial"/>
                <w:b w:val="0"/>
                <w:bCs/>
                <w:lang w:eastAsia="zh-CN"/>
              </w:rPr>
            </w:pPr>
            <w:r w:rsidRPr="00B75D52">
              <w:rPr>
                <w:rFonts w:ascii="Arial" w:eastAsia="SimSun" w:hAnsi="Arial"/>
                <w:b w:val="0"/>
                <w:lang w:eastAsia="zh-CN"/>
              </w:rPr>
              <w:t xml:space="preserve">Based on the goal </w:t>
            </w:r>
            <w:r w:rsidR="0045158D" w:rsidRPr="00B75D52">
              <w:rPr>
                <w:rFonts w:ascii="Arial" w:eastAsia="SimSun" w:hAnsi="Arial"/>
                <w:b w:val="0"/>
                <w:lang w:eastAsia="zh-CN"/>
              </w:rPr>
              <w:t xml:space="preserve">of the funding request </w:t>
            </w:r>
            <w:r w:rsidRPr="00B75D52">
              <w:rPr>
                <w:rFonts w:ascii="Arial" w:eastAsia="SimSun" w:hAnsi="Arial"/>
                <w:b w:val="0"/>
                <w:lang w:eastAsia="zh-CN"/>
              </w:rPr>
              <w:t xml:space="preserve">and </w:t>
            </w:r>
            <w:r w:rsidR="0045158D">
              <w:rPr>
                <w:rFonts w:ascii="Arial" w:eastAsia="SimSun" w:hAnsi="Arial"/>
                <w:b w:val="0"/>
                <w:lang w:eastAsia="zh-CN"/>
              </w:rPr>
              <w:t xml:space="preserve">its </w:t>
            </w:r>
            <w:r w:rsidRPr="00B75D52">
              <w:rPr>
                <w:rFonts w:ascii="Arial" w:eastAsia="SimSun" w:hAnsi="Arial"/>
                <w:b w:val="0"/>
                <w:lang w:eastAsia="zh-CN"/>
              </w:rPr>
              <w:t>focus on</w:t>
            </w:r>
            <w:r w:rsidR="00F5379F" w:rsidRPr="00B75D52">
              <w:rPr>
                <w:rFonts w:ascii="Arial" w:eastAsia="SimSun" w:hAnsi="Arial"/>
                <w:b w:val="0"/>
                <w:lang w:eastAsia="zh-CN"/>
              </w:rPr>
              <w:t xml:space="preserve"> earlier intervention </w:t>
            </w:r>
            <w:r w:rsidRPr="00B75D52">
              <w:rPr>
                <w:rFonts w:ascii="Arial" w:eastAsia="SimSun" w:hAnsi="Arial"/>
                <w:b w:val="0"/>
                <w:lang w:eastAsia="zh-CN"/>
              </w:rPr>
              <w:t>sites, the following</w:t>
            </w:r>
            <w:r w:rsidRPr="00223B98">
              <w:rPr>
                <w:rFonts w:ascii="Arial" w:eastAsia="SimSun" w:hAnsi="Arial"/>
                <w:b w:val="0"/>
                <w:lang w:eastAsia="zh-CN"/>
              </w:rPr>
              <w:t xml:space="preserve"> 3 SRs have been identified for the </w:t>
            </w:r>
            <w:r w:rsidR="00F67433">
              <w:rPr>
                <w:rFonts w:ascii="Arial" w:eastAsia="SimSun" w:hAnsi="Arial"/>
                <w:b w:val="0"/>
                <w:lang w:eastAsia="zh-CN"/>
              </w:rPr>
              <w:t>grant</w:t>
            </w:r>
            <w:r w:rsidR="00F67433" w:rsidRPr="00223B98">
              <w:rPr>
                <w:rFonts w:ascii="Arial" w:eastAsia="SimSun" w:hAnsi="Arial"/>
                <w:b w:val="0"/>
                <w:lang w:eastAsia="zh-CN"/>
              </w:rPr>
              <w:t xml:space="preserve"> </w:t>
            </w:r>
            <w:r w:rsidRPr="00223B98">
              <w:rPr>
                <w:rFonts w:ascii="Arial" w:eastAsia="SimSun" w:hAnsi="Arial"/>
                <w:b w:val="0"/>
                <w:lang w:eastAsia="zh-CN"/>
              </w:rPr>
              <w:t xml:space="preserve">to implement social contracting to NGOs in </w:t>
            </w:r>
            <w:r w:rsidR="00F5379F">
              <w:rPr>
                <w:rFonts w:ascii="Arial" w:eastAsia="SimSun" w:hAnsi="Arial"/>
                <w:b w:val="0"/>
                <w:lang w:eastAsia="zh-CN"/>
              </w:rPr>
              <w:t xml:space="preserve">earlier intervention </w:t>
            </w:r>
            <w:r w:rsidRPr="00223B98">
              <w:rPr>
                <w:rFonts w:ascii="Arial" w:eastAsia="SimSun" w:hAnsi="Arial"/>
                <w:b w:val="0"/>
                <w:lang w:eastAsia="zh-CN"/>
              </w:rPr>
              <w:t>sites to scale up HIV prevention, care and support to KAP: (i) Almaty Regional Center of Prevention and AIDS Control, (ii) Karaganda Regional Center for the Prevention and Control of AIDS, and (iii) A</w:t>
            </w:r>
            <w:r w:rsidRPr="00223B98">
              <w:rPr>
                <w:rFonts w:ascii="Arial" w:eastAsia="SimSun" w:hAnsi="Arial"/>
                <w:b w:val="0"/>
                <w:bCs/>
                <w:lang w:eastAsia="zh-CN"/>
              </w:rPr>
              <w:t>stana Center for Prevention and Control of AIDS</w:t>
            </w:r>
            <w:r w:rsidR="00D360BC">
              <w:rPr>
                <w:rFonts w:ascii="Arial" w:eastAsia="SimSun" w:hAnsi="Arial"/>
                <w:b w:val="0"/>
                <w:bCs/>
                <w:lang w:eastAsia="zh-CN"/>
              </w:rPr>
              <w:t xml:space="preserve"> starting Y</w:t>
            </w:r>
            <w:r w:rsidRPr="00223B98">
              <w:rPr>
                <w:rFonts w:ascii="Arial" w:eastAsia="SimSun" w:hAnsi="Arial"/>
                <w:b w:val="0"/>
                <w:bCs/>
                <w:lang w:eastAsia="zh-CN"/>
              </w:rPr>
              <w:t>ear 3.</w:t>
            </w:r>
            <w:r w:rsidR="00D360BC">
              <w:rPr>
                <w:rFonts w:ascii="Arial" w:eastAsia="SimSun" w:hAnsi="Arial"/>
                <w:b w:val="0"/>
                <w:bCs/>
                <w:lang w:eastAsia="zh-CN"/>
              </w:rPr>
              <w:t xml:space="preserve"> </w:t>
            </w:r>
            <w:r w:rsidRPr="00223B98">
              <w:rPr>
                <w:rFonts w:ascii="Arial" w:eastAsia="SimSun" w:hAnsi="Arial"/>
                <w:b w:val="0"/>
                <w:lang w:eastAsia="zh-CN"/>
              </w:rPr>
              <w:t xml:space="preserve">Two </w:t>
            </w:r>
            <w:r w:rsidR="00381DE1">
              <w:rPr>
                <w:rFonts w:ascii="Arial" w:eastAsia="SimSun" w:hAnsi="Arial"/>
                <w:b w:val="0"/>
                <w:lang w:eastAsia="zh-CN"/>
              </w:rPr>
              <w:t xml:space="preserve">non-government </w:t>
            </w:r>
            <w:r w:rsidR="00D360BC">
              <w:rPr>
                <w:rFonts w:ascii="Arial" w:eastAsia="SimSun" w:hAnsi="Arial"/>
                <w:b w:val="0"/>
                <w:lang w:eastAsia="zh-CN"/>
              </w:rPr>
              <w:t>s</w:t>
            </w:r>
            <w:r w:rsidRPr="00223B98">
              <w:rPr>
                <w:rFonts w:ascii="Arial" w:eastAsia="SimSun" w:hAnsi="Arial"/>
                <w:b w:val="0"/>
                <w:lang w:eastAsia="zh-CN"/>
              </w:rPr>
              <w:t xml:space="preserve">ub-contractors have been identified to deliver specific activities under Objective 1, under Principle Recipient umbrella: (i) NGO Aman-Saulyk – for assessment and development of legal and normative framework for social contracting, and (ii) Union of Legal Entities Kazakh Union of PLHIV – for community based advocacy and monitoring and HIV prevention, care and support to KAP service providers’ capacity building. </w:t>
            </w:r>
          </w:p>
          <w:p w14:paraId="536E80F8" w14:textId="14EF3F0B" w:rsidR="00D56B57" w:rsidRPr="00D56B57" w:rsidRDefault="00260CFA" w:rsidP="00F67433">
            <w:pPr>
              <w:spacing w:before="120" w:after="120" w:line="240" w:lineRule="auto"/>
              <w:jc w:val="both"/>
              <w:rPr>
                <w:rFonts w:ascii="Arial" w:hAnsi="Arial"/>
                <w:b w:val="0"/>
                <w:sz w:val="20"/>
                <w:szCs w:val="20"/>
              </w:rPr>
            </w:pPr>
            <w:r w:rsidRPr="00223B98">
              <w:rPr>
                <w:rFonts w:ascii="Arial" w:eastAsia="SimSun" w:hAnsi="Arial"/>
                <w:b w:val="0"/>
                <w:lang w:eastAsia="zh-CN"/>
              </w:rPr>
              <w:t xml:space="preserve">The CCM Secretariat and the PR will communicate with the Global Fund on the </w:t>
            </w:r>
            <w:r w:rsidR="00F67433">
              <w:rPr>
                <w:rFonts w:ascii="Arial" w:eastAsia="SimSun" w:hAnsi="Arial"/>
                <w:b w:val="0"/>
                <w:lang w:eastAsia="zh-CN"/>
              </w:rPr>
              <w:t>grant</w:t>
            </w:r>
            <w:r w:rsidR="00F67433" w:rsidRPr="00223B98">
              <w:rPr>
                <w:rFonts w:ascii="Arial" w:eastAsia="SimSun" w:hAnsi="Arial"/>
                <w:b w:val="0"/>
                <w:lang w:eastAsia="zh-CN"/>
              </w:rPr>
              <w:t xml:space="preserve"> </w:t>
            </w:r>
            <w:r w:rsidRPr="00223B98">
              <w:rPr>
                <w:rFonts w:ascii="Arial" w:eastAsia="SimSun" w:hAnsi="Arial"/>
                <w:b w:val="0"/>
                <w:lang w:eastAsia="zh-CN"/>
              </w:rPr>
              <w:t>progress. Progress Updates and Disbursement Requests will be forwarded to TGF FPM on a semi-annual basis or as otherwise agreed; other documentation will be provided as requested by TGF.</w:t>
            </w:r>
            <w:r w:rsidR="00381DE1">
              <w:rPr>
                <w:rFonts w:ascii="Arial" w:eastAsia="SimSun" w:hAnsi="Arial"/>
                <w:b w:val="0"/>
                <w:lang w:eastAsia="zh-CN"/>
              </w:rPr>
              <w:t xml:space="preserve"> </w:t>
            </w:r>
            <w:r w:rsidRPr="00223B98">
              <w:rPr>
                <w:rFonts w:ascii="Arial" w:eastAsia="SimSun" w:hAnsi="Arial"/>
                <w:b w:val="0"/>
                <w:lang w:eastAsia="zh-CN"/>
              </w:rPr>
              <w:t xml:space="preserve">The Local Fund Agent (currently Price Waterhouse Coopers, PWC) will act within the Terms of Reference agreed upon with the Global Fund, including on-site verifications (OSV) of </w:t>
            </w:r>
            <w:r w:rsidR="00F67433">
              <w:rPr>
                <w:rFonts w:ascii="Arial" w:eastAsia="SimSun" w:hAnsi="Arial"/>
                <w:b w:val="0"/>
                <w:lang w:eastAsia="zh-CN"/>
              </w:rPr>
              <w:t>grant</w:t>
            </w:r>
            <w:r w:rsidR="00F67433" w:rsidRPr="00223B98">
              <w:rPr>
                <w:rFonts w:ascii="Arial" w:eastAsia="SimSun" w:hAnsi="Arial"/>
                <w:b w:val="0"/>
                <w:lang w:eastAsia="zh-CN"/>
              </w:rPr>
              <w:t xml:space="preserve"> </w:t>
            </w:r>
            <w:r w:rsidRPr="00223B98">
              <w:rPr>
                <w:rFonts w:ascii="Arial" w:eastAsia="SimSun" w:hAnsi="Arial"/>
                <w:b w:val="0"/>
                <w:lang w:eastAsia="zh-CN"/>
              </w:rPr>
              <w:t xml:space="preserve">performance. External audits evaluating the </w:t>
            </w:r>
            <w:r w:rsidR="00F67433">
              <w:rPr>
                <w:rFonts w:ascii="Arial" w:eastAsia="SimSun" w:hAnsi="Arial"/>
                <w:b w:val="0"/>
                <w:lang w:eastAsia="zh-CN"/>
              </w:rPr>
              <w:t>grant</w:t>
            </w:r>
            <w:r w:rsidR="00F67433" w:rsidRPr="00223B98">
              <w:rPr>
                <w:rFonts w:ascii="Arial" w:eastAsia="SimSun" w:hAnsi="Arial"/>
                <w:b w:val="0"/>
                <w:lang w:eastAsia="zh-CN"/>
              </w:rPr>
              <w:t xml:space="preserve"> </w:t>
            </w:r>
            <w:r w:rsidRPr="00223B98">
              <w:rPr>
                <w:rFonts w:ascii="Arial" w:eastAsia="SimSun" w:hAnsi="Arial"/>
                <w:b w:val="0"/>
                <w:lang w:eastAsia="zh-CN"/>
              </w:rPr>
              <w:t>performance and financial management are an integral part of the proposed management arrangements.</w:t>
            </w:r>
          </w:p>
        </w:tc>
      </w:tr>
    </w:tbl>
    <w:p w14:paraId="19DFBFDF" w14:textId="77777777" w:rsidR="00735705" w:rsidRPr="00735705" w:rsidRDefault="00735705">
      <w:pPr>
        <w:spacing w:after="0" w:line="240" w:lineRule="auto"/>
        <w:rPr>
          <w:rFonts w:ascii="Arial" w:hAnsi="Arial"/>
          <w:b w:val="0"/>
          <w:sz w:val="20"/>
          <w:szCs w:val="20"/>
          <w:lang w:val="en-GB"/>
        </w:rPr>
      </w:pPr>
    </w:p>
    <w:tbl>
      <w:tblPr>
        <w:tblW w:w="9457"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1586"/>
        <w:gridCol w:w="1615"/>
        <w:gridCol w:w="4487"/>
        <w:gridCol w:w="1769"/>
      </w:tblGrid>
      <w:tr w:rsidR="00C312DD" w:rsidRPr="00735705" w14:paraId="41DCBE30" w14:textId="77777777" w:rsidTr="006819CF">
        <w:trPr>
          <w:trHeight w:val="409"/>
        </w:trPr>
        <w:tc>
          <w:tcPr>
            <w:tcW w:w="9457" w:type="dxa"/>
            <w:gridSpan w:val="4"/>
            <w:shd w:val="clear" w:color="auto" w:fill="C6D9F1"/>
            <w:vAlign w:val="center"/>
          </w:tcPr>
          <w:p w14:paraId="278203E9" w14:textId="15146A66" w:rsidR="00C312DD" w:rsidRPr="00735705" w:rsidRDefault="00C312DD" w:rsidP="00381DE1">
            <w:pPr>
              <w:spacing w:after="0" w:line="240" w:lineRule="auto"/>
              <w:rPr>
                <w:rFonts w:ascii="Arial" w:hAnsi="Arial"/>
                <w:b w:val="0"/>
                <w:sz w:val="20"/>
                <w:szCs w:val="20"/>
              </w:rPr>
            </w:pPr>
            <w:r w:rsidRPr="00735705">
              <w:rPr>
                <w:rFonts w:ascii="Arial" w:hAnsi="Arial"/>
                <w:b w:val="0"/>
                <w:bCs/>
                <w:sz w:val="20"/>
                <w:szCs w:val="20"/>
              </w:rPr>
              <w:t>3.</w:t>
            </w:r>
            <w:r w:rsidR="000A57BC" w:rsidRPr="00735705">
              <w:rPr>
                <w:rFonts w:ascii="Arial" w:hAnsi="Arial"/>
                <w:b w:val="0"/>
                <w:bCs/>
                <w:sz w:val="20"/>
                <w:szCs w:val="20"/>
              </w:rPr>
              <w:t>2</w:t>
            </w:r>
            <w:r w:rsidRPr="00735705">
              <w:rPr>
                <w:rFonts w:ascii="Arial" w:hAnsi="Arial"/>
                <w:b w:val="0"/>
                <w:bCs/>
                <w:sz w:val="20"/>
                <w:szCs w:val="20"/>
              </w:rPr>
              <w:t xml:space="preserve"> Key implementation risks</w:t>
            </w:r>
          </w:p>
        </w:tc>
      </w:tr>
      <w:tr w:rsidR="00C312DD" w:rsidRPr="00735705" w14:paraId="589BE5BD" w14:textId="77777777" w:rsidTr="006819CF">
        <w:trPr>
          <w:trHeight w:val="521"/>
        </w:trPr>
        <w:tc>
          <w:tcPr>
            <w:tcW w:w="9457" w:type="dxa"/>
            <w:gridSpan w:val="4"/>
            <w:shd w:val="clear" w:color="auto" w:fill="F2F2F2"/>
            <w:vAlign w:val="center"/>
          </w:tcPr>
          <w:p w14:paraId="5A3FB1FC" w14:textId="7DC03F99" w:rsidR="00C312DD" w:rsidRPr="00381DE1" w:rsidRDefault="00F56B80" w:rsidP="00381DE1">
            <w:pPr>
              <w:spacing w:after="0" w:line="240" w:lineRule="auto"/>
              <w:contextualSpacing/>
              <w:jc w:val="both"/>
              <w:rPr>
                <w:rFonts w:ascii="Arial" w:hAnsi="Arial"/>
                <w:b w:val="0"/>
                <w:sz w:val="20"/>
                <w:szCs w:val="20"/>
              </w:rPr>
            </w:pPr>
            <w:r w:rsidRPr="00735705">
              <w:rPr>
                <w:rFonts w:ascii="Arial" w:hAnsi="Arial"/>
                <w:b w:val="0"/>
                <w:sz w:val="20"/>
                <w:szCs w:val="20"/>
                <w:lang w:val="en-GB"/>
              </w:rPr>
              <w:t>Using the table below, outline</w:t>
            </w:r>
            <w:r w:rsidR="00C17BC6" w:rsidRPr="00735705">
              <w:rPr>
                <w:rFonts w:ascii="Arial" w:hAnsi="Arial"/>
                <w:b w:val="0"/>
                <w:sz w:val="20"/>
                <w:szCs w:val="20"/>
                <w:lang w:val="en-GB"/>
              </w:rPr>
              <w:t xml:space="preserve"> key risks foreseen, including those that were provided in the </w:t>
            </w:r>
            <w:r w:rsidR="00C17BC6" w:rsidRPr="00735705">
              <w:rPr>
                <w:rFonts w:ascii="Arial" w:hAnsi="Arial"/>
                <w:b w:val="0"/>
                <w:i/>
                <w:sz w:val="20"/>
                <w:szCs w:val="20"/>
                <w:lang w:val="en-GB"/>
              </w:rPr>
              <w:t>Key Program Risks</w:t>
            </w:r>
            <w:r w:rsidR="00C17BC6" w:rsidRPr="00735705">
              <w:rPr>
                <w:rFonts w:ascii="Arial" w:hAnsi="Arial"/>
                <w:b w:val="0"/>
                <w:sz w:val="20"/>
                <w:szCs w:val="20"/>
                <w:lang w:val="en-GB"/>
              </w:rPr>
              <w:t xml:space="preserve"> table shared by the Global Fund during the Country Dialogue process.</w:t>
            </w:r>
            <w:r w:rsidRPr="00735705">
              <w:rPr>
                <w:rFonts w:ascii="Arial" w:hAnsi="Arial"/>
                <w:b w:val="0"/>
                <w:sz w:val="20"/>
                <w:szCs w:val="20"/>
                <w:lang w:val="en-GB"/>
              </w:rPr>
              <w:t xml:space="preserve"> </w:t>
            </w:r>
            <w:r w:rsidR="00C17BC6" w:rsidRPr="00735705">
              <w:rPr>
                <w:rFonts w:ascii="Arial" w:hAnsi="Arial"/>
                <w:b w:val="0"/>
                <w:sz w:val="20"/>
                <w:szCs w:val="20"/>
                <w:lang w:val="en-GB"/>
              </w:rPr>
              <w:t>You can also add</w:t>
            </w:r>
            <w:r w:rsidRPr="00735705">
              <w:rPr>
                <w:rFonts w:ascii="Arial" w:hAnsi="Arial"/>
                <w:b w:val="0"/>
                <w:sz w:val="20"/>
                <w:szCs w:val="20"/>
                <w:lang w:val="en-GB"/>
              </w:rPr>
              <w:t xml:space="preserve"> key operational and implementation risks, which you identified as outstanding from the previous implementation period, and the specific mitigation measures planned to address each of these challenges/risks to ensure effective program pe</w:t>
            </w:r>
            <w:r w:rsidR="00C17BC6" w:rsidRPr="00735705">
              <w:rPr>
                <w:rFonts w:ascii="Arial" w:hAnsi="Arial"/>
                <w:b w:val="0"/>
                <w:sz w:val="20"/>
                <w:szCs w:val="20"/>
                <w:lang w:val="en-GB"/>
              </w:rPr>
              <w:t>rformance in the given context.</w:t>
            </w:r>
            <w:r w:rsidR="0048135A" w:rsidRPr="00735705">
              <w:rPr>
                <w:rFonts w:ascii="Arial" w:hAnsi="Arial"/>
                <w:b w:val="0"/>
                <w:sz w:val="20"/>
                <w:szCs w:val="20"/>
              </w:rPr>
              <w:t xml:space="preserve"> </w:t>
            </w:r>
          </w:p>
        </w:tc>
      </w:tr>
      <w:tr w:rsidR="00CB750E" w:rsidRPr="00735705" w14:paraId="3FCEECF9" w14:textId="77777777" w:rsidTr="00C14003">
        <w:tblPrEx>
          <w:jc w:val="center"/>
        </w:tblPrEx>
        <w:trPr>
          <w:trHeight w:val="470"/>
          <w:jc w:val="center"/>
        </w:trPr>
        <w:tc>
          <w:tcPr>
            <w:tcW w:w="1586" w:type="dxa"/>
            <w:shd w:val="clear" w:color="auto" w:fill="C6D9F1" w:themeFill="text2" w:themeFillTint="33"/>
            <w:vAlign w:val="center"/>
          </w:tcPr>
          <w:p w14:paraId="243F121B" w14:textId="77777777" w:rsidR="0018563A" w:rsidRPr="00735705" w:rsidRDefault="0018563A" w:rsidP="00381DE1">
            <w:pPr>
              <w:spacing w:after="0" w:line="240" w:lineRule="auto"/>
              <w:jc w:val="center"/>
              <w:rPr>
                <w:rFonts w:ascii="Arial" w:hAnsi="Arial"/>
                <w:b w:val="0"/>
                <w:iCs/>
                <w:sz w:val="20"/>
                <w:szCs w:val="20"/>
              </w:rPr>
            </w:pPr>
            <w:r w:rsidRPr="00735705">
              <w:rPr>
                <w:rFonts w:ascii="Arial" w:hAnsi="Arial"/>
                <w:b w:val="0"/>
                <w:iCs/>
                <w:sz w:val="20"/>
                <w:szCs w:val="20"/>
              </w:rPr>
              <w:t>Risk Category</w:t>
            </w:r>
          </w:p>
          <w:p w14:paraId="22A65CEB" w14:textId="77777777" w:rsidR="0018563A" w:rsidRPr="00735705" w:rsidRDefault="0018563A" w:rsidP="00381DE1">
            <w:pPr>
              <w:spacing w:after="0" w:line="240" w:lineRule="auto"/>
              <w:jc w:val="center"/>
              <w:rPr>
                <w:rFonts w:ascii="Arial" w:hAnsi="Arial"/>
                <w:b w:val="0"/>
                <w:iCs/>
                <w:sz w:val="20"/>
                <w:szCs w:val="20"/>
              </w:rPr>
            </w:pPr>
            <w:r w:rsidRPr="00735705">
              <w:rPr>
                <w:rFonts w:ascii="Arial" w:hAnsi="Arial"/>
                <w:b w:val="0"/>
                <w:iCs/>
                <w:sz w:val="20"/>
                <w:szCs w:val="20"/>
              </w:rPr>
              <w:t>(Functional area)</w:t>
            </w:r>
          </w:p>
        </w:tc>
        <w:tc>
          <w:tcPr>
            <w:tcW w:w="1615" w:type="dxa"/>
            <w:shd w:val="clear" w:color="auto" w:fill="C6D9F1" w:themeFill="text2" w:themeFillTint="33"/>
            <w:vAlign w:val="center"/>
          </w:tcPr>
          <w:p w14:paraId="6347654E" w14:textId="77777777" w:rsidR="0018563A" w:rsidRPr="00735705" w:rsidRDefault="0018563A" w:rsidP="00381DE1">
            <w:pPr>
              <w:spacing w:after="0" w:line="240" w:lineRule="auto"/>
              <w:jc w:val="center"/>
              <w:rPr>
                <w:rFonts w:ascii="Arial" w:hAnsi="Arial"/>
                <w:b w:val="0"/>
                <w:iCs/>
                <w:sz w:val="20"/>
                <w:szCs w:val="20"/>
              </w:rPr>
            </w:pPr>
            <w:r w:rsidRPr="00735705">
              <w:rPr>
                <w:rFonts w:ascii="Arial" w:hAnsi="Arial"/>
                <w:b w:val="0"/>
                <w:sz w:val="20"/>
                <w:szCs w:val="20"/>
              </w:rPr>
              <w:t>Key Risk</w:t>
            </w:r>
          </w:p>
        </w:tc>
        <w:tc>
          <w:tcPr>
            <w:tcW w:w="4487" w:type="dxa"/>
            <w:shd w:val="clear" w:color="auto" w:fill="C6D9F1" w:themeFill="text2" w:themeFillTint="33"/>
            <w:vAlign w:val="center"/>
          </w:tcPr>
          <w:p w14:paraId="45065B8B" w14:textId="77777777" w:rsidR="0018563A" w:rsidRPr="00735705" w:rsidRDefault="0018563A" w:rsidP="00381DE1">
            <w:pPr>
              <w:spacing w:after="0" w:line="240" w:lineRule="auto"/>
              <w:jc w:val="center"/>
              <w:rPr>
                <w:rFonts w:ascii="Arial" w:hAnsi="Arial"/>
                <w:b w:val="0"/>
                <w:sz w:val="20"/>
                <w:szCs w:val="20"/>
              </w:rPr>
            </w:pPr>
            <w:r w:rsidRPr="00735705">
              <w:rPr>
                <w:rFonts w:ascii="Arial" w:hAnsi="Arial"/>
                <w:b w:val="0"/>
                <w:sz w:val="20"/>
                <w:szCs w:val="20"/>
              </w:rPr>
              <w:t>Mitigating actions</w:t>
            </w:r>
          </w:p>
        </w:tc>
        <w:tc>
          <w:tcPr>
            <w:tcW w:w="1769" w:type="dxa"/>
            <w:shd w:val="clear" w:color="auto" w:fill="C6D9F1" w:themeFill="text2" w:themeFillTint="33"/>
            <w:vAlign w:val="center"/>
          </w:tcPr>
          <w:p w14:paraId="1FF2C727" w14:textId="77777777" w:rsidR="0018563A" w:rsidRPr="00735705" w:rsidRDefault="0018563A" w:rsidP="00381DE1">
            <w:pPr>
              <w:spacing w:after="0" w:line="240" w:lineRule="auto"/>
              <w:jc w:val="center"/>
              <w:rPr>
                <w:rFonts w:ascii="Arial" w:hAnsi="Arial"/>
                <w:b w:val="0"/>
                <w:sz w:val="20"/>
                <w:szCs w:val="20"/>
              </w:rPr>
            </w:pPr>
            <w:r w:rsidRPr="00735705">
              <w:rPr>
                <w:rFonts w:ascii="Arial" w:hAnsi="Arial"/>
                <w:b w:val="0"/>
                <w:sz w:val="20"/>
                <w:szCs w:val="20"/>
              </w:rPr>
              <w:t>Timeline</w:t>
            </w:r>
          </w:p>
        </w:tc>
      </w:tr>
      <w:tr w:rsidR="00CB750E" w:rsidRPr="00735705" w14:paraId="67D1A10C" w14:textId="77777777" w:rsidTr="00C14003">
        <w:tblPrEx>
          <w:jc w:val="center"/>
        </w:tblPrEx>
        <w:trPr>
          <w:trHeight w:val="507"/>
          <w:jc w:val="center"/>
        </w:trPr>
        <w:tc>
          <w:tcPr>
            <w:tcW w:w="1586" w:type="dxa"/>
            <w:vAlign w:val="center"/>
          </w:tcPr>
          <w:p w14:paraId="0065E314" w14:textId="2AAF0228" w:rsidR="00805FEB" w:rsidRPr="00E03219" w:rsidRDefault="00805FEB" w:rsidP="00805FEB">
            <w:pPr>
              <w:spacing w:after="0" w:line="240" w:lineRule="auto"/>
              <w:rPr>
                <w:rFonts w:ascii="Arial" w:hAnsi="Arial"/>
                <w:b w:val="0"/>
                <w:iCs/>
              </w:rPr>
            </w:pPr>
            <w:r w:rsidRPr="00E03219">
              <w:rPr>
                <w:rFonts w:ascii="Arial" w:hAnsi="Arial"/>
                <w:b w:val="0"/>
                <w:iCs/>
                <w:lang w:val="en-GB"/>
              </w:rPr>
              <w:t>Programmatic / monitoring and evaluation risks</w:t>
            </w:r>
          </w:p>
        </w:tc>
        <w:tc>
          <w:tcPr>
            <w:tcW w:w="1615" w:type="dxa"/>
            <w:vAlign w:val="center"/>
          </w:tcPr>
          <w:p w14:paraId="5FC528D7" w14:textId="550E46FE" w:rsidR="00805FEB" w:rsidRPr="00E03219" w:rsidRDefault="00805FEB" w:rsidP="00805FEB">
            <w:pPr>
              <w:spacing w:after="0" w:line="240" w:lineRule="auto"/>
              <w:rPr>
                <w:rFonts w:ascii="Arial" w:hAnsi="Arial"/>
                <w:b w:val="0"/>
                <w:iCs/>
              </w:rPr>
            </w:pPr>
            <w:r w:rsidRPr="00E03219">
              <w:rPr>
                <w:rFonts w:ascii="Arial" w:eastAsia="SimSun" w:hAnsi="Arial"/>
                <w:b w:val="0"/>
                <w:lang w:eastAsia="zh-CN"/>
              </w:rPr>
              <w:t>Services volume and quality</w:t>
            </w:r>
          </w:p>
        </w:tc>
        <w:tc>
          <w:tcPr>
            <w:tcW w:w="4487" w:type="dxa"/>
            <w:vAlign w:val="center"/>
          </w:tcPr>
          <w:p w14:paraId="29BCB140" w14:textId="008A8232" w:rsidR="00805FEB" w:rsidRPr="00E03219" w:rsidRDefault="00805FEB" w:rsidP="004811FE">
            <w:pPr>
              <w:spacing w:after="0" w:line="240" w:lineRule="auto"/>
              <w:rPr>
                <w:rFonts w:ascii="Arial" w:hAnsi="Arial"/>
                <w:b w:val="0"/>
                <w:iCs/>
              </w:rPr>
            </w:pPr>
            <w:r w:rsidRPr="00E03219">
              <w:rPr>
                <w:rFonts w:ascii="Arial" w:hAnsi="Arial"/>
                <w:b w:val="0"/>
                <w:iCs/>
              </w:rPr>
              <w:t xml:space="preserve">The AIDS Center in </w:t>
            </w:r>
            <w:r w:rsidR="004811FE">
              <w:rPr>
                <w:rFonts w:ascii="Arial" w:hAnsi="Arial"/>
                <w:b w:val="0"/>
                <w:iCs/>
              </w:rPr>
              <w:t xml:space="preserve">earlier intervention </w:t>
            </w:r>
            <w:r w:rsidRPr="00E03219">
              <w:rPr>
                <w:rFonts w:ascii="Arial" w:hAnsi="Arial"/>
                <w:b w:val="0"/>
                <w:iCs/>
              </w:rPr>
              <w:t xml:space="preserve">sites obtain new role to contract NGO for service provision to KP; serious attention should be paid to prevent possible </w:t>
            </w:r>
            <w:r w:rsidR="009A6A66" w:rsidRPr="00E03219">
              <w:rPr>
                <w:rFonts w:ascii="Arial" w:hAnsi="Arial"/>
                <w:b w:val="0"/>
                <w:iCs/>
              </w:rPr>
              <w:t xml:space="preserve">delays </w:t>
            </w:r>
            <w:r w:rsidR="00E03219">
              <w:rPr>
                <w:rFonts w:ascii="Arial" w:hAnsi="Arial"/>
                <w:b w:val="0"/>
                <w:iCs/>
              </w:rPr>
              <w:t xml:space="preserve">in implementation </w:t>
            </w:r>
            <w:r w:rsidR="009A6A66" w:rsidRPr="00E03219">
              <w:rPr>
                <w:rFonts w:ascii="Arial" w:hAnsi="Arial"/>
                <w:b w:val="0"/>
                <w:iCs/>
              </w:rPr>
              <w:t xml:space="preserve">and </w:t>
            </w:r>
            <w:r w:rsidRPr="00E03219">
              <w:rPr>
                <w:rFonts w:ascii="Arial" w:hAnsi="Arial"/>
                <w:b w:val="0"/>
                <w:iCs/>
              </w:rPr>
              <w:t xml:space="preserve">decrease in </w:t>
            </w:r>
            <w:r w:rsidR="00BA4700" w:rsidRPr="00E03219">
              <w:rPr>
                <w:rFonts w:ascii="Arial" w:hAnsi="Arial"/>
                <w:b w:val="0"/>
                <w:iCs/>
              </w:rPr>
              <w:t xml:space="preserve">expected </w:t>
            </w:r>
            <w:r w:rsidRPr="00E03219">
              <w:rPr>
                <w:rFonts w:ascii="Arial" w:hAnsi="Arial"/>
                <w:b w:val="0"/>
                <w:iCs/>
              </w:rPr>
              <w:t>service coverage</w:t>
            </w:r>
            <w:r w:rsidR="00BA4700" w:rsidRPr="00E03219">
              <w:rPr>
                <w:rFonts w:ascii="Arial" w:hAnsi="Arial"/>
                <w:b w:val="0"/>
                <w:iCs/>
              </w:rPr>
              <w:t xml:space="preserve"> and quality</w:t>
            </w:r>
            <w:r w:rsidRPr="00E03219">
              <w:rPr>
                <w:rFonts w:ascii="Arial" w:hAnsi="Arial"/>
                <w:b w:val="0"/>
                <w:iCs/>
              </w:rPr>
              <w:t>.</w:t>
            </w:r>
            <w:r w:rsidR="009E5AC1" w:rsidRPr="00E03219">
              <w:rPr>
                <w:rFonts w:ascii="Arial" w:hAnsi="Arial"/>
                <w:b w:val="0"/>
                <w:iCs/>
              </w:rPr>
              <w:t xml:space="preserve"> The </w:t>
            </w:r>
            <w:r w:rsidR="00A66280">
              <w:rPr>
                <w:rFonts w:ascii="Arial" w:eastAsia="SimSun" w:hAnsi="Arial"/>
                <w:b w:val="0"/>
                <w:lang w:eastAsia="zh-CN"/>
              </w:rPr>
              <w:t>funding r</w:t>
            </w:r>
            <w:r w:rsidR="00F67433">
              <w:rPr>
                <w:rFonts w:ascii="Arial" w:eastAsia="SimSun" w:hAnsi="Arial"/>
                <w:b w:val="0"/>
                <w:lang w:eastAsia="zh-CN"/>
              </w:rPr>
              <w:t>equest</w:t>
            </w:r>
            <w:r w:rsidR="00F67433" w:rsidRPr="00223B98">
              <w:rPr>
                <w:rFonts w:ascii="Arial" w:eastAsia="SimSun" w:hAnsi="Arial"/>
                <w:b w:val="0"/>
                <w:lang w:eastAsia="zh-CN"/>
              </w:rPr>
              <w:t xml:space="preserve"> </w:t>
            </w:r>
            <w:r w:rsidR="009E5AC1" w:rsidRPr="00E03219">
              <w:rPr>
                <w:rFonts w:ascii="Arial" w:hAnsi="Arial"/>
                <w:b w:val="0"/>
                <w:iCs/>
              </w:rPr>
              <w:t xml:space="preserve">include strong </w:t>
            </w:r>
            <w:r w:rsidR="00BA4700" w:rsidRPr="00E03219">
              <w:rPr>
                <w:rFonts w:ascii="Arial" w:hAnsi="Arial"/>
                <w:b w:val="0"/>
                <w:iCs/>
              </w:rPr>
              <w:t>community monitoring and advocacy efforts designed to ensure that social contracting mechanisms are efficiently applied to provide services through NGOs in the volume and quality</w:t>
            </w:r>
            <w:r w:rsidR="00E03219" w:rsidRPr="00E03219">
              <w:rPr>
                <w:rFonts w:ascii="Arial" w:hAnsi="Arial"/>
                <w:b w:val="0"/>
                <w:iCs/>
              </w:rPr>
              <w:t xml:space="preserve"> required. </w:t>
            </w:r>
            <w:r w:rsidR="00BA4700" w:rsidRPr="00E03219">
              <w:rPr>
                <w:rFonts w:ascii="Arial" w:hAnsi="Arial"/>
                <w:b w:val="0"/>
                <w:iCs/>
              </w:rPr>
              <w:t xml:space="preserve"> </w:t>
            </w:r>
          </w:p>
        </w:tc>
        <w:tc>
          <w:tcPr>
            <w:tcW w:w="1769" w:type="dxa"/>
            <w:vAlign w:val="center"/>
          </w:tcPr>
          <w:p w14:paraId="46E8B0C0" w14:textId="05886715" w:rsidR="00805FEB" w:rsidRPr="00E03219" w:rsidRDefault="00405674" w:rsidP="00405674">
            <w:pPr>
              <w:spacing w:after="0" w:line="240" w:lineRule="auto"/>
              <w:rPr>
                <w:rFonts w:ascii="Arial" w:hAnsi="Arial"/>
                <w:b w:val="0"/>
                <w:iCs/>
              </w:rPr>
            </w:pPr>
            <w:r>
              <w:rPr>
                <w:rFonts w:ascii="Arial" w:hAnsi="Arial"/>
                <w:b w:val="0"/>
                <w:iCs/>
              </w:rPr>
              <w:t>Continuous m</w:t>
            </w:r>
            <w:r w:rsidR="00E03219" w:rsidRPr="00E03219">
              <w:rPr>
                <w:rFonts w:ascii="Arial" w:hAnsi="Arial"/>
                <w:b w:val="0"/>
                <w:iCs/>
              </w:rPr>
              <w:t xml:space="preserve">onitoring and advocacy over entire grant life. </w:t>
            </w:r>
          </w:p>
        </w:tc>
      </w:tr>
      <w:tr w:rsidR="00CB750E" w:rsidRPr="00735705" w14:paraId="3A164159" w14:textId="77777777" w:rsidTr="00C14003">
        <w:tblPrEx>
          <w:jc w:val="center"/>
        </w:tblPrEx>
        <w:trPr>
          <w:trHeight w:val="492"/>
          <w:jc w:val="center"/>
        </w:trPr>
        <w:tc>
          <w:tcPr>
            <w:tcW w:w="1586" w:type="dxa"/>
            <w:vAlign w:val="center"/>
          </w:tcPr>
          <w:p w14:paraId="336AD8C3" w14:textId="117DBB32" w:rsidR="00E26594" w:rsidRPr="00E03219" w:rsidRDefault="00805FEB" w:rsidP="00381DE1">
            <w:pPr>
              <w:spacing w:after="0" w:line="240" w:lineRule="auto"/>
              <w:rPr>
                <w:rFonts w:ascii="Arial" w:hAnsi="Arial"/>
                <w:b w:val="0"/>
                <w:iCs/>
              </w:rPr>
            </w:pPr>
            <w:r w:rsidRPr="00E03219">
              <w:rPr>
                <w:rFonts w:ascii="Arial" w:hAnsi="Arial"/>
                <w:b w:val="0"/>
                <w:iCs/>
                <w:lang w:val="en-GB"/>
              </w:rPr>
              <w:t>Programmatic / monitoring and evaluation risks</w:t>
            </w:r>
          </w:p>
        </w:tc>
        <w:tc>
          <w:tcPr>
            <w:tcW w:w="1615" w:type="dxa"/>
            <w:vAlign w:val="center"/>
          </w:tcPr>
          <w:p w14:paraId="250A7913" w14:textId="242BE4A8" w:rsidR="00E26594" w:rsidRPr="00E03219" w:rsidRDefault="00E26594" w:rsidP="00381DE1">
            <w:pPr>
              <w:spacing w:after="0" w:line="240" w:lineRule="auto"/>
              <w:rPr>
                <w:rFonts w:ascii="Arial" w:eastAsia="SimSun" w:hAnsi="Arial"/>
                <w:b w:val="0"/>
                <w:lang w:eastAsia="zh-CN"/>
              </w:rPr>
            </w:pPr>
            <w:r w:rsidRPr="00E03219">
              <w:rPr>
                <w:rFonts w:ascii="Arial" w:eastAsia="SimSun" w:hAnsi="Arial"/>
                <w:b w:val="0"/>
                <w:lang w:eastAsia="zh-CN"/>
              </w:rPr>
              <w:t xml:space="preserve">Sustainability </w:t>
            </w:r>
          </w:p>
        </w:tc>
        <w:tc>
          <w:tcPr>
            <w:tcW w:w="4487" w:type="dxa"/>
            <w:vAlign w:val="center"/>
          </w:tcPr>
          <w:p w14:paraId="1DD38547" w14:textId="47E291E2" w:rsidR="00E26594" w:rsidRPr="00CB750E" w:rsidRDefault="009E5AC1">
            <w:pPr>
              <w:spacing w:after="0" w:line="240" w:lineRule="auto"/>
              <w:rPr>
                <w:rFonts w:ascii="Arial" w:hAnsi="Arial"/>
                <w:b w:val="0"/>
                <w:iCs/>
              </w:rPr>
            </w:pPr>
            <w:r w:rsidRPr="00CB750E">
              <w:rPr>
                <w:rFonts w:ascii="Arial" w:hAnsi="Arial"/>
                <w:b w:val="0"/>
                <w:iCs/>
              </w:rPr>
              <w:t xml:space="preserve">There is risk that the Government will not fully institutionalize the social contracting mechanism for NGO-based service provision to KP within </w:t>
            </w:r>
            <w:r w:rsidR="00F67433">
              <w:rPr>
                <w:rFonts w:ascii="Arial" w:hAnsi="Arial"/>
                <w:b w:val="0"/>
                <w:iCs/>
              </w:rPr>
              <w:t>grant</w:t>
            </w:r>
            <w:r w:rsidR="00F67433" w:rsidRPr="00CB750E">
              <w:rPr>
                <w:rFonts w:ascii="Arial" w:hAnsi="Arial"/>
                <w:b w:val="0"/>
                <w:iCs/>
              </w:rPr>
              <w:t xml:space="preserve"> </w:t>
            </w:r>
            <w:r w:rsidR="00E03219" w:rsidRPr="00CB750E">
              <w:rPr>
                <w:rFonts w:ascii="Arial" w:hAnsi="Arial"/>
                <w:b w:val="0"/>
                <w:iCs/>
              </w:rPr>
              <w:t>life</w:t>
            </w:r>
            <w:r w:rsidRPr="00CB750E">
              <w:rPr>
                <w:rFonts w:ascii="Arial" w:hAnsi="Arial"/>
                <w:b w:val="0"/>
                <w:iCs/>
              </w:rPr>
              <w:t xml:space="preserve">. This will put at risk the continuation of social contracting beyond 2020 and replication of the mechanism in other oblast. To mitigate the </w:t>
            </w:r>
            <w:r w:rsidR="00BA4700" w:rsidRPr="00CB750E">
              <w:rPr>
                <w:rFonts w:ascii="Arial" w:hAnsi="Arial"/>
                <w:b w:val="0"/>
                <w:iCs/>
              </w:rPr>
              <w:t>risk,</w:t>
            </w:r>
            <w:r w:rsidRPr="00CB750E">
              <w:rPr>
                <w:rFonts w:ascii="Arial" w:hAnsi="Arial"/>
                <w:b w:val="0"/>
                <w:iCs/>
              </w:rPr>
              <w:t xml:space="preserve"> </w:t>
            </w:r>
            <w:r w:rsidR="0066556B" w:rsidRPr="00CB750E">
              <w:rPr>
                <w:rFonts w:ascii="Arial" w:hAnsi="Arial"/>
                <w:b w:val="0"/>
                <w:iCs/>
              </w:rPr>
              <w:t>t</w:t>
            </w:r>
            <w:r w:rsidR="00BA4700" w:rsidRPr="00CB750E">
              <w:rPr>
                <w:rFonts w:ascii="Arial" w:hAnsi="Arial"/>
                <w:b w:val="0"/>
                <w:iCs/>
              </w:rPr>
              <w:t xml:space="preserve">he TWG </w:t>
            </w:r>
            <w:r w:rsidR="0066556B" w:rsidRPr="00CB750E">
              <w:rPr>
                <w:rFonts w:ascii="Arial" w:hAnsi="Arial"/>
                <w:b w:val="0"/>
                <w:iCs/>
              </w:rPr>
              <w:t xml:space="preserve">under Akimat umbrella </w:t>
            </w:r>
            <w:r w:rsidR="00BA4700" w:rsidRPr="00CB750E">
              <w:rPr>
                <w:rFonts w:ascii="Arial" w:hAnsi="Arial"/>
                <w:b w:val="0"/>
                <w:iCs/>
              </w:rPr>
              <w:t xml:space="preserve">will meet regularly to </w:t>
            </w:r>
            <w:r w:rsidR="0066556B" w:rsidRPr="00CB750E">
              <w:rPr>
                <w:rFonts w:ascii="Arial" w:eastAsia="SimSun" w:hAnsi="Arial"/>
                <w:b w:val="0"/>
                <w:lang w:eastAsia="zh-CN"/>
              </w:rPr>
              <w:t xml:space="preserve">build the ground for development, implementation and institutionalization </w:t>
            </w:r>
            <w:r w:rsidR="00BA4700" w:rsidRPr="00CB750E">
              <w:rPr>
                <w:rFonts w:ascii="Arial" w:hAnsi="Arial"/>
                <w:b w:val="0"/>
                <w:iCs/>
              </w:rPr>
              <w:t>of social contracting mechanism</w:t>
            </w:r>
            <w:r w:rsidR="0066556B" w:rsidRPr="00CB750E">
              <w:rPr>
                <w:rFonts w:ascii="Arial" w:hAnsi="Arial"/>
                <w:b w:val="0"/>
                <w:iCs/>
              </w:rPr>
              <w:t xml:space="preserve"> and replication to other oblasts</w:t>
            </w:r>
            <w:r w:rsidR="00BA4700" w:rsidRPr="00CB750E">
              <w:rPr>
                <w:rFonts w:ascii="Arial" w:hAnsi="Arial"/>
                <w:b w:val="0"/>
                <w:iCs/>
              </w:rPr>
              <w:t>.</w:t>
            </w:r>
            <w:r w:rsidR="0066556B" w:rsidRPr="00CB750E">
              <w:rPr>
                <w:rFonts w:ascii="Arial" w:hAnsi="Arial"/>
                <w:b w:val="0"/>
                <w:iCs/>
              </w:rPr>
              <w:t xml:space="preserve"> </w:t>
            </w:r>
            <w:r w:rsidR="0066556B" w:rsidRPr="00CB750E">
              <w:rPr>
                <w:rFonts w:ascii="Arial" w:hAnsi="Arial"/>
                <w:b w:val="0"/>
                <w:iCs/>
              </w:rPr>
              <w:lastRenderedPageBreak/>
              <w:t xml:space="preserve">The transition </w:t>
            </w:r>
            <w:r w:rsidR="00CB750E" w:rsidRPr="00CB750E">
              <w:rPr>
                <w:rFonts w:ascii="Arial" w:hAnsi="Arial"/>
                <w:b w:val="0"/>
                <w:iCs/>
              </w:rPr>
              <w:t>readiness will be assessed and a transition plan with main focus on KP service, social contracting and other mechanisms of provision of services will be developed.</w:t>
            </w:r>
            <w:r w:rsidR="007B1460">
              <w:rPr>
                <w:rFonts w:ascii="Arial" w:hAnsi="Arial"/>
                <w:b w:val="0"/>
                <w:iCs/>
              </w:rPr>
              <w:t xml:space="preserve"> </w:t>
            </w:r>
            <w:r w:rsidRPr="00CB750E">
              <w:rPr>
                <w:rFonts w:ascii="Arial" w:hAnsi="Arial"/>
                <w:b w:val="0"/>
                <w:iCs/>
              </w:rPr>
              <w:t xml:space="preserve">In </w:t>
            </w:r>
            <w:r w:rsidR="00E03219" w:rsidRPr="00CB750E">
              <w:rPr>
                <w:rFonts w:ascii="Arial" w:hAnsi="Arial"/>
                <w:b w:val="0"/>
                <w:iCs/>
              </w:rPr>
              <w:t>addition,</w:t>
            </w:r>
            <w:r w:rsidRPr="00CB750E">
              <w:rPr>
                <w:rFonts w:ascii="Arial" w:hAnsi="Arial"/>
                <w:b w:val="0"/>
                <w:iCs/>
              </w:rPr>
              <w:t xml:space="preserve"> the community will </w:t>
            </w:r>
            <w:r w:rsidR="009A6A66" w:rsidRPr="00CB750E">
              <w:rPr>
                <w:rFonts w:ascii="Arial" w:hAnsi="Arial"/>
                <w:b w:val="0"/>
                <w:iCs/>
              </w:rPr>
              <w:t xml:space="preserve">exercise community control </w:t>
            </w:r>
            <w:r w:rsidR="00BA4700" w:rsidRPr="00CB750E">
              <w:rPr>
                <w:rFonts w:ascii="Arial" w:hAnsi="Arial"/>
                <w:b w:val="0"/>
                <w:iCs/>
              </w:rPr>
              <w:t xml:space="preserve">function </w:t>
            </w:r>
            <w:r w:rsidR="009A6A66" w:rsidRPr="00CB750E">
              <w:rPr>
                <w:rFonts w:ascii="Arial" w:hAnsi="Arial"/>
                <w:b w:val="0"/>
                <w:iCs/>
              </w:rPr>
              <w:t xml:space="preserve">over the planning and implementation </w:t>
            </w:r>
            <w:r w:rsidR="00BA4700" w:rsidRPr="00CB750E">
              <w:rPr>
                <w:rFonts w:ascii="Arial" w:hAnsi="Arial"/>
                <w:b w:val="0"/>
                <w:iCs/>
              </w:rPr>
              <w:t>and</w:t>
            </w:r>
            <w:r w:rsidR="009A6A66" w:rsidRPr="00CB750E">
              <w:rPr>
                <w:rFonts w:ascii="Arial" w:hAnsi="Arial"/>
                <w:b w:val="0"/>
                <w:iCs/>
              </w:rPr>
              <w:t xml:space="preserve"> </w:t>
            </w:r>
            <w:r w:rsidRPr="00CB750E">
              <w:rPr>
                <w:rFonts w:ascii="Arial" w:hAnsi="Arial"/>
                <w:b w:val="0"/>
                <w:iCs/>
              </w:rPr>
              <w:t>advocacy</w:t>
            </w:r>
            <w:r w:rsidR="00BA4700" w:rsidRPr="00CB750E">
              <w:rPr>
                <w:rFonts w:ascii="Arial" w:hAnsi="Arial"/>
                <w:b w:val="0"/>
                <w:iCs/>
              </w:rPr>
              <w:t xml:space="preserve"> </w:t>
            </w:r>
            <w:r w:rsidR="00BA4700" w:rsidRPr="00DD75B4">
              <w:rPr>
                <w:rFonts w:ascii="Arial" w:hAnsi="Arial"/>
                <w:b w:val="0"/>
                <w:iCs/>
              </w:rPr>
              <w:t>function</w:t>
            </w:r>
            <w:r w:rsidR="00DD75B4" w:rsidRPr="00DD75B4">
              <w:rPr>
                <w:rFonts w:ascii="Arial" w:hAnsi="Arial"/>
                <w:b w:val="0"/>
                <w:iCs/>
              </w:rPr>
              <w:t xml:space="preserve"> to </w:t>
            </w:r>
            <w:r w:rsidR="00DD75B4" w:rsidRPr="00765056">
              <w:rPr>
                <w:rFonts w:ascii="Arial" w:eastAsia="SimSun" w:hAnsi="Arial"/>
                <w:b w:val="0"/>
                <w:lang w:eastAsia="zh-CN"/>
              </w:rPr>
              <w:t>promote social contracting through consolidated advocacy effort at central and local level.</w:t>
            </w:r>
            <w:r w:rsidR="00BA4700" w:rsidRPr="00DD75B4">
              <w:rPr>
                <w:rFonts w:ascii="Arial" w:hAnsi="Arial"/>
                <w:b w:val="0"/>
                <w:iCs/>
              </w:rPr>
              <w:t xml:space="preserve"> </w:t>
            </w:r>
            <w:r w:rsidRPr="00DD75B4">
              <w:rPr>
                <w:rFonts w:ascii="Arial" w:hAnsi="Arial"/>
                <w:b w:val="0"/>
                <w:iCs/>
              </w:rPr>
              <w:t xml:space="preserve">  </w:t>
            </w:r>
          </w:p>
        </w:tc>
        <w:tc>
          <w:tcPr>
            <w:tcW w:w="1769" w:type="dxa"/>
            <w:vAlign w:val="center"/>
          </w:tcPr>
          <w:p w14:paraId="56ACB12F" w14:textId="0C0FFBAA" w:rsidR="00E26594" w:rsidRPr="00CB750E" w:rsidRDefault="00CB750E" w:rsidP="00CB750E">
            <w:pPr>
              <w:spacing w:after="0" w:line="240" w:lineRule="auto"/>
              <w:rPr>
                <w:rFonts w:ascii="Arial" w:hAnsi="Arial"/>
                <w:b w:val="0"/>
                <w:iCs/>
              </w:rPr>
            </w:pPr>
            <w:r w:rsidRPr="00CB750E">
              <w:rPr>
                <w:rFonts w:ascii="Arial" w:hAnsi="Arial"/>
                <w:b w:val="0"/>
                <w:iCs/>
              </w:rPr>
              <w:lastRenderedPageBreak/>
              <w:t>C</w:t>
            </w:r>
            <w:r w:rsidR="00BA4700" w:rsidRPr="00CB750E">
              <w:rPr>
                <w:rFonts w:ascii="Arial" w:hAnsi="Arial"/>
                <w:b w:val="0"/>
                <w:iCs/>
              </w:rPr>
              <w:t>ontinuous over grant life</w:t>
            </w:r>
            <w:r w:rsidRPr="00CB750E">
              <w:rPr>
                <w:rFonts w:ascii="Arial" w:hAnsi="Arial"/>
                <w:b w:val="0"/>
                <w:iCs/>
              </w:rPr>
              <w:t>. Transition readiness assessment and transition plan development are scheduled for Y2 and 3.</w:t>
            </w:r>
            <w:r w:rsidR="00BA4700" w:rsidRPr="00CB750E">
              <w:rPr>
                <w:rFonts w:ascii="Arial" w:hAnsi="Arial"/>
                <w:b w:val="0"/>
                <w:iCs/>
              </w:rPr>
              <w:t xml:space="preserve"> </w:t>
            </w:r>
          </w:p>
        </w:tc>
      </w:tr>
      <w:tr w:rsidR="00DD75B4" w:rsidRPr="00DD75B4" w14:paraId="59D0CADD" w14:textId="77777777" w:rsidTr="00C14003">
        <w:tblPrEx>
          <w:jc w:val="center"/>
        </w:tblPrEx>
        <w:trPr>
          <w:trHeight w:val="556"/>
          <w:jc w:val="center"/>
        </w:trPr>
        <w:tc>
          <w:tcPr>
            <w:tcW w:w="1586" w:type="dxa"/>
            <w:vAlign w:val="center"/>
          </w:tcPr>
          <w:p w14:paraId="767A8232" w14:textId="5A035FFE" w:rsidR="00E03219" w:rsidRPr="00765056" w:rsidRDefault="00E03219" w:rsidP="00381DE1">
            <w:pPr>
              <w:spacing w:after="0" w:line="240" w:lineRule="auto"/>
              <w:rPr>
                <w:rFonts w:ascii="Arial" w:hAnsi="Arial"/>
                <w:b w:val="0"/>
                <w:bCs/>
                <w:iCs/>
              </w:rPr>
            </w:pPr>
            <w:r w:rsidRPr="00765056">
              <w:rPr>
                <w:rFonts w:ascii="Arial" w:hAnsi="Arial"/>
                <w:b w:val="0"/>
                <w:iCs/>
                <w:lang w:val="en-GB"/>
              </w:rPr>
              <w:lastRenderedPageBreak/>
              <w:t>Procurement and supply management risks</w:t>
            </w:r>
            <w:r w:rsidR="005310A4" w:rsidRPr="00765056">
              <w:rPr>
                <w:rFonts w:ascii="Arial" w:hAnsi="Arial"/>
                <w:b w:val="0"/>
                <w:iCs/>
                <w:lang w:val="en-GB"/>
              </w:rPr>
              <w:t xml:space="preserve"> due matching of funds from domestic resources for prevention supplies</w:t>
            </w:r>
          </w:p>
        </w:tc>
        <w:tc>
          <w:tcPr>
            <w:tcW w:w="1615" w:type="dxa"/>
            <w:vAlign w:val="center"/>
          </w:tcPr>
          <w:p w14:paraId="54E1B6B8" w14:textId="37EB92A2" w:rsidR="00E03219" w:rsidRPr="00765056" w:rsidRDefault="00E03219" w:rsidP="00381DE1">
            <w:pPr>
              <w:spacing w:after="0" w:line="240" w:lineRule="auto"/>
              <w:rPr>
                <w:rFonts w:ascii="Arial" w:eastAsia="SimSun" w:hAnsi="Arial"/>
                <w:b w:val="0"/>
                <w:lang w:eastAsia="zh-CN"/>
              </w:rPr>
            </w:pPr>
            <w:r w:rsidRPr="00765056">
              <w:rPr>
                <w:rFonts w:ascii="Arial" w:eastAsia="SimSun" w:hAnsi="Arial"/>
                <w:b w:val="0"/>
                <w:lang w:eastAsia="zh-CN"/>
              </w:rPr>
              <w:t xml:space="preserve">Services utilization </w:t>
            </w:r>
          </w:p>
        </w:tc>
        <w:tc>
          <w:tcPr>
            <w:tcW w:w="4487" w:type="dxa"/>
            <w:vAlign w:val="center"/>
          </w:tcPr>
          <w:p w14:paraId="722B82BD" w14:textId="4E868BC2" w:rsidR="00E03219" w:rsidRPr="00765056" w:rsidRDefault="00E03219">
            <w:pPr>
              <w:spacing w:after="0" w:line="240" w:lineRule="auto"/>
              <w:rPr>
                <w:rFonts w:ascii="Arial" w:hAnsi="Arial"/>
                <w:b w:val="0"/>
                <w:lang w:val="en-GB"/>
              </w:rPr>
            </w:pPr>
            <w:r w:rsidRPr="00765056">
              <w:rPr>
                <w:rFonts w:ascii="Arial" w:hAnsi="Arial"/>
                <w:b w:val="0"/>
                <w:lang w:val="en-GB"/>
              </w:rPr>
              <w:t xml:space="preserve">AIDS Centers will procure from domestic funds and provide health products for NGOs-based service provision. The main risk related to PSM </w:t>
            </w:r>
            <w:r w:rsidR="00DD75B4" w:rsidRPr="00765056">
              <w:rPr>
                <w:rFonts w:ascii="Arial" w:hAnsi="Arial"/>
                <w:b w:val="0"/>
                <w:lang w:val="en-GB"/>
              </w:rPr>
              <w:t xml:space="preserve">from domestic matched funds </w:t>
            </w:r>
            <w:r w:rsidRPr="00765056">
              <w:rPr>
                <w:rFonts w:ascii="Arial" w:hAnsi="Arial"/>
                <w:b w:val="0"/>
                <w:lang w:val="en-GB"/>
              </w:rPr>
              <w:t xml:space="preserve">are </w:t>
            </w:r>
            <w:r w:rsidR="006F76C6" w:rsidRPr="00765056">
              <w:rPr>
                <w:rFonts w:ascii="Arial" w:hAnsi="Arial"/>
                <w:b w:val="0"/>
                <w:lang w:val="en-GB"/>
              </w:rPr>
              <w:t xml:space="preserve">linked </w:t>
            </w:r>
            <w:r w:rsidRPr="00765056">
              <w:rPr>
                <w:rFonts w:ascii="Arial" w:hAnsi="Arial"/>
                <w:b w:val="0"/>
                <w:lang w:val="en-GB"/>
              </w:rPr>
              <w:t xml:space="preserve">to prevention commodities (syringes and other injecting equipment, condoms and lubricants) for focused prevention activities among KPs. The relevant AIDS Centers personnel need to be sensitized regarding the specific quality requirements by key populations to the procured prevention commodities. Ignoring these requirements may lead to a significant decrease in service utilization. This risk can be eliminated through </w:t>
            </w:r>
            <w:r w:rsidR="006F76C6" w:rsidRPr="00765056">
              <w:rPr>
                <w:rFonts w:ascii="Arial" w:hAnsi="Arial"/>
                <w:b w:val="0"/>
                <w:lang w:val="en-GB"/>
              </w:rPr>
              <w:t xml:space="preserve">involvement of NGO service delivery organizations in development of technical specifications and </w:t>
            </w:r>
            <w:r w:rsidR="0031652B" w:rsidRPr="00765056">
              <w:rPr>
                <w:rFonts w:ascii="Arial" w:hAnsi="Arial"/>
                <w:b w:val="0"/>
                <w:lang w:val="en-GB"/>
              </w:rPr>
              <w:t>knowledge</w:t>
            </w:r>
            <w:r w:rsidRPr="00765056">
              <w:rPr>
                <w:rFonts w:ascii="Arial" w:hAnsi="Arial"/>
                <w:b w:val="0"/>
                <w:lang w:val="en-GB"/>
              </w:rPr>
              <w:t xml:space="preserve"> transfer to </w:t>
            </w:r>
            <w:r w:rsidR="006F76C6" w:rsidRPr="00765056">
              <w:rPr>
                <w:rFonts w:ascii="Arial" w:hAnsi="Arial"/>
                <w:b w:val="0"/>
                <w:lang w:val="en-GB"/>
              </w:rPr>
              <w:t xml:space="preserve">AIDS Centers, </w:t>
            </w:r>
            <w:r w:rsidR="0077535A" w:rsidRPr="00765056">
              <w:rPr>
                <w:rFonts w:ascii="Arial" w:hAnsi="Arial"/>
                <w:b w:val="0"/>
                <w:lang w:val="en-GB"/>
              </w:rPr>
              <w:t xml:space="preserve">continuous monitoring of users’ satisfaction </w:t>
            </w:r>
            <w:r w:rsidR="0031652B" w:rsidRPr="00765056">
              <w:rPr>
                <w:rFonts w:ascii="Arial" w:hAnsi="Arial"/>
                <w:b w:val="0"/>
                <w:lang w:val="en-GB"/>
              </w:rPr>
              <w:t xml:space="preserve">and </w:t>
            </w:r>
            <w:r w:rsidR="006F76C6" w:rsidRPr="00765056">
              <w:rPr>
                <w:rFonts w:ascii="Arial" w:hAnsi="Arial"/>
                <w:b w:val="0"/>
                <w:lang w:val="en-GB"/>
              </w:rPr>
              <w:t xml:space="preserve">signalling of </w:t>
            </w:r>
            <w:r w:rsidR="0031652B" w:rsidRPr="00765056">
              <w:rPr>
                <w:rFonts w:ascii="Arial" w:hAnsi="Arial"/>
                <w:b w:val="0"/>
                <w:lang w:val="en-GB"/>
              </w:rPr>
              <w:t xml:space="preserve">sub-optimal quality </w:t>
            </w:r>
            <w:r w:rsidR="0077535A" w:rsidRPr="00765056">
              <w:rPr>
                <w:rFonts w:ascii="Arial" w:hAnsi="Arial"/>
                <w:b w:val="0"/>
                <w:lang w:val="en-GB"/>
              </w:rPr>
              <w:t xml:space="preserve">that is part of the community-based monitoring design provided by the </w:t>
            </w:r>
            <w:r w:rsidR="00A66280" w:rsidRPr="00765056">
              <w:rPr>
                <w:rFonts w:ascii="Arial" w:eastAsia="SimSun" w:hAnsi="Arial"/>
                <w:b w:val="0"/>
                <w:lang w:eastAsia="zh-CN"/>
              </w:rPr>
              <w:t>f</w:t>
            </w:r>
            <w:r w:rsidR="00F67433" w:rsidRPr="00765056">
              <w:rPr>
                <w:rFonts w:ascii="Arial" w:eastAsia="SimSun" w:hAnsi="Arial"/>
                <w:b w:val="0"/>
                <w:lang w:eastAsia="zh-CN"/>
              </w:rPr>
              <w:t xml:space="preserve">unding </w:t>
            </w:r>
            <w:r w:rsidR="00A66280" w:rsidRPr="00765056">
              <w:rPr>
                <w:rFonts w:ascii="Arial" w:eastAsia="SimSun" w:hAnsi="Arial"/>
                <w:b w:val="0"/>
                <w:lang w:eastAsia="zh-CN"/>
              </w:rPr>
              <w:t>r</w:t>
            </w:r>
            <w:r w:rsidR="00F67433" w:rsidRPr="00765056">
              <w:rPr>
                <w:rFonts w:ascii="Arial" w:eastAsia="SimSun" w:hAnsi="Arial"/>
                <w:b w:val="0"/>
                <w:lang w:eastAsia="zh-CN"/>
              </w:rPr>
              <w:t>equest</w:t>
            </w:r>
            <w:r w:rsidR="0077535A" w:rsidRPr="00765056">
              <w:rPr>
                <w:rFonts w:ascii="Arial" w:hAnsi="Arial"/>
                <w:b w:val="0"/>
                <w:lang w:val="en-GB"/>
              </w:rPr>
              <w:t xml:space="preserve">. </w:t>
            </w:r>
          </w:p>
        </w:tc>
        <w:tc>
          <w:tcPr>
            <w:tcW w:w="1769" w:type="dxa"/>
            <w:vAlign w:val="center"/>
          </w:tcPr>
          <w:p w14:paraId="0A437AF5" w14:textId="6CF85FBB" w:rsidR="00E03219" w:rsidRPr="00DD75B4" w:rsidRDefault="0077535A" w:rsidP="0077535A">
            <w:pPr>
              <w:spacing w:after="0" w:line="240" w:lineRule="auto"/>
              <w:rPr>
                <w:rFonts w:ascii="Arial" w:eastAsia="SimSun" w:hAnsi="Arial"/>
                <w:b w:val="0"/>
                <w:lang w:eastAsia="zh-CN"/>
              </w:rPr>
            </w:pPr>
            <w:r w:rsidRPr="00DD75B4">
              <w:rPr>
                <w:rFonts w:ascii="Arial" w:hAnsi="Arial"/>
                <w:b w:val="0"/>
                <w:iCs/>
                <w:lang w:val="en-GB"/>
              </w:rPr>
              <w:t xml:space="preserve">Continuous users’ satisfaction community based monitoring, discussion of finding with decision makers and share of knowledge and learning during grant life. </w:t>
            </w:r>
          </w:p>
        </w:tc>
      </w:tr>
      <w:tr w:rsidR="00320C1F" w:rsidRPr="00735705" w14:paraId="4510F132" w14:textId="77777777" w:rsidTr="00C14003">
        <w:tblPrEx>
          <w:jc w:val="center"/>
        </w:tblPrEx>
        <w:trPr>
          <w:trHeight w:val="556"/>
          <w:jc w:val="center"/>
        </w:trPr>
        <w:tc>
          <w:tcPr>
            <w:tcW w:w="1586" w:type="dxa"/>
            <w:vAlign w:val="center"/>
          </w:tcPr>
          <w:p w14:paraId="0A8FBD1F" w14:textId="492F6CA8" w:rsidR="00320C1F" w:rsidRPr="00320C1F" w:rsidRDefault="00320C1F" w:rsidP="00381DE1">
            <w:pPr>
              <w:spacing w:after="0" w:line="240" w:lineRule="auto"/>
              <w:rPr>
                <w:rFonts w:ascii="Arial" w:hAnsi="Arial"/>
                <w:b w:val="0"/>
                <w:lang w:val="en-GB"/>
              </w:rPr>
            </w:pPr>
            <w:r w:rsidRPr="00320C1F">
              <w:rPr>
                <w:rFonts w:ascii="Arial" w:hAnsi="Arial"/>
                <w:b w:val="0"/>
                <w:lang w:val="en-GB"/>
              </w:rPr>
              <w:t>Governance and program management risks</w:t>
            </w:r>
          </w:p>
        </w:tc>
        <w:tc>
          <w:tcPr>
            <w:tcW w:w="1615" w:type="dxa"/>
            <w:vAlign w:val="center"/>
          </w:tcPr>
          <w:p w14:paraId="4756F7B2" w14:textId="4D37B45C" w:rsidR="00320C1F" w:rsidRPr="00320C1F" w:rsidRDefault="00320C1F" w:rsidP="00381DE1">
            <w:pPr>
              <w:spacing w:after="0" w:line="240" w:lineRule="auto"/>
              <w:rPr>
                <w:rFonts w:ascii="Arial" w:hAnsi="Arial"/>
                <w:b w:val="0"/>
                <w:lang w:val="en-GB"/>
              </w:rPr>
            </w:pPr>
            <w:r w:rsidRPr="00320C1F">
              <w:rPr>
                <w:rFonts w:ascii="Arial" w:hAnsi="Arial"/>
                <w:b w:val="0"/>
                <w:lang w:val="en-GB"/>
              </w:rPr>
              <w:t>KPs involvement</w:t>
            </w:r>
          </w:p>
        </w:tc>
        <w:tc>
          <w:tcPr>
            <w:tcW w:w="4487" w:type="dxa"/>
            <w:vAlign w:val="center"/>
          </w:tcPr>
          <w:p w14:paraId="6E6952A9" w14:textId="284BD215" w:rsidR="00320C1F" w:rsidRPr="00320C1F" w:rsidRDefault="00320C1F" w:rsidP="001A1619">
            <w:pPr>
              <w:spacing w:after="0" w:line="240" w:lineRule="auto"/>
              <w:rPr>
                <w:rFonts w:ascii="Arial" w:hAnsi="Arial"/>
                <w:b w:val="0"/>
                <w:lang w:val="en-GB"/>
              </w:rPr>
            </w:pPr>
            <w:r w:rsidRPr="00320C1F">
              <w:rPr>
                <w:rFonts w:ascii="Arial" w:hAnsi="Arial"/>
                <w:b w:val="0"/>
                <w:lang w:val="en-GB"/>
              </w:rPr>
              <w:t xml:space="preserve">The risk of poor KPs </w:t>
            </w:r>
            <w:r>
              <w:rPr>
                <w:rFonts w:ascii="Arial" w:hAnsi="Arial"/>
                <w:b w:val="0"/>
                <w:lang w:val="en-GB"/>
              </w:rPr>
              <w:t xml:space="preserve">involvement in issue related to access, equity and quality of services under social contracting mechanism. </w:t>
            </w:r>
            <w:r w:rsidRPr="00320C1F">
              <w:rPr>
                <w:rFonts w:ascii="Arial" w:hAnsi="Arial"/>
                <w:b w:val="0"/>
                <w:lang w:val="en-GB"/>
              </w:rPr>
              <w:t xml:space="preserve">This will be eliminated through the </w:t>
            </w:r>
            <w:r>
              <w:rPr>
                <w:rFonts w:ascii="Arial" w:hAnsi="Arial"/>
                <w:b w:val="0"/>
                <w:lang w:val="en-GB"/>
              </w:rPr>
              <w:t xml:space="preserve">community based monitoring that will target </w:t>
            </w:r>
            <w:r w:rsidRPr="00320C1F">
              <w:rPr>
                <w:rFonts w:ascii="Arial" w:hAnsi="Arial"/>
                <w:b w:val="0"/>
                <w:lang w:val="en-GB"/>
              </w:rPr>
              <w:t>social contracting impl</w:t>
            </w:r>
            <w:r>
              <w:rPr>
                <w:rFonts w:ascii="Arial" w:hAnsi="Arial"/>
                <w:b w:val="0"/>
                <w:lang w:val="en-GB"/>
              </w:rPr>
              <w:t>ementation, quality of services and</w:t>
            </w:r>
            <w:r w:rsidRPr="00320C1F">
              <w:rPr>
                <w:rFonts w:ascii="Arial" w:hAnsi="Arial"/>
                <w:b w:val="0"/>
                <w:lang w:val="en-GB"/>
              </w:rPr>
              <w:t xml:space="preserve"> users' satisfaction, </w:t>
            </w:r>
            <w:r>
              <w:rPr>
                <w:rFonts w:ascii="Arial" w:hAnsi="Arial"/>
                <w:b w:val="0"/>
                <w:lang w:val="en-GB"/>
              </w:rPr>
              <w:t>and bring the message</w:t>
            </w:r>
            <w:r w:rsidR="001A1619">
              <w:rPr>
                <w:rFonts w:ascii="Arial" w:hAnsi="Arial"/>
                <w:b w:val="0"/>
                <w:lang w:val="en-GB"/>
              </w:rPr>
              <w:t>s</w:t>
            </w:r>
            <w:r>
              <w:rPr>
                <w:rFonts w:ascii="Arial" w:hAnsi="Arial"/>
                <w:b w:val="0"/>
                <w:lang w:val="en-GB"/>
              </w:rPr>
              <w:t xml:space="preserve"> voiced by KP </w:t>
            </w:r>
            <w:r w:rsidR="001A1619">
              <w:rPr>
                <w:rFonts w:ascii="Arial" w:hAnsi="Arial"/>
                <w:b w:val="0"/>
                <w:lang w:val="en-GB"/>
              </w:rPr>
              <w:t>to</w:t>
            </w:r>
            <w:r w:rsidR="001A1619" w:rsidRPr="001A1619">
              <w:rPr>
                <w:rFonts w:ascii="Arial" w:hAnsi="Arial"/>
                <w:b w:val="0"/>
                <w:lang w:val="en-GB"/>
              </w:rPr>
              <w:t xml:space="preserve"> </w:t>
            </w:r>
            <w:r w:rsidR="001A1619">
              <w:rPr>
                <w:rFonts w:ascii="Arial" w:hAnsi="Arial"/>
                <w:b w:val="0"/>
                <w:lang w:val="en-GB"/>
              </w:rPr>
              <w:t xml:space="preserve">decision maker from </w:t>
            </w:r>
            <w:r w:rsidR="001A1619" w:rsidRPr="001A1619">
              <w:rPr>
                <w:rFonts w:ascii="Arial" w:hAnsi="Arial"/>
                <w:b w:val="0"/>
                <w:lang w:val="en-GB"/>
              </w:rPr>
              <w:t>Akimats, RACs</w:t>
            </w:r>
            <w:r w:rsidR="001A1619">
              <w:rPr>
                <w:rFonts w:ascii="Arial" w:hAnsi="Arial"/>
                <w:b w:val="0"/>
                <w:lang w:val="en-GB"/>
              </w:rPr>
              <w:t xml:space="preserve"> and feed </w:t>
            </w:r>
            <w:r w:rsidR="001A1619" w:rsidRPr="001A1619">
              <w:rPr>
                <w:rFonts w:ascii="Arial" w:hAnsi="Arial"/>
                <w:b w:val="0"/>
                <w:lang w:val="en-GB"/>
              </w:rPr>
              <w:t>identif</w:t>
            </w:r>
            <w:r w:rsidR="001A1619">
              <w:rPr>
                <w:rFonts w:ascii="Arial" w:hAnsi="Arial"/>
                <w:b w:val="0"/>
                <w:lang w:val="en-GB"/>
              </w:rPr>
              <w:t xml:space="preserve">ication of </w:t>
            </w:r>
            <w:r w:rsidR="001A1619" w:rsidRPr="001A1619">
              <w:rPr>
                <w:rFonts w:ascii="Arial" w:hAnsi="Arial"/>
                <w:b w:val="0"/>
                <w:lang w:val="en-GB"/>
              </w:rPr>
              <w:t>measures to remove barriers for efficient community based service provision to KAP through social contracting</w:t>
            </w:r>
            <w:r w:rsidR="001A1619">
              <w:rPr>
                <w:rFonts w:ascii="Arial" w:hAnsi="Arial"/>
                <w:b w:val="0"/>
                <w:lang w:val="en-GB"/>
              </w:rPr>
              <w:t>.</w:t>
            </w:r>
          </w:p>
        </w:tc>
        <w:tc>
          <w:tcPr>
            <w:tcW w:w="1769" w:type="dxa"/>
            <w:vAlign w:val="center"/>
          </w:tcPr>
          <w:p w14:paraId="599505EB" w14:textId="34BD084B" w:rsidR="00320C1F" w:rsidRPr="00320C1F" w:rsidRDefault="001A1619" w:rsidP="00BA4700">
            <w:pPr>
              <w:spacing w:after="0" w:line="240" w:lineRule="auto"/>
              <w:rPr>
                <w:rFonts w:ascii="Arial" w:eastAsia="SimSun" w:hAnsi="Arial"/>
                <w:b w:val="0"/>
                <w:highlight w:val="yellow"/>
                <w:lang w:eastAsia="zh-CN"/>
              </w:rPr>
            </w:pPr>
            <w:r>
              <w:rPr>
                <w:rFonts w:ascii="Arial" w:hAnsi="Arial"/>
                <w:b w:val="0"/>
                <w:iCs/>
              </w:rPr>
              <w:t>Continuous</w:t>
            </w:r>
            <w:r w:rsidRPr="00E03219">
              <w:rPr>
                <w:rFonts w:ascii="Arial" w:hAnsi="Arial"/>
                <w:b w:val="0"/>
                <w:iCs/>
              </w:rPr>
              <w:t xml:space="preserve"> over grant life.</w:t>
            </w:r>
          </w:p>
        </w:tc>
      </w:tr>
    </w:tbl>
    <w:p w14:paraId="4032BF54" w14:textId="028836BC" w:rsidR="0048135A" w:rsidRPr="00735705" w:rsidRDefault="0048135A">
      <w:pPr>
        <w:spacing w:after="0" w:line="240" w:lineRule="auto"/>
        <w:rPr>
          <w:rFonts w:ascii="Arial" w:hAnsi="Arial"/>
          <w:b w:val="0"/>
          <w:sz w:val="20"/>
          <w:szCs w:val="20"/>
        </w:rPr>
      </w:pPr>
    </w:p>
    <w:tbl>
      <w:tblPr>
        <w:tblW w:w="9022"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0A0" w:firstRow="1" w:lastRow="0" w:firstColumn="1" w:lastColumn="0" w:noHBand="0" w:noVBand="0"/>
      </w:tblPr>
      <w:tblGrid>
        <w:gridCol w:w="9022"/>
      </w:tblGrid>
      <w:tr w:rsidR="00F87AEE" w:rsidRPr="00735705" w14:paraId="4B48B077" w14:textId="77777777" w:rsidTr="00224E10">
        <w:trPr>
          <w:trHeight w:val="423"/>
          <w:jc w:val="center"/>
        </w:trPr>
        <w:tc>
          <w:tcPr>
            <w:tcW w:w="9022" w:type="dxa"/>
            <w:shd w:val="clear" w:color="auto" w:fill="1F497D"/>
            <w:vAlign w:val="center"/>
          </w:tcPr>
          <w:p w14:paraId="3EEDFE7C" w14:textId="77777777" w:rsidR="00F87AEE" w:rsidRPr="00735705" w:rsidRDefault="00F87AEE" w:rsidP="00224E10">
            <w:pPr>
              <w:spacing w:after="0" w:line="240" w:lineRule="auto"/>
              <w:rPr>
                <w:rFonts w:ascii="Arial" w:hAnsi="Arial"/>
                <w:b w:val="0"/>
                <w:bCs/>
                <w:color w:val="FFFFFF"/>
                <w:sz w:val="20"/>
                <w:szCs w:val="20"/>
              </w:rPr>
            </w:pPr>
            <w:r w:rsidRPr="00735705">
              <w:rPr>
                <w:rFonts w:ascii="Arial" w:eastAsia="SimSun" w:hAnsi="Arial"/>
                <w:b w:val="0"/>
                <w:color w:val="FFFFFF"/>
                <w:sz w:val="20"/>
                <w:szCs w:val="20"/>
                <w:lang w:eastAsia="zh-CN"/>
              </w:rPr>
              <w:t>SECTION 4: FUNDING LANDSCAPE, CO-FINANCING AND SUSTAINABILITY</w:t>
            </w:r>
          </w:p>
        </w:tc>
      </w:tr>
      <w:tr w:rsidR="00F87AEE" w:rsidRPr="00735705" w14:paraId="2645AE41" w14:textId="77777777" w:rsidTr="00224E10">
        <w:trPr>
          <w:trHeight w:val="408"/>
          <w:jc w:val="center"/>
        </w:trPr>
        <w:tc>
          <w:tcPr>
            <w:tcW w:w="9022" w:type="dxa"/>
            <w:shd w:val="clear" w:color="auto" w:fill="F2F2F2" w:themeFill="background1" w:themeFillShade="F2"/>
            <w:vAlign w:val="center"/>
          </w:tcPr>
          <w:p w14:paraId="146CA013" w14:textId="5692EA32" w:rsidR="00F87AEE" w:rsidRPr="00735705" w:rsidRDefault="00F87AEE" w:rsidP="00224E10">
            <w:pPr>
              <w:spacing w:after="0" w:line="240" w:lineRule="auto"/>
              <w:jc w:val="both"/>
              <w:rPr>
                <w:rFonts w:ascii="Arial" w:hAnsi="Arial"/>
                <w:b w:val="0"/>
                <w:bCs/>
                <w:iCs/>
                <w:sz w:val="20"/>
                <w:szCs w:val="20"/>
              </w:rPr>
            </w:pPr>
            <w:r w:rsidRPr="00735705">
              <w:rPr>
                <w:rFonts w:ascii="Arial" w:hAnsi="Arial"/>
                <w:b w:val="0"/>
                <w:bCs/>
                <w:iCs/>
                <w:sz w:val="20"/>
                <w:szCs w:val="20"/>
              </w:rPr>
              <w:t>This section details trends in overall health financing, government commitments to co-financing, and key plans for sustainability. Refer the Funding Landscape Table(s) and supporting documents as applicable.</w:t>
            </w:r>
            <w:r w:rsidR="009E3336" w:rsidRPr="00735705">
              <w:rPr>
                <w:rFonts w:ascii="Arial" w:hAnsi="Arial"/>
                <w:b w:val="0"/>
                <w:bCs/>
                <w:iCs/>
                <w:sz w:val="20"/>
                <w:szCs w:val="20"/>
              </w:rPr>
              <w:t xml:space="preserve"> </w:t>
            </w:r>
            <w:r w:rsidRPr="00735705">
              <w:rPr>
                <w:rFonts w:ascii="Arial" w:hAnsi="Arial"/>
                <w:b w:val="0"/>
                <w:bCs/>
                <w:iCs/>
                <w:sz w:val="20"/>
                <w:szCs w:val="20"/>
              </w:rPr>
              <w:t xml:space="preserve">To respond, refer to </w:t>
            </w:r>
            <w:r w:rsidR="001A43EA" w:rsidRPr="00735705">
              <w:rPr>
                <w:rFonts w:ascii="Arial" w:hAnsi="Arial"/>
                <w:b w:val="0"/>
                <w:bCs/>
                <w:iCs/>
                <w:sz w:val="20"/>
                <w:szCs w:val="20"/>
              </w:rPr>
              <w:t xml:space="preserve">additional </w:t>
            </w:r>
            <w:r w:rsidRPr="00735705">
              <w:rPr>
                <w:rFonts w:ascii="Arial" w:hAnsi="Arial"/>
                <w:b w:val="0"/>
                <w:bCs/>
                <w:iCs/>
                <w:sz w:val="20"/>
                <w:szCs w:val="20"/>
              </w:rPr>
              <w:t xml:space="preserve">guidance provided in the </w:t>
            </w:r>
            <w:r w:rsidRPr="00735705">
              <w:rPr>
                <w:rFonts w:ascii="Arial" w:hAnsi="Arial"/>
                <w:b w:val="0"/>
                <w:bCs/>
                <w:i/>
                <w:iCs/>
                <w:sz w:val="20"/>
                <w:szCs w:val="20"/>
                <w:lang w:val="en-GB"/>
              </w:rPr>
              <w:t>Instructions</w:t>
            </w:r>
            <w:r w:rsidR="000D4A2D" w:rsidRPr="00735705">
              <w:rPr>
                <w:rFonts w:ascii="Arial" w:hAnsi="Arial"/>
                <w:b w:val="0"/>
                <w:bCs/>
                <w:i/>
                <w:iCs/>
                <w:sz w:val="20"/>
                <w:szCs w:val="20"/>
                <w:lang w:val="en-GB"/>
              </w:rPr>
              <w:t>.</w:t>
            </w:r>
          </w:p>
        </w:tc>
      </w:tr>
    </w:tbl>
    <w:p w14:paraId="5A3AB3AD" w14:textId="77777777" w:rsidR="00F87AEE" w:rsidRPr="00224E10" w:rsidRDefault="00F87AEE" w:rsidP="00224E10">
      <w:pPr>
        <w:spacing w:after="0" w:line="240" w:lineRule="auto"/>
        <w:rPr>
          <w:rFonts w:ascii="Arial" w:hAnsi="Arial"/>
          <w:b w:val="0"/>
          <w:sz w:val="20"/>
          <w:szCs w:val="20"/>
        </w:rPr>
      </w:pPr>
    </w:p>
    <w:tbl>
      <w:tblPr>
        <w:tblW w:w="9057" w:type="dxa"/>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142" w:type="dxa"/>
          <w:right w:w="142" w:type="dxa"/>
        </w:tblCellMar>
        <w:tblLook w:val="01E0" w:firstRow="1" w:lastRow="1" w:firstColumn="1" w:lastColumn="1" w:noHBand="0" w:noVBand="0"/>
      </w:tblPr>
      <w:tblGrid>
        <w:gridCol w:w="6796"/>
        <w:gridCol w:w="2261"/>
      </w:tblGrid>
      <w:tr w:rsidR="00F87AEE" w:rsidRPr="00735705" w14:paraId="769C3690" w14:textId="77777777" w:rsidTr="00224E10">
        <w:trPr>
          <w:trHeight w:val="256"/>
          <w:jc w:val="center"/>
        </w:trPr>
        <w:tc>
          <w:tcPr>
            <w:tcW w:w="9057" w:type="dxa"/>
            <w:gridSpan w:val="2"/>
            <w:shd w:val="clear" w:color="auto" w:fill="C6D9F1" w:themeFill="text2" w:themeFillTint="33"/>
            <w:vAlign w:val="center"/>
          </w:tcPr>
          <w:p w14:paraId="190BD94E" w14:textId="77777777" w:rsidR="00F87AEE" w:rsidRPr="00735705" w:rsidRDefault="00F87AEE" w:rsidP="00224E10">
            <w:pPr>
              <w:spacing w:after="0" w:line="240" w:lineRule="auto"/>
              <w:jc w:val="both"/>
              <w:rPr>
                <w:rFonts w:ascii="Arial" w:eastAsia="SimSun" w:hAnsi="Arial"/>
                <w:b w:val="0"/>
                <w:sz w:val="20"/>
                <w:szCs w:val="20"/>
                <w:lang w:eastAsia="zh-CN"/>
              </w:rPr>
            </w:pPr>
            <w:r w:rsidRPr="00735705">
              <w:rPr>
                <w:rFonts w:ascii="Arial" w:eastAsia="SimSun" w:hAnsi="Arial"/>
                <w:b w:val="0"/>
                <w:sz w:val="20"/>
                <w:szCs w:val="20"/>
                <w:lang w:eastAsia="zh-CN"/>
              </w:rPr>
              <w:t xml:space="preserve">4.1 Funding Landscape and Co-financing </w:t>
            </w:r>
          </w:p>
        </w:tc>
      </w:tr>
      <w:tr w:rsidR="00F87AEE" w:rsidRPr="00735705" w14:paraId="641B7194" w14:textId="77777777" w:rsidTr="00224E10">
        <w:trPr>
          <w:trHeight w:val="381"/>
          <w:jc w:val="center"/>
        </w:trPr>
        <w:tc>
          <w:tcPr>
            <w:tcW w:w="6796" w:type="dxa"/>
            <w:shd w:val="clear" w:color="auto" w:fill="F2F2F2"/>
            <w:vAlign w:val="center"/>
          </w:tcPr>
          <w:p w14:paraId="61E6191D" w14:textId="77777777" w:rsidR="00F87AEE" w:rsidRPr="00735705" w:rsidRDefault="00F87AEE" w:rsidP="008552E5">
            <w:pPr>
              <w:numPr>
                <w:ilvl w:val="0"/>
                <w:numId w:val="5"/>
              </w:numPr>
              <w:spacing w:after="0" w:line="240" w:lineRule="auto"/>
              <w:ind w:left="276" w:hanging="284"/>
              <w:contextualSpacing/>
              <w:jc w:val="both"/>
              <w:rPr>
                <w:rFonts w:ascii="Arial" w:eastAsia="SimSun" w:hAnsi="Arial"/>
                <w:b w:val="0"/>
                <w:sz w:val="20"/>
                <w:szCs w:val="20"/>
                <w:lang w:eastAsia="zh-CN"/>
              </w:rPr>
            </w:pPr>
            <w:r w:rsidRPr="00735705">
              <w:rPr>
                <w:rFonts w:ascii="Arial" w:eastAsia="SimSun" w:hAnsi="Arial"/>
                <w:b w:val="0"/>
                <w:sz w:val="20"/>
                <w:szCs w:val="20"/>
                <w:lang w:eastAsia="zh-CN"/>
              </w:rPr>
              <w:lastRenderedPageBreak/>
              <w:t xml:space="preserve">Are there any </w:t>
            </w:r>
            <w:r w:rsidRPr="00735705">
              <w:rPr>
                <w:rFonts w:ascii="Arial" w:hAnsi="Arial"/>
                <w:b w:val="0"/>
                <w:sz w:val="20"/>
                <w:szCs w:val="20"/>
              </w:rPr>
              <w:t xml:space="preserve">current and/or planned actions or reforms to increase domestic resources for health </w:t>
            </w:r>
            <w:r w:rsidRPr="00735705">
              <w:rPr>
                <w:rFonts w:ascii="Arial" w:hAnsi="Arial"/>
                <w:b w:val="0"/>
                <w:sz w:val="20"/>
                <w:szCs w:val="20"/>
                <w:lang w:val="en-GB"/>
              </w:rPr>
              <w:t>as well as to enable greater efficiency and effectiveness of health spending</w:t>
            </w:r>
            <w:r w:rsidRPr="00735705">
              <w:rPr>
                <w:rFonts w:ascii="Arial" w:hAnsi="Arial"/>
                <w:b w:val="0"/>
                <w:sz w:val="20"/>
                <w:szCs w:val="20"/>
              </w:rPr>
              <w:t xml:space="preserve">? If yes, provide details below. </w:t>
            </w:r>
          </w:p>
        </w:tc>
        <w:tc>
          <w:tcPr>
            <w:tcW w:w="2261" w:type="dxa"/>
            <w:shd w:val="clear" w:color="auto" w:fill="auto"/>
            <w:vAlign w:val="center"/>
          </w:tcPr>
          <w:p w14:paraId="535E4F77" w14:textId="36818050" w:rsidR="00F87AEE" w:rsidRPr="00735705" w:rsidRDefault="00FC4D8E" w:rsidP="00224E10">
            <w:pPr>
              <w:spacing w:after="0" w:line="240" w:lineRule="auto"/>
              <w:jc w:val="both"/>
              <w:rPr>
                <w:rFonts w:ascii="Arial" w:eastAsia="SimSun" w:hAnsi="Arial"/>
                <w:b w:val="0"/>
                <w:sz w:val="20"/>
                <w:szCs w:val="20"/>
                <w:lang w:eastAsia="zh-CN"/>
              </w:rPr>
            </w:pPr>
            <w:sdt>
              <w:sdtPr>
                <w:rPr>
                  <w:rFonts w:ascii="Arial" w:hAnsi="Arial"/>
                  <w:b w:val="0"/>
                  <w:bCs/>
                  <w:iCs/>
                  <w:sz w:val="20"/>
                  <w:szCs w:val="20"/>
                </w:rPr>
                <w:id w:val="-824042536"/>
                <w14:checkbox>
                  <w14:checked w14:val="1"/>
                  <w14:checkedState w14:val="2612" w14:font="MS Gothic"/>
                  <w14:uncheckedState w14:val="2610" w14:font="MS Gothic"/>
                </w14:checkbox>
              </w:sdtPr>
              <w:sdtEndPr/>
              <w:sdtContent>
                <w:r w:rsidR="00224E10">
                  <w:rPr>
                    <w:rFonts w:ascii="MS Gothic" w:eastAsia="MS Gothic" w:hAnsi="MS Gothic" w:hint="eastAsia"/>
                    <w:b w:val="0"/>
                    <w:bCs/>
                    <w:iCs/>
                    <w:sz w:val="20"/>
                    <w:szCs w:val="20"/>
                  </w:rPr>
                  <w:t>☒</w:t>
                </w:r>
              </w:sdtContent>
            </w:sdt>
            <w:r w:rsidR="00F87AEE" w:rsidRPr="00735705">
              <w:rPr>
                <w:rFonts w:ascii="Arial" w:hAnsi="Arial"/>
                <w:b w:val="0"/>
                <w:bCs/>
                <w:iCs/>
                <w:sz w:val="20"/>
                <w:szCs w:val="20"/>
              </w:rPr>
              <w:t xml:space="preserve"> Yes         </w:t>
            </w:r>
            <w:sdt>
              <w:sdtPr>
                <w:rPr>
                  <w:rFonts w:ascii="Arial" w:hAnsi="Arial"/>
                  <w:b w:val="0"/>
                  <w:bCs/>
                  <w:iCs/>
                  <w:sz w:val="20"/>
                  <w:szCs w:val="20"/>
                </w:rPr>
                <w:id w:val="-2037491241"/>
                <w14:checkbox>
                  <w14:checked w14:val="0"/>
                  <w14:checkedState w14:val="2612" w14:font="MS Gothic"/>
                  <w14:uncheckedState w14:val="2610" w14:font="MS Gothic"/>
                </w14:checkbox>
              </w:sdtPr>
              <w:sdtEndPr/>
              <w:sdtContent>
                <w:r w:rsidR="00224E10">
                  <w:rPr>
                    <w:rFonts w:ascii="MS Gothic" w:eastAsia="MS Gothic" w:hAnsi="MS Gothic" w:hint="eastAsia"/>
                    <w:b w:val="0"/>
                    <w:bCs/>
                    <w:iCs/>
                    <w:sz w:val="20"/>
                    <w:szCs w:val="20"/>
                  </w:rPr>
                  <w:t>☐</w:t>
                </w:r>
              </w:sdtContent>
            </w:sdt>
            <w:r w:rsidR="00F87AEE" w:rsidRPr="00735705">
              <w:rPr>
                <w:rFonts w:ascii="Arial" w:hAnsi="Arial"/>
                <w:b w:val="0"/>
                <w:bCs/>
                <w:iCs/>
                <w:sz w:val="20"/>
                <w:szCs w:val="20"/>
              </w:rPr>
              <w:t xml:space="preserve"> No</w:t>
            </w:r>
          </w:p>
        </w:tc>
      </w:tr>
      <w:tr w:rsidR="00F87AEE" w:rsidRPr="00735705" w14:paraId="06DF0FEE" w14:textId="77777777" w:rsidTr="00224E10">
        <w:trPr>
          <w:trHeight w:val="437"/>
          <w:jc w:val="center"/>
        </w:trPr>
        <w:tc>
          <w:tcPr>
            <w:tcW w:w="6796" w:type="dxa"/>
            <w:shd w:val="clear" w:color="auto" w:fill="F2F2F2"/>
            <w:vAlign w:val="center"/>
          </w:tcPr>
          <w:p w14:paraId="0BE12372" w14:textId="5B48E044" w:rsidR="00F87AEE" w:rsidRPr="00735705" w:rsidRDefault="00F87AEE" w:rsidP="008552E5">
            <w:pPr>
              <w:numPr>
                <w:ilvl w:val="0"/>
                <w:numId w:val="5"/>
              </w:numPr>
              <w:spacing w:after="0" w:line="240" w:lineRule="auto"/>
              <w:ind w:left="276" w:hanging="284"/>
              <w:contextualSpacing/>
              <w:jc w:val="both"/>
              <w:rPr>
                <w:rFonts w:ascii="Arial" w:eastAsia="SimSun" w:hAnsi="Arial"/>
                <w:b w:val="0"/>
                <w:sz w:val="20"/>
                <w:szCs w:val="20"/>
                <w:lang w:eastAsia="zh-CN"/>
              </w:rPr>
            </w:pPr>
            <w:r w:rsidRPr="00735705">
              <w:rPr>
                <w:rFonts w:ascii="Arial" w:eastAsia="SimSun" w:hAnsi="Arial"/>
                <w:b w:val="0"/>
                <w:sz w:val="20"/>
                <w:szCs w:val="20"/>
                <w:lang w:eastAsia="zh-CN"/>
              </w:rPr>
              <w:t>Is t</w:t>
            </w:r>
            <w:r w:rsidRPr="00735705">
              <w:rPr>
                <w:rFonts w:ascii="Arial" w:hAnsi="Arial"/>
                <w:b w:val="0"/>
                <w:bCs/>
                <w:sz w:val="20"/>
                <w:szCs w:val="20"/>
              </w:rPr>
              <w:t xml:space="preserve">his current application requesting Global Fund support for developing a health financing strategy and/or implementing health-financing reforms? If yes, provide a brief </w:t>
            </w:r>
            <w:r w:rsidR="000E3C0C" w:rsidRPr="00735705">
              <w:rPr>
                <w:rFonts w:ascii="Arial" w:hAnsi="Arial"/>
                <w:b w:val="0"/>
                <w:bCs/>
                <w:sz w:val="20"/>
                <w:szCs w:val="20"/>
              </w:rPr>
              <w:t>description</w:t>
            </w:r>
            <w:r w:rsidRPr="00735705">
              <w:rPr>
                <w:rFonts w:ascii="Arial" w:hAnsi="Arial"/>
                <w:b w:val="0"/>
                <w:bCs/>
                <w:sz w:val="20"/>
                <w:szCs w:val="20"/>
              </w:rPr>
              <w:t xml:space="preserve"> below. </w:t>
            </w:r>
          </w:p>
        </w:tc>
        <w:tc>
          <w:tcPr>
            <w:tcW w:w="2261" w:type="dxa"/>
            <w:shd w:val="clear" w:color="auto" w:fill="auto"/>
            <w:vAlign w:val="center"/>
          </w:tcPr>
          <w:p w14:paraId="5719765F" w14:textId="14B701B1" w:rsidR="00F87AEE" w:rsidRPr="00735705" w:rsidRDefault="00FC4D8E" w:rsidP="00224E10">
            <w:pPr>
              <w:spacing w:after="0" w:line="240" w:lineRule="auto"/>
              <w:jc w:val="both"/>
              <w:rPr>
                <w:rFonts w:ascii="Arial" w:hAnsi="Arial"/>
                <w:b w:val="0"/>
                <w:bCs/>
                <w:iCs/>
                <w:sz w:val="20"/>
                <w:szCs w:val="20"/>
              </w:rPr>
            </w:pPr>
            <w:sdt>
              <w:sdtPr>
                <w:rPr>
                  <w:rFonts w:ascii="Arial" w:hAnsi="Arial"/>
                  <w:b w:val="0"/>
                  <w:bCs/>
                  <w:iCs/>
                  <w:sz w:val="20"/>
                  <w:szCs w:val="20"/>
                </w:rPr>
                <w:id w:val="791858774"/>
                <w14:checkbox>
                  <w14:checked w14:val="0"/>
                  <w14:checkedState w14:val="2612" w14:font="MS Gothic"/>
                  <w14:uncheckedState w14:val="2610" w14:font="MS Gothic"/>
                </w14:checkbox>
              </w:sdtPr>
              <w:sdtEndPr/>
              <w:sdtContent>
                <w:r w:rsidR="00AC3CEE" w:rsidRPr="00735705">
                  <w:rPr>
                    <w:rFonts w:ascii="MS Gothic" w:eastAsia="MS Gothic" w:hAnsi="MS Gothic" w:hint="eastAsia"/>
                    <w:b w:val="0"/>
                    <w:bCs/>
                    <w:iCs/>
                    <w:sz w:val="20"/>
                    <w:szCs w:val="20"/>
                  </w:rPr>
                  <w:t>☐</w:t>
                </w:r>
              </w:sdtContent>
            </w:sdt>
            <w:r w:rsidR="00F87AEE" w:rsidRPr="00735705">
              <w:rPr>
                <w:rFonts w:ascii="Arial" w:hAnsi="Arial"/>
                <w:b w:val="0"/>
                <w:bCs/>
                <w:iCs/>
                <w:sz w:val="20"/>
                <w:szCs w:val="20"/>
              </w:rPr>
              <w:t xml:space="preserve"> Yes         </w:t>
            </w:r>
            <w:sdt>
              <w:sdtPr>
                <w:rPr>
                  <w:rFonts w:ascii="Arial" w:hAnsi="Arial"/>
                  <w:b w:val="0"/>
                  <w:bCs/>
                  <w:iCs/>
                  <w:sz w:val="20"/>
                  <w:szCs w:val="20"/>
                </w:rPr>
                <w:id w:val="509962073"/>
                <w14:checkbox>
                  <w14:checked w14:val="1"/>
                  <w14:checkedState w14:val="2612" w14:font="MS Gothic"/>
                  <w14:uncheckedState w14:val="2610" w14:font="MS Gothic"/>
                </w14:checkbox>
              </w:sdtPr>
              <w:sdtEndPr/>
              <w:sdtContent>
                <w:r w:rsidR="00224E10">
                  <w:rPr>
                    <w:rFonts w:ascii="MS Gothic" w:eastAsia="MS Gothic" w:hAnsi="MS Gothic" w:hint="eastAsia"/>
                    <w:b w:val="0"/>
                    <w:bCs/>
                    <w:iCs/>
                    <w:sz w:val="20"/>
                    <w:szCs w:val="20"/>
                  </w:rPr>
                  <w:t>☒</w:t>
                </w:r>
              </w:sdtContent>
            </w:sdt>
            <w:r w:rsidR="00F87AEE" w:rsidRPr="00735705">
              <w:rPr>
                <w:rFonts w:ascii="Arial" w:hAnsi="Arial"/>
                <w:b w:val="0"/>
                <w:bCs/>
                <w:iCs/>
                <w:sz w:val="20"/>
                <w:szCs w:val="20"/>
              </w:rPr>
              <w:t xml:space="preserve"> No</w:t>
            </w:r>
          </w:p>
        </w:tc>
      </w:tr>
      <w:tr w:rsidR="00F87AEE" w:rsidRPr="00735705" w14:paraId="034F9BFB" w14:textId="77777777" w:rsidTr="00224E10">
        <w:trPr>
          <w:trHeight w:val="73"/>
          <w:jc w:val="center"/>
        </w:trPr>
        <w:tc>
          <w:tcPr>
            <w:tcW w:w="6796" w:type="dxa"/>
            <w:shd w:val="clear" w:color="auto" w:fill="F2F2F2"/>
            <w:vAlign w:val="center"/>
          </w:tcPr>
          <w:p w14:paraId="3672C2C7" w14:textId="77777777" w:rsidR="00F87AEE" w:rsidRPr="00735705" w:rsidRDefault="00F87AEE" w:rsidP="008552E5">
            <w:pPr>
              <w:numPr>
                <w:ilvl w:val="0"/>
                <w:numId w:val="5"/>
              </w:numPr>
              <w:spacing w:after="0" w:line="240" w:lineRule="auto"/>
              <w:ind w:left="276" w:hanging="284"/>
              <w:contextualSpacing/>
              <w:jc w:val="both"/>
              <w:rPr>
                <w:rFonts w:ascii="Arial" w:eastAsia="SimSun" w:hAnsi="Arial"/>
                <w:b w:val="0"/>
                <w:sz w:val="20"/>
                <w:szCs w:val="20"/>
                <w:lang w:eastAsia="zh-CN"/>
              </w:rPr>
            </w:pPr>
            <w:r w:rsidRPr="00735705">
              <w:rPr>
                <w:rFonts w:ascii="Arial" w:eastAsia="SimSun" w:hAnsi="Arial"/>
                <w:b w:val="0"/>
                <w:sz w:val="20"/>
                <w:szCs w:val="20"/>
                <w:lang w:eastAsia="zh-CN"/>
              </w:rPr>
              <w:t>Have previous government commitments for the 2014-16 allocation been realized? If not, provide reasons below.</w:t>
            </w:r>
          </w:p>
        </w:tc>
        <w:tc>
          <w:tcPr>
            <w:tcW w:w="2261" w:type="dxa"/>
            <w:shd w:val="clear" w:color="auto" w:fill="auto"/>
            <w:vAlign w:val="center"/>
          </w:tcPr>
          <w:p w14:paraId="6BA7114D" w14:textId="4DD652F7" w:rsidR="00F87AEE" w:rsidRPr="00735705" w:rsidRDefault="00FC4D8E" w:rsidP="00224E10">
            <w:pPr>
              <w:spacing w:after="0" w:line="240" w:lineRule="auto"/>
              <w:jc w:val="both"/>
              <w:rPr>
                <w:rFonts w:ascii="Arial" w:hAnsi="Arial"/>
                <w:b w:val="0"/>
                <w:bCs/>
                <w:iCs/>
                <w:sz w:val="20"/>
                <w:szCs w:val="20"/>
              </w:rPr>
            </w:pPr>
            <w:sdt>
              <w:sdtPr>
                <w:rPr>
                  <w:rFonts w:ascii="Arial" w:hAnsi="Arial"/>
                  <w:b w:val="0"/>
                  <w:bCs/>
                  <w:iCs/>
                  <w:sz w:val="20"/>
                  <w:szCs w:val="20"/>
                </w:rPr>
                <w:id w:val="-888803521"/>
                <w14:checkbox>
                  <w14:checked w14:val="1"/>
                  <w14:checkedState w14:val="2612" w14:font="MS Gothic"/>
                  <w14:uncheckedState w14:val="2610" w14:font="MS Gothic"/>
                </w14:checkbox>
              </w:sdtPr>
              <w:sdtEndPr/>
              <w:sdtContent>
                <w:r w:rsidR="00224E10">
                  <w:rPr>
                    <w:rFonts w:ascii="MS Gothic" w:eastAsia="MS Gothic" w:hAnsi="MS Gothic" w:hint="eastAsia"/>
                    <w:b w:val="0"/>
                    <w:bCs/>
                    <w:iCs/>
                    <w:sz w:val="20"/>
                    <w:szCs w:val="20"/>
                  </w:rPr>
                  <w:t>☒</w:t>
                </w:r>
              </w:sdtContent>
            </w:sdt>
            <w:r w:rsidR="00F87AEE" w:rsidRPr="00735705">
              <w:rPr>
                <w:rFonts w:ascii="Arial" w:hAnsi="Arial"/>
                <w:b w:val="0"/>
                <w:bCs/>
                <w:iCs/>
                <w:sz w:val="20"/>
                <w:szCs w:val="20"/>
              </w:rPr>
              <w:t xml:space="preserve"> Yes         </w:t>
            </w:r>
            <w:sdt>
              <w:sdtPr>
                <w:rPr>
                  <w:rFonts w:ascii="Arial" w:hAnsi="Arial"/>
                  <w:b w:val="0"/>
                  <w:bCs/>
                  <w:iCs/>
                  <w:sz w:val="20"/>
                  <w:szCs w:val="20"/>
                </w:rPr>
                <w:id w:val="-1580206460"/>
                <w14:checkbox>
                  <w14:checked w14:val="0"/>
                  <w14:checkedState w14:val="2612" w14:font="MS Gothic"/>
                  <w14:uncheckedState w14:val="2610" w14:font="MS Gothic"/>
                </w14:checkbox>
              </w:sdtPr>
              <w:sdtEndPr/>
              <w:sdtContent>
                <w:r w:rsidR="00224E10">
                  <w:rPr>
                    <w:rFonts w:ascii="MS Gothic" w:eastAsia="MS Gothic" w:hAnsi="MS Gothic" w:hint="eastAsia"/>
                    <w:b w:val="0"/>
                    <w:bCs/>
                    <w:iCs/>
                    <w:sz w:val="20"/>
                    <w:szCs w:val="20"/>
                  </w:rPr>
                  <w:t>☐</w:t>
                </w:r>
              </w:sdtContent>
            </w:sdt>
            <w:r w:rsidR="00F87AEE" w:rsidRPr="00735705">
              <w:rPr>
                <w:rFonts w:ascii="Arial" w:hAnsi="Arial"/>
                <w:b w:val="0"/>
                <w:bCs/>
                <w:iCs/>
                <w:sz w:val="20"/>
                <w:szCs w:val="20"/>
              </w:rPr>
              <w:t xml:space="preserve"> No</w:t>
            </w:r>
          </w:p>
        </w:tc>
      </w:tr>
      <w:tr w:rsidR="00F87AEE" w:rsidRPr="00735705" w14:paraId="16B854E1" w14:textId="77777777" w:rsidTr="00224E10">
        <w:trPr>
          <w:trHeight w:val="129"/>
          <w:jc w:val="center"/>
        </w:trPr>
        <w:tc>
          <w:tcPr>
            <w:tcW w:w="6796" w:type="dxa"/>
            <w:shd w:val="clear" w:color="auto" w:fill="F2F2F2"/>
            <w:vAlign w:val="center"/>
          </w:tcPr>
          <w:p w14:paraId="201F99F8" w14:textId="77777777" w:rsidR="00F87AEE" w:rsidRPr="00735705" w:rsidRDefault="00F87AEE" w:rsidP="008552E5">
            <w:pPr>
              <w:numPr>
                <w:ilvl w:val="0"/>
                <w:numId w:val="5"/>
              </w:numPr>
              <w:spacing w:after="0" w:line="240" w:lineRule="auto"/>
              <w:ind w:left="276" w:hanging="284"/>
              <w:contextualSpacing/>
              <w:jc w:val="both"/>
              <w:rPr>
                <w:rFonts w:ascii="Arial" w:eastAsia="SimSun" w:hAnsi="Arial"/>
                <w:b w:val="0"/>
                <w:sz w:val="20"/>
                <w:szCs w:val="20"/>
                <w:lang w:eastAsia="zh-CN"/>
              </w:rPr>
            </w:pPr>
            <w:r w:rsidRPr="00735705">
              <w:rPr>
                <w:rFonts w:ascii="Arial" w:eastAsia="SimSun" w:hAnsi="Arial"/>
                <w:b w:val="0"/>
                <w:sz w:val="20"/>
                <w:szCs w:val="20"/>
                <w:lang w:eastAsia="zh-CN"/>
              </w:rPr>
              <w:t xml:space="preserve">Do current </w:t>
            </w:r>
            <w:r w:rsidRPr="00735705">
              <w:rPr>
                <w:rFonts w:ascii="Arial" w:hAnsi="Arial"/>
                <w:b w:val="0"/>
                <w:sz w:val="20"/>
                <w:szCs w:val="20"/>
              </w:rPr>
              <w:t>co-financing commitments for the 2017-19 allocation meet minimum requirements to fully access the co-financing incentive, as set forth in the Sustainability, Transition and Co-financing Policy?</w:t>
            </w:r>
            <w:r w:rsidRPr="00735705">
              <w:rPr>
                <w:rFonts w:ascii="Arial" w:hAnsi="Arial"/>
                <w:b w:val="0"/>
                <w:sz w:val="20"/>
                <w:szCs w:val="20"/>
                <w:vertAlign w:val="superscript"/>
              </w:rPr>
              <w:footnoteReference w:id="6"/>
            </w:r>
            <w:r w:rsidRPr="00735705">
              <w:rPr>
                <w:rFonts w:ascii="Arial" w:hAnsi="Arial"/>
                <w:b w:val="0"/>
                <w:sz w:val="20"/>
                <w:szCs w:val="20"/>
              </w:rPr>
              <w:t xml:space="preserve"> If not, provide reasons below.</w:t>
            </w:r>
          </w:p>
        </w:tc>
        <w:tc>
          <w:tcPr>
            <w:tcW w:w="2261" w:type="dxa"/>
            <w:shd w:val="clear" w:color="auto" w:fill="auto"/>
            <w:vAlign w:val="center"/>
          </w:tcPr>
          <w:p w14:paraId="776271E5" w14:textId="4577AD44" w:rsidR="00F87AEE" w:rsidRPr="00735705" w:rsidRDefault="00FC4D8E" w:rsidP="00224E10">
            <w:pPr>
              <w:spacing w:after="0" w:line="240" w:lineRule="auto"/>
              <w:jc w:val="both"/>
              <w:rPr>
                <w:rFonts w:ascii="Arial" w:hAnsi="Arial"/>
                <w:b w:val="0"/>
                <w:bCs/>
                <w:iCs/>
                <w:sz w:val="20"/>
                <w:szCs w:val="20"/>
              </w:rPr>
            </w:pPr>
            <w:sdt>
              <w:sdtPr>
                <w:rPr>
                  <w:rFonts w:ascii="Arial" w:hAnsi="Arial"/>
                  <w:b w:val="0"/>
                  <w:bCs/>
                  <w:iCs/>
                  <w:sz w:val="20"/>
                  <w:szCs w:val="20"/>
                </w:rPr>
                <w:id w:val="-471215684"/>
                <w14:checkbox>
                  <w14:checked w14:val="1"/>
                  <w14:checkedState w14:val="2612" w14:font="MS Gothic"/>
                  <w14:uncheckedState w14:val="2610" w14:font="MS Gothic"/>
                </w14:checkbox>
              </w:sdtPr>
              <w:sdtEndPr/>
              <w:sdtContent>
                <w:r w:rsidR="00224E10">
                  <w:rPr>
                    <w:rFonts w:ascii="MS Gothic" w:eastAsia="MS Gothic" w:hAnsi="MS Gothic" w:hint="eastAsia"/>
                    <w:b w:val="0"/>
                    <w:bCs/>
                    <w:iCs/>
                    <w:sz w:val="20"/>
                    <w:szCs w:val="20"/>
                  </w:rPr>
                  <w:t>☒</w:t>
                </w:r>
              </w:sdtContent>
            </w:sdt>
            <w:r w:rsidR="00F87AEE" w:rsidRPr="00735705">
              <w:rPr>
                <w:rFonts w:ascii="Arial" w:hAnsi="Arial"/>
                <w:b w:val="0"/>
                <w:bCs/>
                <w:iCs/>
                <w:sz w:val="20"/>
                <w:szCs w:val="20"/>
              </w:rPr>
              <w:t xml:space="preserve"> Yes         </w:t>
            </w:r>
            <w:sdt>
              <w:sdtPr>
                <w:rPr>
                  <w:rFonts w:ascii="Arial" w:hAnsi="Arial"/>
                  <w:b w:val="0"/>
                  <w:bCs/>
                  <w:iCs/>
                  <w:sz w:val="20"/>
                  <w:szCs w:val="20"/>
                </w:rPr>
                <w:id w:val="2063142126"/>
                <w14:checkbox>
                  <w14:checked w14:val="0"/>
                  <w14:checkedState w14:val="2612" w14:font="MS Gothic"/>
                  <w14:uncheckedState w14:val="2610" w14:font="MS Gothic"/>
                </w14:checkbox>
              </w:sdtPr>
              <w:sdtEndPr/>
              <w:sdtContent>
                <w:r w:rsidR="00224E10">
                  <w:rPr>
                    <w:rFonts w:ascii="MS Gothic" w:eastAsia="MS Gothic" w:hAnsi="MS Gothic" w:hint="eastAsia"/>
                    <w:b w:val="0"/>
                    <w:bCs/>
                    <w:iCs/>
                    <w:sz w:val="20"/>
                    <w:szCs w:val="20"/>
                  </w:rPr>
                  <w:t>☐</w:t>
                </w:r>
              </w:sdtContent>
            </w:sdt>
            <w:r w:rsidR="00F87AEE" w:rsidRPr="00735705">
              <w:rPr>
                <w:rFonts w:ascii="Arial" w:hAnsi="Arial"/>
                <w:b w:val="0"/>
                <w:bCs/>
                <w:iCs/>
                <w:sz w:val="20"/>
                <w:szCs w:val="20"/>
              </w:rPr>
              <w:t xml:space="preserve"> No</w:t>
            </w:r>
          </w:p>
        </w:tc>
      </w:tr>
      <w:tr w:rsidR="00F87AEE" w:rsidRPr="00735705" w14:paraId="37E931D3" w14:textId="77777777" w:rsidTr="00224E10">
        <w:trPr>
          <w:trHeight w:val="38"/>
          <w:jc w:val="center"/>
        </w:trPr>
        <w:tc>
          <w:tcPr>
            <w:tcW w:w="6796" w:type="dxa"/>
            <w:tcBorders>
              <w:bottom w:val="single" w:sz="4" w:space="0" w:color="808080" w:themeColor="background1" w:themeShade="80"/>
            </w:tcBorders>
            <w:shd w:val="clear" w:color="auto" w:fill="F2F2F2"/>
            <w:vAlign w:val="center"/>
          </w:tcPr>
          <w:p w14:paraId="389D0ACA" w14:textId="4AE4A2EB" w:rsidR="00F87AEE" w:rsidRPr="00735705" w:rsidRDefault="00F87AEE" w:rsidP="008552E5">
            <w:pPr>
              <w:numPr>
                <w:ilvl w:val="0"/>
                <w:numId w:val="5"/>
              </w:numPr>
              <w:spacing w:after="0" w:line="240" w:lineRule="auto"/>
              <w:ind w:left="276" w:hanging="284"/>
              <w:contextualSpacing/>
              <w:jc w:val="both"/>
              <w:rPr>
                <w:rFonts w:ascii="Arial" w:eastAsia="SimSun" w:hAnsi="Arial"/>
                <w:b w:val="0"/>
                <w:sz w:val="20"/>
                <w:szCs w:val="20"/>
                <w:lang w:eastAsia="zh-CN"/>
              </w:rPr>
            </w:pPr>
            <w:r w:rsidRPr="00735705">
              <w:rPr>
                <w:rFonts w:ascii="Arial" w:eastAsia="SimSun" w:hAnsi="Arial"/>
                <w:b w:val="0"/>
                <w:sz w:val="20"/>
                <w:szCs w:val="20"/>
                <w:lang w:eastAsia="zh-CN"/>
              </w:rPr>
              <w:t xml:space="preserve">Does this application request Global Fund support for the institutionalization of expenditure tracking mechanisms such as National Health Accounts? </w:t>
            </w:r>
            <w:r w:rsidR="003B658E" w:rsidRPr="00735705">
              <w:rPr>
                <w:rFonts w:ascii="Arial" w:eastAsia="SimSun" w:hAnsi="Arial"/>
                <w:b w:val="0"/>
                <w:sz w:val="20"/>
                <w:szCs w:val="20"/>
                <w:lang w:eastAsia="zh-CN"/>
              </w:rPr>
              <w:t xml:space="preserve">If yes or no, </w:t>
            </w:r>
            <w:r w:rsidR="003B658E" w:rsidRPr="00735705">
              <w:rPr>
                <w:rFonts w:ascii="Arial" w:hAnsi="Arial"/>
                <w:b w:val="0"/>
                <w:sz w:val="20"/>
                <w:szCs w:val="20"/>
              </w:rPr>
              <w:t>s</w:t>
            </w:r>
            <w:r w:rsidRPr="00735705">
              <w:rPr>
                <w:rFonts w:ascii="Arial" w:hAnsi="Arial"/>
                <w:b w:val="0"/>
                <w:sz w:val="20"/>
                <w:szCs w:val="20"/>
              </w:rPr>
              <w:t>pecify below how realization of co-financing commitments will be tracked and reported.</w:t>
            </w:r>
          </w:p>
        </w:tc>
        <w:tc>
          <w:tcPr>
            <w:tcW w:w="2261" w:type="dxa"/>
            <w:tcBorders>
              <w:bottom w:val="single" w:sz="4" w:space="0" w:color="808080" w:themeColor="background1" w:themeShade="80"/>
            </w:tcBorders>
            <w:shd w:val="clear" w:color="auto" w:fill="auto"/>
            <w:vAlign w:val="center"/>
          </w:tcPr>
          <w:p w14:paraId="7BB3B30F" w14:textId="39C1D9D8" w:rsidR="00F87AEE" w:rsidRPr="00735705" w:rsidRDefault="00FC4D8E" w:rsidP="00224E10">
            <w:pPr>
              <w:spacing w:after="0" w:line="240" w:lineRule="auto"/>
              <w:jc w:val="both"/>
              <w:rPr>
                <w:rFonts w:ascii="Arial" w:hAnsi="Arial"/>
                <w:b w:val="0"/>
                <w:bCs/>
                <w:iCs/>
                <w:sz w:val="20"/>
                <w:szCs w:val="20"/>
              </w:rPr>
            </w:pPr>
            <w:sdt>
              <w:sdtPr>
                <w:rPr>
                  <w:rFonts w:ascii="Arial" w:hAnsi="Arial"/>
                  <w:b w:val="0"/>
                  <w:bCs/>
                  <w:iCs/>
                  <w:sz w:val="20"/>
                  <w:szCs w:val="20"/>
                </w:rPr>
                <w:id w:val="1547263907"/>
                <w14:checkbox>
                  <w14:checked w14:val="0"/>
                  <w14:checkedState w14:val="2612" w14:font="MS Gothic"/>
                  <w14:uncheckedState w14:val="2610" w14:font="MS Gothic"/>
                </w14:checkbox>
              </w:sdtPr>
              <w:sdtEndPr/>
              <w:sdtContent>
                <w:r w:rsidR="00224E10">
                  <w:rPr>
                    <w:rFonts w:ascii="MS Gothic" w:eastAsia="MS Gothic" w:hAnsi="MS Gothic" w:hint="eastAsia"/>
                    <w:b w:val="0"/>
                    <w:bCs/>
                    <w:iCs/>
                    <w:sz w:val="20"/>
                    <w:szCs w:val="20"/>
                  </w:rPr>
                  <w:t>☐</w:t>
                </w:r>
              </w:sdtContent>
            </w:sdt>
            <w:r w:rsidR="00F87AEE" w:rsidRPr="00735705">
              <w:rPr>
                <w:rFonts w:ascii="Arial" w:hAnsi="Arial"/>
                <w:b w:val="0"/>
                <w:bCs/>
                <w:iCs/>
                <w:sz w:val="20"/>
                <w:szCs w:val="20"/>
              </w:rPr>
              <w:t xml:space="preserve"> Yes         </w:t>
            </w:r>
            <w:sdt>
              <w:sdtPr>
                <w:rPr>
                  <w:rFonts w:ascii="Arial" w:hAnsi="Arial"/>
                  <w:b w:val="0"/>
                  <w:bCs/>
                  <w:iCs/>
                  <w:sz w:val="20"/>
                  <w:szCs w:val="20"/>
                </w:rPr>
                <w:id w:val="1301727380"/>
                <w14:checkbox>
                  <w14:checked w14:val="1"/>
                  <w14:checkedState w14:val="2612" w14:font="MS Gothic"/>
                  <w14:uncheckedState w14:val="2610" w14:font="MS Gothic"/>
                </w14:checkbox>
              </w:sdtPr>
              <w:sdtEndPr/>
              <w:sdtContent>
                <w:r w:rsidR="00224E10">
                  <w:rPr>
                    <w:rFonts w:ascii="MS Gothic" w:eastAsia="MS Gothic" w:hAnsi="MS Gothic" w:hint="eastAsia"/>
                    <w:b w:val="0"/>
                    <w:bCs/>
                    <w:iCs/>
                    <w:sz w:val="20"/>
                    <w:szCs w:val="20"/>
                  </w:rPr>
                  <w:t>☒</w:t>
                </w:r>
              </w:sdtContent>
            </w:sdt>
            <w:r w:rsidR="00F87AEE" w:rsidRPr="00735705">
              <w:rPr>
                <w:rFonts w:ascii="Arial" w:hAnsi="Arial"/>
                <w:b w:val="0"/>
                <w:bCs/>
                <w:iCs/>
                <w:sz w:val="20"/>
                <w:szCs w:val="20"/>
              </w:rPr>
              <w:t xml:space="preserve"> No</w:t>
            </w:r>
          </w:p>
        </w:tc>
      </w:tr>
      <w:tr w:rsidR="00F87AEE" w:rsidRPr="00735705" w14:paraId="2E4B3343" w14:textId="77777777" w:rsidTr="00224E10">
        <w:trPr>
          <w:trHeight w:val="423"/>
          <w:jc w:val="center"/>
        </w:trPr>
        <w:tc>
          <w:tcPr>
            <w:tcW w:w="9057" w:type="dxa"/>
            <w:gridSpan w:val="2"/>
            <w:shd w:val="clear" w:color="auto" w:fill="auto"/>
            <w:vAlign w:val="center"/>
          </w:tcPr>
          <w:p w14:paraId="162390C4" w14:textId="4438A580" w:rsidR="004B624F" w:rsidRPr="00A66280" w:rsidRDefault="004B624F" w:rsidP="005D4F13">
            <w:pPr>
              <w:spacing w:before="120" w:after="120" w:line="240" w:lineRule="auto"/>
              <w:jc w:val="both"/>
              <w:rPr>
                <w:rFonts w:ascii="Arial" w:eastAsia="SimSun" w:hAnsi="Arial"/>
                <w:b w:val="0"/>
                <w:lang w:eastAsia="zh-CN"/>
              </w:rPr>
            </w:pPr>
            <w:r w:rsidRPr="00D370A1">
              <w:rPr>
                <w:rFonts w:ascii="Arial" w:eastAsia="SimSun" w:hAnsi="Arial"/>
                <w:b w:val="0"/>
                <w:lang w:eastAsia="zh-CN"/>
              </w:rPr>
              <w:t xml:space="preserve">The public expenditure for health has been </w:t>
            </w:r>
            <w:r w:rsidR="00AB1B85" w:rsidRPr="00D370A1">
              <w:rPr>
                <w:rFonts w:ascii="Arial" w:eastAsia="SimSun" w:hAnsi="Arial"/>
                <w:b w:val="0"/>
                <w:lang w:eastAsia="zh-CN"/>
              </w:rPr>
              <w:t>stable</w:t>
            </w:r>
            <w:r w:rsidRPr="00D370A1">
              <w:rPr>
                <w:rFonts w:ascii="Arial" w:eastAsia="SimSun" w:hAnsi="Arial"/>
                <w:b w:val="0"/>
                <w:lang w:eastAsia="zh-CN"/>
              </w:rPr>
              <w:t xml:space="preserve"> and was </w:t>
            </w:r>
            <w:r w:rsidR="00FA4D01" w:rsidRPr="00D370A1">
              <w:rPr>
                <w:rFonts w:ascii="Arial" w:eastAsia="SimSun" w:hAnsi="Arial"/>
                <w:b w:val="0"/>
                <w:lang w:eastAsia="zh-CN"/>
              </w:rPr>
              <w:t>2.</w:t>
            </w:r>
            <w:r w:rsidR="00D370A1">
              <w:rPr>
                <w:rFonts w:ascii="Arial" w:eastAsia="SimSun" w:hAnsi="Arial"/>
                <w:b w:val="0"/>
                <w:lang w:eastAsia="zh-CN"/>
              </w:rPr>
              <w:t>4</w:t>
            </w:r>
            <w:r w:rsidRPr="00D370A1">
              <w:rPr>
                <w:rFonts w:ascii="Arial" w:eastAsia="SimSun" w:hAnsi="Arial"/>
                <w:b w:val="0"/>
                <w:lang w:eastAsia="zh-CN"/>
              </w:rPr>
              <w:t>% of the GDP along with significant level of private spending up to 4</w:t>
            </w:r>
            <w:r w:rsidR="009C3681" w:rsidRPr="00D370A1">
              <w:rPr>
                <w:rFonts w:ascii="Arial" w:eastAsia="SimSun" w:hAnsi="Arial"/>
                <w:b w:val="0"/>
                <w:lang w:eastAsia="zh-CN"/>
              </w:rPr>
              <w:t>5.6</w:t>
            </w:r>
            <w:r w:rsidRPr="00D370A1">
              <w:rPr>
                <w:rFonts w:ascii="Arial" w:eastAsia="SimSun" w:hAnsi="Arial"/>
                <w:b w:val="0"/>
                <w:lang w:eastAsia="zh-CN"/>
              </w:rPr>
              <w:t xml:space="preserve">% of total health </w:t>
            </w:r>
            <w:r w:rsidRPr="00A66280">
              <w:rPr>
                <w:rFonts w:ascii="Arial" w:eastAsia="SimSun" w:hAnsi="Arial"/>
                <w:b w:val="0"/>
                <w:lang w:eastAsia="zh-CN"/>
              </w:rPr>
              <w:t xml:space="preserve">expenditure in 2014 (see Table </w:t>
            </w:r>
            <w:r w:rsidR="00DA6C44" w:rsidRPr="00A66280">
              <w:rPr>
                <w:rFonts w:ascii="Arial" w:eastAsia="SimSun" w:hAnsi="Arial"/>
                <w:b w:val="0"/>
                <w:lang w:eastAsia="zh-CN"/>
              </w:rPr>
              <w:t>4</w:t>
            </w:r>
            <w:r w:rsidRPr="00A66280">
              <w:rPr>
                <w:rFonts w:ascii="Arial" w:eastAsia="SimSun" w:hAnsi="Arial"/>
                <w:b w:val="0"/>
                <w:lang w:eastAsia="zh-CN"/>
              </w:rPr>
              <w:t>) The spending for health in the general government budget was 10.</w:t>
            </w:r>
            <w:r w:rsidR="009C3681" w:rsidRPr="00A66280">
              <w:rPr>
                <w:rFonts w:ascii="Arial" w:eastAsia="SimSun" w:hAnsi="Arial"/>
                <w:b w:val="0"/>
                <w:lang w:eastAsia="zh-CN"/>
              </w:rPr>
              <w:t>9</w:t>
            </w:r>
            <w:r w:rsidRPr="00A66280">
              <w:rPr>
                <w:rFonts w:ascii="Arial" w:eastAsia="SimSun" w:hAnsi="Arial"/>
                <w:b w:val="0"/>
                <w:lang w:eastAsia="zh-CN"/>
              </w:rPr>
              <w:t>% in 2014</w:t>
            </w:r>
            <w:r w:rsidR="00BA72DF" w:rsidRPr="00A66280">
              <w:rPr>
                <w:rFonts w:ascii="Arial" w:eastAsia="SimSun" w:hAnsi="Arial"/>
                <w:b w:val="0"/>
                <w:lang w:eastAsia="zh-CN"/>
              </w:rPr>
              <w:t xml:space="preserve"> (source: WHO, Health for all database) and kept unchanged in 2015-2016</w:t>
            </w:r>
            <w:r w:rsidR="00833347" w:rsidRPr="00A66280">
              <w:rPr>
                <w:rFonts w:ascii="Arial" w:eastAsia="SimSun" w:hAnsi="Arial"/>
                <w:b w:val="0"/>
                <w:lang w:eastAsia="zh-CN"/>
              </w:rPr>
              <w:t xml:space="preserve"> (source: MO</w:t>
            </w:r>
            <w:r w:rsidR="0074521E" w:rsidRPr="00A66280">
              <w:rPr>
                <w:rFonts w:ascii="Arial" w:eastAsia="SimSun" w:hAnsi="Arial"/>
                <w:b w:val="0"/>
                <w:lang w:eastAsia="zh-CN"/>
              </w:rPr>
              <w:t>F)</w:t>
            </w:r>
            <w:r w:rsidRPr="00A66280">
              <w:rPr>
                <w:rFonts w:ascii="Arial" w:eastAsia="SimSun" w:hAnsi="Arial"/>
                <w:b w:val="0"/>
                <w:lang w:eastAsia="zh-CN"/>
              </w:rPr>
              <w:t xml:space="preserve">. These indicators show that in comparison with other countries of the Eastern Europe and Central Asia there is </w:t>
            </w:r>
            <w:r w:rsidR="009C3681" w:rsidRPr="00A66280">
              <w:rPr>
                <w:rFonts w:ascii="Arial" w:eastAsia="SimSun" w:hAnsi="Arial"/>
                <w:b w:val="0"/>
                <w:lang w:eastAsia="zh-CN"/>
              </w:rPr>
              <w:t>satisfactory</w:t>
            </w:r>
            <w:r w:rsidRPr="00A66280">
              <w:rPr>
                <w:rFonts w:ascii="Arial" w:eastAsia="SimSun" w:hAnsi="Arial"/>
                <w:b w:val="0"/>
                <w:lang w:eastAsia="zh-CN"/>
              </w:rPr>
              <w:t xml:space="preserve"> government commitment to distribute fair share of the government budget to the health system. </w:t>
            </w:r>
          </w:p>
          <w:p w14:paraId="347E7EA9" w14:textId="7D6B1192" w:rsidR="00E42909" w:rsidRPr="00D370A1" w:rsidRDefault="00E42909" w:rsidP="00E42909">
            <w:pPr>
              <w:spacing w:before="120" w:after="120" w:line="240" w:lineRule="auto"/>
              <w:jc w:val="both"/>
              <w:rPr>
                <w:rFonts w:ascii="Arial" w:eastAsia="SimSun" w:hAnsi="Arial"/>
                <w:b w:val="0"/>
                <w:i/>
                <w:lang w:eastAsia="zh-CN"/>
              </w:rPr>
            </w:pPr>
            <w:r w:rsidRPr="00A66280">
              <w:rPr>
                <w:rFonts w:ascii="Arial" w:eastAsia="SimSun" w:hAnsi="Arial"/>
                <w:b w:val="0"/>
                <w:i/>
                <w:lang w:eastAsia="zh-CN"/>
              </w:rPr>
              <w:t xml:space="preserve">Table </w:t>
            </w:r>
            <w:r w:rsidR="00DA6C44" w:rsidRPr="00A66280">
              <w:rPr>
                <w:rFonts w:ascii="Arial" w:eastAsia="SimSun" w:hAnsi="Arial"/>
                <w:b w:val="0"/>
                <w:i/>
                <w:lang w:eastAsia="zh-CN"/>
              </w:rPr>
              <w:t>4</w:t>
            </w:r>
            <w:r w:rsidRPr="00A66280">
              <w:rPr>
                <w:rFonts w:ascii="Arial" w:eastAsia="SimSun" w:hAnsi="Arial"/>
                <w:b w:val="0"/>
                <w:i/>
                <w:lang w:eastAsia="zh-CN"/>
              </w:rPr>
              <w:t xml:space="preserve">. Trends in health expenditures, </w:t>
            </w:r>
            <w:r w:rsidR="00BC26BB" w:rsidRPr="00A66280">
              <w:rPr>
                <w:rFonts w:ascii="Arial" w:eastAsia="SimSun" w:hAnsi="Arial"/>
                <w:b w:val="0"/>
                <w:i/>
                <w:lang w:eastAsia="zh-CN"/>
              </w:rPr>
              <w:t>Kazakhstan</w:t>
            </w:r>
            <w:r w:rsidRPr="00A66280">
              <w:rPr>
                <w:rFonts w:ascii="Arial" w:eastAsia="SimSun" w:hAnsi="Arial"/>
                <w:b w:val="0"/>
                <w:i/>
                <w:lang w:eastAsia="zh-CN"/>
              </w:rPr>
              <w:t>, 1995-2014</w:t>
            </w:r>
          </w:p>
          <w:tbl>
            <w:tblPr>
              <w:tblStyle w:val="TableGrid"/>
              <w:tblW w:w="0" w:type="auto"/>
              <w:tblBorders>
                <w:top w:val="single" w:sz="4" w:space="0" w:color="000000"/>
                <w:left w:val="none" w:sz="0" w:space="0" w:color="auto"/>
                <w:bottom w:val="single" w:sz="4" w:space="0" w:color="000000"/>
                <w:right w:val="none" w:sz="0" w:space="0" w:color="auto"/>
                <w:insideH w:val="none" w:sz="0" w:space="0" w:color="auto"/>
                <w:insideV w:val="none" w:sz="0" w:space="0" w:color="auto"/>
              </w:tblBorders>
              <w:tblLook w:val="04A0" w:firstRow="1" w:lastRow="0" w:firstColumn="1" w:lastColumn="0" w:noHBand="0" w:noVBand="1"/>
            </w:tblPr>
            <w:tblGrid>
              <w:gridCol w:w="4285"/>
              <w:gridCol w:w="717"/>
              <w:gridCol w:w="717"/>
              <w:gridCol w:w="717"/>
              <w:gridCol w:w="717"/>
              <w:gridCol w:w="773"/>
              <w:gridCol w:w="773"/>
            </w:tblGrid>
            <w:tr w:rsidR="00E42909" w:rsidRPr="00D370A1" w14:paraId="62D2FEEB" w14:textId="77777777" w:rsidTr="00CD4E34">
              <w:tc>
                <w:tcPr>
                  <w:tcW w:w="0" w:type="auto"/>
                  <w:tcBorders>
                    <w:top w:val="single" w:sz="4" w:space="0" w:color="000000"/>
                    <w:bottom w:val="single" w:sz="4" w:space="0" w:color="000000"/>
                  </w:tcBorders>
                </w:tcPr>
                <w:p w14:paraId="73CDF734" w14:textId="77777777" w:rsidR="00E42909" w:rsidRPr="00D370A1" w:rsidRDefault="00E42909" w:rsidP="00E42909">
                  <w:pPr>
                    <w:spacing w:after="0" w:line="240" w:lineRule="auto"/>
                    <w:rPr>
                      <w:rFonts w:ascii="Arial" w:hAnsi="Arial"/>
                      <w:b w:val="0"/>
                    </w:rPr>
                  </w:pPr>
                  <w:r w:rsidRPr="00D370A1">
                    <w:rPr>
                      <w:rFonts w:ascii="Arial" w:hAnsi="Arial"/>
                      <w:b w:val="0"/>
                    </w:rPr>
                    <w:t>Indicators</w:t>
                  </w:r>
                </w:p>
              </w:tc>
              <w:tc>
                <w:tcPr>
                  <w:tcW w:w="0" w:type="auto"/>
                  <w:tcBorders>
                    <w:top w:val="single" w:sz="4" w:space="0" w:color="000000"/>
                    <w:bottom w:val="single" w:sz="4" w:space="0" w:color="000000"/>
                  </w:tcBorders>
                </w:tcPr>
                <w:p w14:paraId="3F916F9D" w14:textId="77777777" w:rsidR="00E42909" w:rsidRPr="00D370A1" w:rsidRDefault="00E42909" w:rsidP="00E42909">
                  <w:pPr>
                    <w:spacing w:after="0" w:line="240" w:lineRule="auto"/>
                    <w:rPr>
                      <w:rFonts w:ascii="Arial" w:hAnsi="Arial"/>
                      <w:b w:val="0"/>
                    </w:rPr>
                  </w:pPr>
                  <w:r w:rsidRPr="00D370A1">
                    <w:rPr>
                      <w:rFonts w:ascii="Arial" w:hAnsi="Arial"/>
                      <w:b w:val="0"/>
                    </w:rPr>
                    <w:t xml:space="preserve"> 1995</w:t>
                  </w:r>
                </w:p>
              </w:tc>
              <w:tc>
                <w:tcPr>
                  <w:tcW w:w="0" w:type="auto"/>
                  <w:tcBorders>
                    <w:top w:val="single" w:sz="4" w:space="0" w:color="000000"/>
                    <w:bottom w:val="single" w:sz="4" w:space="0" w:color="000000"/>
                  </w:tcBorders>
                </w:tcPr>
                <w:p w14:paraId="4973BF43" w14:textId="77777777" w:rsidR="00E42909" w:rsidRPr="00D370A1" w:rsidRDefault="00E42909" w:rsidP="00E42909">
                  <w:pPr>
                    <w:spacing w:after="0" w:line="240" w:lineRule="auto"/>
                    <w:rPr>
                      <w:rFonts w:ascii="Arial" w:hAnsi="Arial"/>
                      <w:b w:val="0"/>
                    </w:rPr>
                  </w:pPr>
                  <w:r w:rsidRPr="00D370A1">
                    <w:rPr>
                      <w:rFonts w:ascii="Arial" w:hAnsi="Arial"/>
                      <w:b w:val="0"/>
                    </w:rPr>
                    <w:t xml:space="preserve"> 2000</w:t>
                  </w:r>
                </w:p>
              </w:tc>
              <w:tc>
                <w:tcPr>
                  <w:tcW w:w="0" w:type="auto"/>
                  <w:tcBorders>
                    <w:top w:val="single" w:sz="4" w:space="0" w:color="000000"/>
                    <w:bottom w:val="single" w:sz="4" w:space="0" w:color="000000"/>
                  </w:tcBorders>
                </w:tcPr>
                <w:p w14:paraId="787D5663" w14:textId="77777777" w:rsidR="00E42909" w:rsidRPr="00D370A1" w:rsidRDefault="00E42909" w:rsidP="00E42909">
                  <w:pPr>
                    <w:spacing w:after="0" w:line="240" w:lineRule="auto"/>
                    <w:rPr>
                      <w:rFonts w:ascii="Arial" w:hAnsi="Arial"/>
                      <w:b w:val="0"/>
                    </w:rPr>
                  </w:pPr>
                  <w:r w:rsidRPr="00D370A1">
                    <w:rPr>
                      <w:rFonts w:ascii="Arial" w:hAnsi="Arial"/>
                      <w:b w:val="0"/>
                    </w:rPr>
                    <w:t xml:space="preserve"> 2005</w:t>
                  </w:r>
                </w:p>
              </w:tc>
              <w:tc>
                <w:tcPr>
                  <w:tcW w:w="0" w:type="auto"/>
                  <w:tcBorders>
                    <w:top w:val="single" w:sz="4" w:space="0" w:color="000000"/>
                    <w:bottom w:val="single" w:sz="4" w:space="0" w:color="000000"/>
                  </w:tcBorders>
                </w:tcPr>
                <w:p w14:paraId="7B680720" w14:textId="77777777" w:rsidR="00E42909" w:rsidRPr="00D370A1" w:rsidRDefault="00E42909" w:rsidP="00E42909">
                  <w:pPr>
                    <w:spacing w:after="0" w:line="240" w:lineRule="auto"/>
                    <w:rPr>
                      <w:rFonts w:ascii="Arial" w:hAnsi="Arial"/>
                      <w:b w:val="0"/>
                    </w:rPr>
                  </w:pPr>
                  <w:r w:rsidRPr="00D370A1">
                    <w:rPr>
                      <w:rFonts w:ascii="Arial" w:hAnsi="Arial"/>
                      <w:b w:val="0"/>
                    </w:rPr>
                    <w:t xml:space="preserve"> 2010</w:t>
                  </w:r>
                </w:p>
              </w:tc>
              <w:tc>
                <w:tcPr>
                  <w:tcW w:w="0" w:type="auto"/>
                  <w:tcBorders>
                    <w:top w:val="single" w:sz="4" w:space="0" w:color="000000"/>
                    <w:bottom w:val="single" w:sz="4" w:space="0" w:color="000000"/>
                  </w:tcBorders>
                </w:tcPr>
                <w:p w14:paraId="60E65DDE" w14:textId="77777777" w:rsidR="00E42909" w:rsidRPr="00D370A1" w:rsidRDefault="00E42909" w:rsidP="00E42909">
                  <w:pPr>
                    <w:spacing w:after="0" w:line="240" w:lineRule="auto"/>
                    <w:rPr>
                      <w:rFonts w:ascii="Arial" w:hAnsi="Arial"/>
                      <w:b w:val="0"/>
                    </w:rPr>
                  </w:pPr>
                  <w:r w:rsidRPr="00D370A1">
                    <w:rPr>
                      <w:rFonts w:ascii="Arial" w:hAnsi="Arial"/>
                      <w:b w:val="0"/>
                    </w:rPr>
                    <w:t xml:space="preserve">  2013</w:t>
                  </w:r>
                </w:p>
              </w:tc>
              <w:tc>
                <w:tcPr>
                  <w:tcW w:w="0" w:type="auto"/>
                  <w:tcBorders>
                    <w:top w:val="single" w:sz="4" w:space="0" w:color="000000"/>
                    <w:bottom w:val="single" w:sz="4" w:space="0" w:color="000000"/>
                  </w:tcBorders>
                </w:tcPr>
                <w:p w14:paraId="00AC089C" w14:textId="77777777" w:rsidR="00E42909" w:rsidRPr="00D370A1" w:rsidRDefault="00E42909" w:rsidP="00E42909">
                  <w:pPr>
                    <w:spacing w:after="0" w:line="240" w:lineRule="auto"/>
                    <w:rPr>
                      <w:rFonts w:ascii="Arial" w:hAnsi="Arial"/>
                      <w:b w:val="0"/>
                    </w:rPr>
                  </w:pPr>
                  <w:r w:rsidRPr="00D370A1">
                    <w:rPr>
                      <w:rFonts w:ascii="Arial" w:hAnsi="Arial"/>
                      <w:b w:val="0"/>
                    </w:rPr>
                    <w:t>2014</w:t>
                  </w:r>
                </w:p>
              </w:tc>
            </w:tr>
            <w:tr w:rsidR="00E42909" w:rsidRPr="00D370A1" w14:paraId="6AC19D67" w14:textId="77777777" w:rsidTr="00CD4E34">
              <w:tc>
                <w:tcPr>
                  <w:tcW w:w="0" w:type="auto"/>
                  <w:tcBorders>
                    <w:top w:val="single" w:sz="4" w:space="0" w:color="000000"/>
                  </w:tcBorders>
                  <w:shd w:val="clear" w:color="auto" w:fill="auto"/>
                </w:tcPr>
                <w:p w14:paraId="538A6AB1" w14:textId="77777777" w:rsidR="00E42909" w:rsidRPr="00D370A1" w:rsidRDefault="00E42909" w:rsidP="00E42909">
                  <w:pPr>
                    <w:spacing w:after="0" w:line="240" w:lineRule="auto"/>
                    <w:rPr>
                      <w:rFonts w:ascii="Arial" w:hAnsi="Arial"/>
                      <w:b w:val="0"/>
                      <w:highlight w:val="yellow"/>
                    </w:rPr>
                  </w:pPr>
                  <w:r w:rsidRPr="00D370A1">
                    <w:rPr>
                      <w:rFonts w:ascii="Arial" w:hAnsi="Arial"/>
                      <w:b w:val="0"/>
                    </w:rPr>
                    <w:t>GDP (PPP$ per capita)</w:t>
                  </w:r>
                </w:p>
              </w:tc>
              <w:tc>
                <w:tcPr>
                  <w:tcW w:w="0" w:type="auto"/>
                  <w:tcBorders>
                    <w:top w:val="single" w:sz="4" w:space="0" w:color="000000"/>
                  </w:tcBorders>
                  <w:vAlign w:val="center"/>
                </w:tcPr>
                <w:p w14:paraId="002BEE22" w14:textId="77777777" w:rsidR="00E42909" w:rsidRPr="00D370A1" w:rsidRDefault="00E42909" w:rsidP="00E42909">
                  <w:pPr>
                    <w:spacing w:after="0" w:line="240" w:lineRule="auto"/>
                    <w:jc w:val="right"/>
                    <w:rPr>
                      <w:rFonts w:ascii="Arial" w:hAnsi="Arial"/>
                      <w:b w:val="0"/>
                    </w:rPr>
                  </w:pPr>
                  <w:r w:rsidRPr="00D370A1">
                    <w:rPr>
                      <w:rFonts w:ascii="Arial" w:hAnsi="Arial"/>
                      <w:b w:val="0"/>
                    </w:rPr>
                    <w:t>1288</w:t>
                  </w:r>
                </w:p>
              </w:tc>
              <w:tc>
                <w:tcPr>
                  <w:tcW w:w="0" w:type="auto"/>
                  <w:tcBorders>
                    <w:top w:val="single" w:sz="4" w:space="0" w:color="000000"/>
                  </w:tcBorders>
                  <w:vAlign w:val="center"/>
                </w:tcPr>
                <w:p w14:paraId="305B3C0F" w14:textId="77777777" w:rsidR="00E42909" w:rsidRPr="00D370A1" w:rsidRDefault="00E42909" w:rsidP="00E42909">
                  <w:pPr>
                    <w:spacing w:after="0" w:line="240" w:lineRule="auto"/>
                    <w:jc w:val="right"/>
                    <w:rPr>
                      <w:rFonts w:ascii="Arial" w:hAnsi="Arial"/>
                      <w:b w:val="0"/>
                    </w:rPr>
                  </w:pPr>
                  <w:r w:rsidRPr="00D370A1">
                    <w:rPr>
                      <w:rFonts w:ascii="Arial" w:hAnsi="Arial"/>
                      <w:b w:val="0"/>
                    </w:rPr>
                    <w:t>1229</w:t>
                  </w:r>
                </w:p>
              </w:tc>
              <w:tc>
                <w:tcPr>
                  <w:tcW w:w="0" w:type="auto"/>
                  <w:tcBorders>
                    <w:top w:val="single" w:sz="4" w:space="0" w:color="000000"/>
                  </w:tcBorders>
                  <w:vAlign w:val="center"/>
                </w:tcPr>
                <w:p w14:paraId="371BDDA6" w14:textId="77777777" w:rsidR="00E42909" w:rsidRPr="00D370A1" w:rsidRDefault="00E42909" w:rsidP="00E42909">
                  <w:pPr>
                    <w:spacing w:after="0" w:line="240" w:lineRule="auto"/>
                    <w:jc w:val="right"/>
                    <w:rPr>
                      <w:rFonts w:ascii="Arial" w:hAnsi="Arial"/>
                      <w:b w:val="0"/>
                    </w:rPr>
                  </w:pPr>
                  <w:r w:rsidRPr="00D370A1">
                    <w:rPr>
                      <w:rFonts w:ascii="Arial" w:hAnsi="Arial"/>
                      <w:b w:val="0"/>
                    </w:rPr>
                    <w:t>3771</w:t>
                  </w:r>
                </w:p>
              </w:tc>
              <w:tc>
                <w:tcPr>
                  <w:tcW w:w="0" w:type="auto"/>
                  <w:tcBorders>
                    <w:top w:val="single" w:sz="4" w:space="0" w:color="000000"/>
                  </w:tcBorders>
                  <w:vAlign w:val="center"/>
                </w:tcPr>
                <w:p w14:paraId="4312F522" w14:textId="77777777" w:rsidR="00E42909" w:rsidRPr="00D370A1" w:rsidRDefault="00E42909" w:rsidP="00E42909">
                  <w:pPr>
                    <w:spacing w:after="0" w:line="240" w:lineRule="auto"/>
                    <w:jc w:val="right"/>
                    <w:rPr>
                      <w:rFonts w:ascii="Arial" w:hAnsi="Arial"/>
                      <w:b w:val="0"/>
                    </w:rPr>
                  </w:pPr>
                  <w:r w:rsidRPr="00D370A1">
                    <w:rPr>
                      <w:rFonts w:ascii="Arial" w:hAnsi="Arial"/>
                      <w:b w:val="0"/>
                    </w:rPr>
                    <w:t>9071</w:t>
                  </w:r>
                </w:p>
              </w:tc>
              <w:tc>
                <w:tcPr>
                  <w:tcW w:w="0" w:type="auto"/>
                  <w:tcBorders>
                    <w:top w:val="single" w:sz="4" w:space="0" w:color="000000"/>
                  </w:tcBorders>
                  <w:vAlign w:val="center"/>
                </w:tcPr>
                <w:p w14:paraId="4952EC4C" w14:textId="77777777" w:rsidR="00E42909" w:rsidRPr="00D370A1" w:rsidRDefault="00E42909" w:rsidP="00E42909">
                  <w:pPr>
                    <w:spacing w:after="0" w:line="240" w:lineRule="auto"/>
                    <w:jc w:val="center"/>
                    <w:rPr>
                      <w:rFonts w:ascii="Arial" w:hAnsi="Arial"/>
                      <w:b w:val="0"/>
                    </w:rPr>
                  </w:pPr>
                  <w:r w:rsidRPr="00D370A1">
                    <w:rPr>
                      <w:rFonts w:ascii="Arial" w:hAnsi="Arial"/>
                      <w:b w:val="0"/>
                    </w:rPr>
                    <w:t>14310</w:t>
                  </w:r>
                </w:p>
              </w:tc>
              <w:tc>
                <w:tcPr>
                  <w:tcW w:w="0" w:type="auto"/>
                  <w:tcBorders>
                    <w:top w:val="single" w:sz="4" w:space="0" w:color="000000"/>
                  </w:tcBorders>
                  <w:vAlign w:val="center"/>
                </w:tcPr>
                <w:p w14:paraId="0D3FFC60" w14:textId="77777777" w:rsidR="00E42909" w:rsidRPr="00D370A1" w:rsidRDefault="00E42909" w:rsidP="00E42909">
                  <w:pPr>
                    <w:spacing w:after="0" w:line="240" w:lineRule="auto"/>
                    <w:rPr>
                      <w:rFonts w:ascii="Arial" w:hAnsi="Arial"/>
                      <w:b w:val="0"/>
                    </w:rPr>
                  </w:pPr>
                  <w:r w:rsidRPr="00D370A1">
                    <w:rPr>
                      <w:rFonts w:ascii="Arial" w:hAnsi="Arial"/>
                      <w:b w:val="0"/>
                    </w:rPr>
                    <w:t>13155</w:t>
                  </w:r>
                </w:p>
              </w:tc>
            </w:tr>
            <w:tr w:rsidR="00E42909" w:rsidRPr="00D370A1" w14:paraId="0227703E" w14:textId="77777777" w:rsidTr="00CD4E34">
              <w:tc>
                <w:tcPr>
                  <w:tcW w:w="0" w:type="auto"/>
                </w:tcPr>
                <w:p w14:paraId="20C070E8" w14:textId="77777777" w:rsidR="00E42909" w:rsidRPr="00D370A1" w:rsidRDefault="00E42909" w:rsidP="00E42909">
                  <w:pPr>
                    <w:spacing w:after="0" w:line="240" w:lineRule="auto"/>
                    <w:rPr>
                      <w:rFonts w:ascii="Arial" w:hAnsi="Arial"/>
                      <w:b w:val="0"/>
                      <w:highlight w:val="yellow"/>
                    </w:rPr>
                  </w:pPr>
                  <w:r w:rsidRPr="00D370A1">
                    <w:rPr>
                      <w:rFonts w:ascii="Arial" w:hAnsi="Arial"/>
                      <w:b w:val="0"/>
                    </w:rPr>
                    <w:t>GGE as percent of GDP</w:t>
                  </w:r>
                </w:p>
              </w:tc>
              <w:tc>
                <w:tcPr>
                  <w:tcW w:w="0" w:type="auto"/>
                  <w:vAlign w:val="center"/>
                </w:tcPr>
                <w:p w14:paraId="11B82AC2" w14:textId="77777777" w:rsidR="00E42909" w:rsidRPr="00D370A1" w:rsidRDefault="00E42909" w:rsidP="00E42909">
                  <w:pPr>
                    <w:spacing w:after="0" w:line="240" w:lineRule="auto"/>
                    <w:jc w:val="right"/>
                    <w:rPr>
                      <w:rFonts w:ascii="Arial" w:hAnsi="Arial"/>
                      <w:b w:val="0"/>
                    </w:rPr>
                  </w:pPr>
                  <w:r w:rsidRPr="00D370A1">
                    <w:rPr>
                      <w:rFonts w:ascii="Arial" w:hAnsi="Arial"/>
                      <w:b w:val="0"/>
                    </w:rPr>
                    <w:t>25.7</w:t>
                  </w:r>
                </w:p>
              </w:tc>
              <w:tc>
                <w:tcPr>
                  <w:tcW w:w="0" w:type="auto"/>
                  <w:vAlign w:val="center"/>
                </w:tcPr>
                <w:p w14:paraId="614D09F9" w14:textId="77777777" w:rsidR="00E42909" w:rsidRPr="00D370A1" w:rsidRDefault="00E42909" w:rsidP="00E42909">
                  <w:pPr>
                    <w:spacing w:after="0" w:line="240" w:lineRule="auto"/>
                    <w:jc w:val="right"/>
                    <w:rPr>
                      <w:rFonts w:ascii="Arial" w:hAnsi="Arial"/>
                      <w:b w:val="0"/>
                    </w:rPr>
                  </w:pPr>
                  <w:r w:rsidRPr="00D370A1">
                    <w:rPr>
                      <w:rFonts w:ascii="Arial" w:hAnsi="Arial"/>
                      <w:b w:val="0"/>
                    </w:rPr>
                    <w:t>23.2</w:t>
                  </w:r>
                </w:p>
              </w:tc>
              <w:tc>
                <w:tcPr>
                  <w:tcW w:w="0" w:type="auto"/>
                  <w:vAlign w:val="center"/>
                </w:tcPr>
                <w:p w14:paraId="638489D2" w14:textId="77777777" w:rsidR="00E42909" w:rsidRPr="00D370A1" w:rsidRDefault="00E42909" w:rsidP="00E42909">
                  <w:pPr>
                    <w:spacing w:after="0" w:line="240" w:lineRule="auto"/>
                    <w:jc w:val="right"/>
                    <w:rPr>
                      <w:rFonts w:ascii="Arial" w:hAnsi="Arial"/>
                      <w:b w:val="0"/>
                    </w:rPr>
                  </w:pPr>
                  <w:r w:rsidRPr="00D370A1">
                    <w:rPr>
                      <w:rFonts w:ascii="Arial" w:hAnsi="Arial"/>
                      <w:b w:val="0"/>
                    </w:rPr>
                    <w:t>27.0</w:t>
                  </w:r>
                </w:p>
              </w:tc>
              <w:tc>
                <w:tcPr>
                  <w:tcW w:w="0" w:type="auto"/>
                  <w:vAlign w:val="center"/>
                </w:tcPr>
                <w:p w14:paraId="6EA81A7F" w14:textId="77777777" w:rsidR="00E42909" w:rsidRPr="00D370A1" w:rsidRDefault="00E42909" w:rsidP="00E42909">
                  <w:pPr>
                    <w:spacing w:after="0" w:line="240" w:lineRule="auto"/>
                    <w:jc w:val="right"/>
                    <w:rPr>
                      <w:rFonts w:ascii="Arial" w:hAnsi="Arial"/>
                      <w:b w:val="0"/>
                    </w:rPr>
                  </w:pPr>
                  <w:r w:rsidRPr="00D370A1">
                    <w:rPr>
                      <w:rFonts w:ascii="Arial" w:hAnsi="Arial"/>
                      <w:b w:val="0"/>
                    </w:rPr>
                    <w:t>22.1</w:t>
                  </w:r>
                </w:p>
              </w:tc>
              <w:tc>
                <w:tcPr>
                  <w:tcW w:w="0" w:type="auto"/>
                  <w:vAlign w:val="center"/>
                </w:tcPr>
                <w:p w14:paraId="420D78D7" w14:textId="77777777" w:rsidR="00E42909" w:rsidRPr="00D370A1" w:rsidRDefault="00E42909" w:rsidP="00E42909">
                  <w:pPr>
                    <w:spacing w:after="0" w:line="240" w:lineRule="auto"/>
                    <w:jc w:val="center"/>
                    <w:rPr>
                      <w:rFonts w:ascii="Arial" w:hAnsi="Arial"/>
                      <w:b w:val="0"/>
                    </w:rPr>
                  </w:pPr>
                  <w:r w:rsidRPr="00D370A1">
                    <w:rPr>
                      <w:rFonts w:ascii="Arial" w:hAnsi="Arial"/>
                      <w:b w:val="0"/>
                    </w:rPr>
                    <w:t>20.1</w:t>
                  </w:r>
                </w:p>
              </w:tc>
              <w:tc>
                <w:tcPr>
                  <w:tcW w:w="0" w:type="auto"/>
                  <w:vAlign w:val="center"/>
                </w:tcPr>
                <w:p w14:paraId="19E1AFF1" w14:textId="77777777" w:rsidR="00E42909" w:rsidRPr="00D370A1" w:rsidRDefault="00E42909" w:rsidP="00E42909">
                  <w:pPr>
                    <w:spacing w:after="0" w:line="240" w:lineRule="auto"/>
                    <w:rPr>
                      <w:rFonts w:ascii="Arial" w:hAnsi="Arial"/>
                      <w:b w:val="0"/>
                    </w:rPr>
                  </w:pPr>
                  <w:r w:rsidRPr="00D370A1">
                    <w:rPr>
                      <w:rFonts w:ascii="Arial" w:hAnsi="Arial"/>
                      <w:b w:val="0"/>
                    </w:rPr>
                    <w:t>21.7</w:t>
                  </w:r>
                </w:p>
              </w:tc>
            </w:tr>
            <w:tr w:rsidR="00E42909" w:rsidRPr="00D370A1" w14:paraId="7A6E2226" w14:textId="77777777" w:rsidTr="00CD4E34">
              <w:tc>
                <w:tcPr>
                  <w:tcW w:w="0" w:type="auto"/>
                </w:tcPr>
                <w:p w14:paraId="3E09BD23" w14:textId="77777777" w:rsidR="00E42909" w:rsidRPr="00D370A1" w:rsidRDefault="00E42909" w:rsidP="00E42909">
                  <w:pPr>
                    <w:spacing w:after="0" w:line="240" w:lineRule="auto"/>
                    <w:rPr>
                      <w:rFonts w:ascii="Arial" w:hAnsi="Arial"/>
                      <w:b w:val="0"/>
                      <w:highlight w:val="yellow"/>
                    </w:rPr>
                  </w:pPr>
                  <w:r w:rsidRPr="00D370A1">
                    <w:rPr>
                      <w:rFonts w:ascii="Arial" w:hAnsi="Arial"/>
                      <w:b w:val="0"/>
                    </w:rPr>
                    <w:t>GGHE as percent of GGE</w:t>
                  </w:r>
                </w:p>
              </w:tc>
              <w:tc>
                <w:tcPr>
                  <w:tcW w:w="0" w:type="auto"/>
                  <w:vAlign w:val="center"/>
                </w:tcPr>
                <w:p w14:paraId="16A9AD8E" w14:textId="77777777" w:rsidR="00E42909" w:rsidRPr="00D370A1" w:rsidRDefault="00E42909" w:rsidP="00E42909">
                  <w:pPr>
                    <w:spacing w:after="0" w:line="240" w:lineRule="auto"/>
                    <w:jc w:val="right"/>
                    <w:rPr>
                      <w:rFonts w:ascii="Arial" w:hAnsi="Arial"/>
                      <w:b w:val="0"/>
                    </w:rPr>
                  </w:pPr>
                  <w:r w:rsidRPr="00D370A1">
                    <w:rPr>
                      <w:rFonts w:ascii="Arial" w:hAnsi="Arial"/>
                      <w:b w:val="0"/>
                    </w:rPr>
                    <w:t>11.5</w:t>
                  </w:r>
                </w:p>
              </w:tc>
              <w:tc>
                <w:tcPr>
                  <w:tcW w:w="0" w:type="auto"/>
                  <w:vAlign w:val="center"/>
                </w:tcPr>
                <w:p w14:paraId="0673CFCB" w14:textId="31F811C8" w:rsidR="00E42909" w:rsidRPr="00D370A1" w:rsidRDefault="002265F6" w:rsidP="00E42909">
                  <w:pPr>
                    <w:spacing w:after="0" w:line="240" w:lineRule="auto"/>
                    <w:jc w:val="right"/>
                    <w:rPr>
                      <w:rFonts w:ascii="Arial" w:hAnsi="Arial"/>
                      <w:b w:val="0"/>
                    </w:rPr>
                  </w:pPr>
                  <w:r w:rsidRPr="00D370A1">
                    <w:rPr>
                      <w:rFonts w:ascii="Arial" w:hAnsi="Arial"/>
                      <w:b w:val="0"/>
                    </w:rPr>
                    <w:t>9.2</w:t>
                  </w:r>
                </w:p>
              </w:tc>
              <w:tc>
                <w:tcPr>
                  <w:tcW w:w="0" w:type="auto"/>
                  <w:vAlign w:val="center"/>
                </w:tcPr>
                <w:p w14:paraId="23F762DC" w14:textId="77777777" w:rsidR="00E42909" w:rsidRPr="00D370A1" w:rsidRDefault="00E42909" w:rsidP="00E42909">
                  <w:pPr>
                    <w:spacing w:after="0" w:line="240" w:lineRule="auto"/>
                    <w:jc w:val="right"/>
                    <w:rPr>
                      <w:rFonts w:ascii="Arial" w:hAnsi="Arial"/>
                      <w:b w:val="0"/>
                    </w:rPr>
                  </w:pPr>
                  <w:r w:rsidRPr="00D370A1">
                    <w:rPr>
                      <w:rFonts w:ascii="Arial" w:hAnsi="Arial"/>
                      <w:b w:val="0"/>
                    </w:rPr>
                    <w:t>9.3</w:t>
                  </w:r>
                </w:p>
              </w:tc>
              <w:tc>
                <w:tcPr>
                  <w:tcW w:w="0" w:type="auto"/>
                  <w:vAlign w:val="center"/>
                </w:tcPr>
                <w:p w14:paraId="649849AB" w14:textId="77777777" w:rsidR="00E42909" w:rsidRPr="00D370A1" w:rsidRDefault="00E42909" w:rsidP="00E42909">
                  <w:pPr>
                    <w:spacing w:after="0" w:line="240" w:lineRule="auto"/>
                    <w:jc w:val="right"/>
                    <w:rPr>
                      <w:rFonts w:ascii="Arial" w:hAnsi="Arial"/>
                      <w:b w:val="0"/>
                    </w:rPr>
                  </w:pPr>
                  <w:r w:rsidRPr="00D370A1">
                    <w:rPr>
                      <w:rFonts w:ascii="Arial" w:hAnsi="Arial"/>
                      <w:b w:val="0"/>
                    </w:rPr>
                    <w:t>11.4</w:t>
                  </w:r>
                </w:p>
              </w:tc>
              <w:tc>
                <w:tcPr>
                  <w:tcW w:w="0" w:type="auto"/>
                  <w:vAlign w:val="center"/>
                </w:tcPr>
                <w:p w14:paraId="414F045B" w14:textId="77777777" w:rsidR="00E42909" w:rsidRPr="00D370A1" w:rsidRDefault="00E42909" w:rsidP="00E42909">
                  <w:pPr>
                    <w:spacing w:after="0" w:line="240" w:lineRule="auto"/>
                    <w:jc w:val="center"/>
                    <w:rPr>
                      <w:rFonts w:ascii="Arial" w:hAnsi="Arial"/>
                      <w:b w:val="0"/>
                    </w:rPr>
                  </w:pPr>
                  <w:r w:rsidRPr="00D370A1">
                    <w:rPr>
                      <w:rFonts w:ascii="Arial" w:hAnsi="Arial"/>
                      <w:b w:val="0"/>
                    </w:rPr>
                    <w:t>10.9</w:t>
                  </w:r>
                </w:p>
              </w:tc>
              <w:tc>
                <w:tcPr>
                  <w:tcW w:w="0" w:type="auto"/>
                  <w:vAlign w:val="center"/>
                </w:tcPr>
                <w:p w14:paraId="0F66EBBB" w14:textId="77777777" w:rsidR="00E42909" w:rsidRPr="00D370A1" w:rsidRDefault="00E42909" w:rsidP="00E42909">
                  <w:pPr>
                    <w:spacing w:after="0" w:line="240" w:lineRule="auto"/>
                    <w:rPr>
                      <w:rFonts w:ascii="Arial" w:hAnsi="Arial"/>
                      <w:b w:val="0"/>
                    </w:rPr>
                  </w:pPr>
                  <w:r w:rsidRPr="00D370A1">
                    <w:rPr>
                      <w:rFonts w:ascii="Arial" w:hAnsi="Arial"/>
                      <w:b w:val="0"/>
                    </w:rPr>
                    <w:t>10.9</w:t>
                  </w:r>
                </w:p>
              </w:tc>
            </w:tr>
            <w:tr w:rsidR="00D370A1" w:rsidRPr="00D370A1" w14:paraId="28DD0150" w14:textId="77777777" w:rsidTr="00CD4E34">
              <w:tc>
                <w:tcPr>
                  <w:tcW w:w="0" w:type="auto"/>
                </w:tcPr>
                <w:p w14:paraId="6E20F500" w14:textId="77777777" w:rsidR="00E42909" w:rsidRPr="00D370A1" w:rsidRDefault="00E42909" w:rsidP="00E42909">
                  <w:pPr>
                    <w:spacing w:after="0" w:line="240" w:lineRule="auto"/>
                    <w:rPr>
                      <w:rFonts w:ascii="Arial" w:hAnsi="Arial"/>
                      <w:b w:val="0"/>
                      <w:highlight w:val="yellow"/>
                    </w:rPr>
                  </w:pPr>
                  <w:r w:rsidRPr="00D370A1">
                    <w:rPr>
                      <w:rFonts w:ascii="Arial" w:hAnsi="Arial"/>
                      <w:b w:val="0"/>
                    </w:rPr>
                    <w:t>THE (PPP$ per capita)</w:t>
                  </w:r>
                </w:p>
              </w:tc>
              <w:tc>
                <w:tcPr>
                  <w:tcW w:w="0" w:type="auto"/>
                  <w:vAlign w:val="center"/>
                </w:tcPr>
                <w:p w14:paraId="0164021B" w14:textId="77777777" w:rsidR="00E42909" w:rsidRPr="00D370A1" w:rsidRDefault="00E42909" w:rsidP="00E42909">
                  <w:pPr>
                    <w:spacing w:after="0" w:line="240" w:lineRule="auto"/>
                    <w:jc w:val="right"/>
                    <w:rPr>
                      <w:rFonts w:ascii="Arial" w:hAnsi="Arial"/>
                      <w:b w:val="0"/>
                    </w:rPr>
                  </w:pPr>
                  <w:r w:rsidRPr="00D370A1">
                    <w:rPr>
                      <w:rFonts w:ascii="Arial" w:hAnsi="Arial"/>
                      <w:b w:val="0"/>
                    </w:rPr>
                    <w:t>270</w:t>
                  </w:r>
                </w:p>
              </w:tc>
              <w:tc>
                <w:tcPr>
                  <w:tcW w:w="0" w:type="auto"/>
                  <w:vAlign w:val="center"/>
                </w:tcPr>
                <w:p w14:paraId="74B17815" w14:textId="77777777" w:rsidR="00E42909" w:rsidRPr="00D370A1" w:rsidRDefault="00E42909" w:rsidP="00E42909">
                  <w:pPr>
                    <w:spacing w:after="0" w:line="240" w:lineRule="auto"/>
                    <w:jc w:val="right"/>
                    <w:rPr>
                      <w:rFonts w:ascii="Arial" w:hAnsi="Arial"/>
                      <w:b w:val="0"/>
                    </w:rPr>
                  </w:pPr>
                  <w:r w:rsidRPr="00D370A1">
                    <w:rPr>
                      <w:rFonts w:ascii="Arial" w:hAnsi="Arial"/>
                      <w:b w:val="0"/>
                    </w:rPr>
                    <w:t>319</w:t>
                  </w:r>
                </w:p>
              </w:tc>
              <w:tc>
                <w:tcPr>
                  <w:tcW w:w="0" w:type="auto"/>
                  <w:vAlign w:val="center"/>
                </w:tcPr>
                <w:p w14:paraId="5758B943" w14:textId="77777777" w:rsidR="00E42909" w:rsidRPr="00D370A1" w:rsidRDefault="00E42909" w:rsidP="00E42909">
                  <w:pPr>
                    <w:spacing w:after="0" w:line="240" w:lineRule="auto"/>
                    <w:jc w:val="right"/>
                    <w:rPr>
                      <w:rFonts w:ascii="Arial" w:hAnsi="Arial"/>
                      <w:b w:val="0"/>
                    </w:rPr>
                  </w:pPr>
                  <w:r w:rsidRPr="00D370A1">
                    <w:rPr>
                      <w:rFonts w:ascii="Arial" w:hAnsi="Arial"/>
                      <w:b w:val="0"/>
                    </w:rPr>
                    <w:t>555</w:t>
                  </w:r>
                </w:p>
              </w:tc>
              <w:tc>
                <w:tcPr>
                  <w:tcW w:w="0" w:type="auto"/>
                  <w:vAlign w:val="center"/>
                </w:tcPr>
                <w:p w14:paraId="01C8197C" w14:textId="77777777" w:rsidR="00E42909" w:rsidRPr="00D370A1" w:rsidRDefault="00E42909" w:rsidP="00E42909">
                  <w:pPr>
                    <w:spacing w:after="0" w:line="240" w:lineRule="auto"/>
                    <w:jc w:val="right"/>
                    <w:rPr>
                      <w:rFonts w:ascii="Arial" w:hAnsi="Arial"/>
                      <w:b w:val="0"/>
                    </w:rPr>
                  </w:pPr>
                  <w:r w:rsidRPr="00D370A1">
                    <w:rPr>
                      <w:rFonts w:ascii="Arial" w:hAnsi="Arial"/>
                      <w:b w:val="0"/>
                    </w:rPr>
                    <w:t>849</w:t>
                  </w:r>
                </w:p>
              </w:tc>
              <w:tc>
                <w:tcPr>
                  <w:tcW w:w="0" w:type="auto"/>
                  <w:vAlign w:val="center"/>
                </w:tcPr>
                <w:p w14:paraId="74864ADD" w14:textId="77777777" w:rsidR="00E42909" w:rsidRPr="00D370A1" w:rsidRDefault="00E42909" w:rsidP="00E42909">
                  <w:pPr>
                    <w:spacing w:after="0" w:line="240" w:lineRule="auto"/>
                    <w:jc w:val="center"/>
                    <w:rPr>
                      <w:rFonts w:ascii="Arial" w:hAnsi="Arial"/>
                      <w:b w:val="0"/>
                    </w:rPr>
                  </w:pPr>
                  <w:r w:rsidRPr="00D370A1">
                    <w:rPr>
                      <w:rFonts w:ascii="Arial" w:hAnsi="Arial"/>
                      <w:b w:val="0"/>
                    </w:rPr>
                    <w:t>994</w:t>
                  </w:r>
                </w:p>
              </w:tc>
              <w:tc>
                <w:tcPr>
                  <w:tcW w:w="0" w:type="auto"/>
                  <w:vAlign w:val="center"/>
                </w:tcPr>
                <w:p w14:paraId="5EF2EF8E" w14:textId="77777777" w:rsidR="00E42909" w:rsidRPr="00D370A1" w:rsidRDefault="00E42909" w:rsidP="00E42909">
                  <w:pPr>
                    <w:spacing w:after="0" w:line="240" w:lineRule="auto"/>
                    <w:rPr>
                      <w:rFonts w:ascii="Arial" w:hAnsi="Arial"/>
                      <w:b w:val="0"/>
                    </w:rPr>
                  </w:pPr>
                  <w:r w:rsidRPr="00D370A1">
                    <w:rPr>
                      <w:rFonts w:ascii="Arial" w:hAnsi="Arial"/>
                      <w:b w:val="0"/>
                    </w:rPr>
                    <w:t>1068</w:t>
                  </w:r>
                </w:p>
              </w:tc>
            </w:tr>
            <w:tr w:rsidR="00D370A1" w:rsidRPr="00D370A1" w14:paraId="1A8BDA34" w14:textId="77777777" w:rsidTr="00CD4E34">
              <w:trPr>
                <w:trHeight w:val="251"/>
              </w:trPr>
              <w:tc>
                <w:tcPr>
                  <w:tcW w:w="0" w:type="auto"/>
                </w:tcPr>
                <w:p w14:paraId="41883507" w14:textId="77777777" w:rsidR="00E42909" w:rsidRPr="00D370A1" w:rsidRDefault="00E42909" w:rsidP="00E42909">
                  <w:pPr>
                    <w:spacing w:after="0" w:line="240" w:lineRule="auto"/>
                    <w:rPr>
                      <w:rFonts w:ascii="Arial" w:hAnsi="Arial"/>
                      <w:b w:val="0"/>
                      <w:highlight w:val="yellow"/>
                    </w:rPr>
                  </w:pPr>
                  <w:r w:rsidRPr="00D370A1">
                    <w:rPr>
                      <w:rFonts w:ascii="Arial" w:hAnsi="Arial"/>
                      <w:b w:val="0"/>
                    </w:rPr>
                    <w:t>THE as percent of GDP</w:t>
                  </w:r>
                </w:p>
              </w:tc>
              <w:tc>
                <w:tcPr>
                  <w:tcW w:w="0" w:type="auto"/>
                  <w:vAlign w:val="center"/>
                </w:tcPr>
                <w:p w14:paraId="216714A7" w14:textId="77777777" w:rsidR="00E42909" w:rsidRPr="00D370A1" w:rsidRDefault="00E42909" w:rsidP="00E42909">
                  <w:pPr>
                    <w:spacing w:after="0" w:line="240" w:lineRule="auto"/>
                    <w:jc w:val="right"/>
                    <w:rPr>
                      <w:rFonts w:ascii="Arial" w:hAnsi="Arial"/>
                      <w:b w:val="0"/>
                    </w:rPr>
                  </w:pPr>
                  <w:r w:rsidRPr="00D370A1">
                    <w:rPr>
                      <w:rFonts w:ascii="Arial" w:hAnsi="Arial"/>
                      <w:b w:val="0"/>
                    </w:rPr>
                    <w:t>4.6</w:t>
                  </w:r>
                </w:p>
              </w:tc>
              <w:tc>
                <w:tcPr>
                  <w:tcW w:w="0" w:type="auto"/>
                  <w:vAlign w:val="center"/>
                </w:tcPr>
                <w:p w14:paraId="0A900C9C" w14:textId="77777777" w:rsidR="00E42909" w:rsidRPr="00D370A1" w:rsidRDefault="00E42909" w:rsidP="00E42909">
                  <w:pPr>
                    <w:spacing w:after="0" w:line="240" w:lineRule="auto"/>
                    <w:jc w:val="right"/>
                    <w:rPr>
                      <w:rFonts w:ascii="Arial" w:hAnsi="Arial"/>
                      <w:b w:val="0"/>
                    </w:rPr>
                  </w:pPr>
                  <w:r w:rsidRPr="00D370A1">
                    <w:rPr>
                      <w:rFonts w:ascii="Arial" w:hAnsi="Arial"/>
                      <w:b w:val="0"/>
                    </w:rPr>
                    <w:t>4.2</w:t>
                  </w:r>
                </w:p>
              </w:tc>
              <w:tc>
                <w:tcPr>
                  <w:tcW w:w="0" w:type="auto"/>
                  <w:vAlign w:val="center"/>
                </w:tcPr>
                <w:p w14:paraId="53406A27" w14:textId="77777777" w:rsidR="00E42909" w:rsidRPr="00D370A1" w:rsidRDefault="00E42909" w:rsidP="00E42909">
                  <w:pPr>
                    <w:spacing w:after="0" w:line="240" w:lineRule="auto"/>
                    <w:jc w:val="right"/>
                    <w:rPr>
                      <w:rFonts w:ascii="Arial" w:hAnsi="Arial"/>
                      <w:b w:val="0"/>
                    </w:rPr>
                  </w:pPr>
                  <w:r w:rsidRPr="00D370A1">
                    <w:rPr>
                      <w:rFonts w:ascii="Arial" w:hAnsi="Arial"/>
                      <w:b w:val="0"/>
                    </w:rPr>
                    <w:t>4.1</w:t>
                  </w:r>
                </w:p>
              </w:tc>
              <w:tc>
                <w:tcPr>
                  <w:tcW w:w="0" w:type="auto"/>
                  <w:vAlign w:val="center"/>
                </w:tcPr>
                <w:p w14:paraId="69353DD2" w14:textId="77777777" w:rsidR="00E42909" w:rsidRPr="00D370A1" w:rsidRDefault="00E42909" w:rsidP="00E42909">
                  <w:pPr>
                    <w:spacing w:after="0" w:line="240" w:lineRule="auto"/>
                    <w:jc w:val="right"/>
                    <w:rPr>
                      <w:rFonts w:ascii="Arial" w:hAnsi="Arial"/>
                      <w:b w:val="0"/>
                    </w:rPr>
                  </w:pPr>
                  <w:r w:rsidRPr="00D370A1">
                    <w:rPr>
                      <w:rFonts w:ascii="Arial" w:hAnsi="Arial"/>
                      <w:b w:val="0"/>
                    </w:rPr>
                    <w:t>4.4</w:t>
                  </w:r>
                </w:p>
              </w:tc>
              <w:tc>
                <w:tcPr>
                  <w:tcW w:w="0" w:type="auto"/>
                  <w:vAlign w:val="center"/>
                </w:tcPr>
                <w:p w14:paraId="3A919175" w14:textId="77777777" w:rsidR="00E42909" w:rsidRPr="00D370A1" w:rsidRDefault="00E42909" w:rsidP="00E42909">
                  <w:pPr>
                    <w:spacing w:after="0" w:line="240" w:lineRule="auto"/>
                    <w:jc w:val="center"/>
                    <w:rPr>
                      <w:rFonts w:ascii="Arial" w:hAnsi="Arial"/>
                      <w:b w:val="0"/>
                    </w:rPr>
                  </w:pPr>
                  <w:r w:rsidRPr="00D370A1">
                    <w:rPr>
                      <w:rFonts w:ascii="Arial" w:hAnsi="Arial"/>
                      <w:b w:val="0"/>
                    </w:rPr>
                    <w:t>4.3</w:t>
                  </w:r>
                </w:p>
              </w:tc>
              <w:tc>
                <w:tcPr>
                  <w:tcW w:w="0" w:type="auto"/>
                  <w:vAlign w:val="center"/>
                </w:tcPr>
                <w:p w14:paraId="7D860C1E" w14:textId="77777777" w:rsidR="00E42909" w:rsidRPr="00D370A1" w:rsidRDefault="00E42909" w:rsidP="00E42909">
                  <w:pPr>
                    <w:spacing w:after="0" w:line="240" w:lineRule="auto"/>
                    <w:rPr>
                      <w:rFonts w:ascii="Arial" w:hAnsi="Arial"/>
                      <w:b w:val="0"/>
                    </w:rPr>
                  </w:pPr>
                  <w:r w:rsidRPr="00D370A1">
                    <w:rPr>
                      <w:rFonts w:ascii="Arial" w:hAnsi="Arial"/>
                      <w:b w:val="0"/>
                    </w:rPr>
                    <w:t>4.4</w:t>
                  </w:r>
                </w:p>
              </w:tc>
            </w:tr>
            <w:tr w:rsidR="00D370A1" w:rsidRPr="00D370A1" w14:paraId="0C7EAD69" w14:textId="77777777" w:rsidTr="00CD4E34">
              <w:tc>
                <w:tcPr>
                  <w:tcW w:w="0" w:type="auto"/>
                </w:tcPr>
                <w:p w14:paraId="023EC7C0" w14:textId="77777777" w:rsidR="00E42909" w:rsidRPr="00D370A1" w:rsidRDefault="00E42909" w:rsidP="00E42909">
                  <w:pPr>
                    <w:spacing w:after="0" w:line="240" w:lineRule="auto"/>
                    <w:rPr>
                      <w:rFonts w:ascii="Arial" w:hAnsi="Arial"/>
                      <w:b w:val="0"/>
                      <w:highlight w:val="yellow"/>
                    </w:rPr>
                  </w:pPr>
                  <w:r w:rsidRPr="00D370A1">
                    <w:rPr>
                      <w:rFonts w:ascii="Arial" w:hAnsi="Arial"/>
                      <w:b w:val="0"/>
                    </w:rPr>
                    <w:t>GGHE as percent of GDP</w:t>
                  </w:r>
                </w:p>
              </w:tc>
              <w:tc>
                <w:tcPr>
                  <w:tcW w:w="0" w:type="auto"/>
                  <w:vAlign w:val="center"/>
                </w:tcPr>
                <w:p w14:paraId="3D81AF79" w14:textId="77777777" w:rsidR="00E42909" w:rsidRPr="00D370A1" w:rsidRDefault="00E42909" w:rsidP="00E42909">
                  <w:pPr>
                    <w:spacing w:after="0" w:line="240" w:lineRule="auto"/>
                    <w:jc w:val="right"/>
                    <w:rPr>
                      <w:rFonts w:ascii="Arial" w:hAnsi="Arial"/>
                      <w:b w:val="0"/>
                    </w:rPr>
                  </w:pPr>
                  <w:r w:rsidRPr="00D370A1">
                    <w:rPr>
                      <w:rFonts w:ascii="Arial" w:hAnsi="Arial"/>
                      <w:b w:val="0"/>
                    </w:rPr>
                    <w:t>3.0</w:t>
                  </w:r>
                </w:p>
              </w:tc>
              <w:tc>
                <w:tcPr>
                  <w:tcW w:w="0" w:type="auto"/>
                  <w:vAlign w:val="center"/>
                </w:tcPr>
                <w:p w14:paraId="33357A92" w14:textId="77777777" w:rsidR="00E42909" w:rsidRPr="00D370A1" w:rsidRDefault="00E42909" w:rsidP="00E42909">
                  <w:pPr>
                    <w:spacing w:after="0" w:line="240" w:lineRule="auto"/>
                    <w:jc w:val="right"/>
                    <w:rPr>
                      <w:rFonts w:ascii="Arial" w:hAnsi="Arial"/>
                      <w:b w:val="0"/>
                    </w:rPr>
                  </w:pPr>
                  <w:r w:rsidRPr="00D370A1">
                    <w:rPr>
                      <w:rFonts w:ascii="Arial" w:hAnsi="Arial"/>
                      <w:b w:val="0"/>
                    </w:rPr>
                    <w:t>2.1</w:t>
                  </w:r>
                </w:p>
              </w:tc>
              <w:tc>
                <w:tcPr>
                  <w:tcW w:w="0" w:type="auto"/>
                  <w:vAlign w:val="center"/>
                </w:tcPr>
                <w:p w14:paraId="25ABF3B4" w14:textId="77777777" w:rsidR="00E42909" w:rsidRPr="00D370A1" w:rsidRDefault="00E42909" w:rsidP="00E42909">
                  <w:pPr>
                    <w:spacing w:after="0" w:line="240" w:lineRule="auto"/>
                    <w:jc w:val="right"/>
                    <w:rPr>
                      <w:rFonts w:ascii="Arial" w:hAnsi="Arial"/>
                      <w:b w:val="0"/>
                    </w:rPr>
                  </w:pPr>
                  <w:r w:rsidRPr="00D370A1">
                    <w:rPr>
                      <w:rFonts w:ascii="Arial" w:hAnsi="Arial"/>
                      <w:b w:val="0"/>
                    </w:rPr>
                    <w:t>2.5</w:t>
                  </w:r>
                </w:p>
              </w:tc>
              <w:tc>
                <w:tcPr>
                  <w:tcW w:w="0" w:type="auto"/>
                  <w:vAlign w:val="center"/>
                </w:tcPr>
                <w:p w14:paraId="50B110DD" w14:textId="77777777" w:rsidR="00E42909" w:rsidRPr="00D370A1" w:rsidRDefault="00E42909" w:rsidP="00E42909">
                  <w:pPr>
                    <w:spacing w:after="0" w:line="240" w:lineRule="auto"/>
                    <w:jc w:val="right"/>
                    <w:rPr>
                      <w:rFonts w:ascii="Arial" w:hAnsi="Arial"/>
                      <w:b w:val="0"/>
                    </w:rPr>
                  </w:pPr>
                  <w:r w:rsidRPr="00D370A1">
                    <w:rPr>
                      <w:rFonts w:ascii="Arial" w:hAnsi="Arial"/>
                      <w:b w:val="0"/>
                    </w:rPr>
                    <w:t>2.5</w:t>
                  </w:r>
                </w:p>
              </w:tc>
              <w:tc>
                <w:tcPr>
                  <w:tcW w:w="0" w:type="auto"/>
                  <w:vAlign w:val="center"/>
                </w:tcPr>
                <w:p w14:paraId="33E0CB46" w14:textId="77777777" w:rsidR="00E42909" w:rsidRPr="00D370A1" w:rsidRDefault="00E42909" w:rsidP="00E42909">
                  <w:pPr>
                    <w:spacing w:after="0" w:line="240" w:lineRule="auto"/>
                    <w:jc w:val="center"/>
                    <w:rPr>
                      <w:rFonts w:ascii="Arial" w:hAnsi="Arial"/>
                      <w:b w:val="0"/>
                    </w:rPr>
                  </w:pPr>
                  <w:r w:rsidRPr="00D370A1">
                    <w:rPr>
                      <w:rFonts w:ascii="Arial" w:hAnsi="Arial"/>
                      <w:b w:val="0"/>
                    </w:rPr>
                    <w:t>2.2</w:t>
                  </w:r>
                </w:p>
              </w:tc>
              <w:tc>
                <w:tcPr>
                  <w:tcW w:w="0" w:type="auto"/>
                  <w:vAlign w:val="center"/>
                </w:tcPr>
                <w:p w14:paraId="51E2FFDD" w14:textId="77777777" w:rsidR="00E42909" w:rsidRPr="00D370A1" w:rsidRDefault="00E42909" w:rsidP="00E42909">
                  <w:pPr>
                    <w:spacing w:after="0" w:line="240" w:lineRule="auto"/>
                    <w:rPr>
                      <w:rFonts w:ascii="Arial" w:hAnsi="Arial"/>
                      <w:b w:val="0"/>
                    </w:rPr>
                  </w:pPr>
                  <w:r w:rsidRPr="00D370A1">
                    <w:rPr>
                      <w:rFonts w:ascii="Arial" w:hAnsi="Arial"/>
                      <w:b w:val="0"/>
                    </w:rPr>
                    <w:t>2.4</w:t>
                  </w:r>
                </w:p>
              </w:tc>
            </w:tr>
            <w:tr w:rsidR="00D370A1" w:rsidRPr="00D370A1" w14:paraId="6B9E9D20" w14:textId="77777777" w:rsidTr="00CD4E34">
              <w:tc>
                <w:tcPr>
                  <w:tcW w:w="0" w:type="auto"/>
                </w:tcPr>
                <w:p w14:paraId="72CF4CBD" w14:textId="77777777" w:rsidR="00E42909" w:rsidRPr="00D370A1" w:rsidRDefault="00E42909" w:rsidP="00E42909">
                  <w:pPr>
                    <w:spacing w:after="0" w:line="240" w:lineRule="auto"/>
                    <w:rPr>
                      <w:rFonts w:ascii="Arial" w:hAnsi="Arial"/>
                      <w:b w:val="0"/>
                      <w:highlight w:val="yellow"/>
                    </w:rPr>
                  </w:pPr>
                  <w:r w:rsidRPr="00D370A1">
                    <w:rPr>
                      <w:rFonts w:ascii="Arial" w:hAnsi="Arial"/>
                      <w:b w:val="0"/>
                    </w:rPr>
                    <w:t>GGHE as percent of THE</w:t>
                  </w:r>
                </w:p>
              </w:tc>
              <w:tc>
                <w:tcPr>
                  <w:tcW w:w="0" w:type="auto"/>
                  <w:vAlign w:val="center"/>
                </w:tcPr>
                <w:p w14:paraId="15BFE653" w14:textId="77777777" w:rsidR="00E42909" w:rsidRPr="00D370A1" w:rsidRDefault="00E42909" w:rsidP="00E42909">
                  <w:pPr>
                    <w:spacing w:after="0" w:line="240" w:lineRule="auto"/>
                    <w:jc w:val="right"/>
                    <w:rPr>
                      <w:rFonts w:ascii="Arial" w:hAnsi="Arial"/>
                      <w:b w:val="0"/>
                    </w:rPr>
                  </w:pPr>
                  <w:r w:rsidRPr="00D370A1">
                    <w:rPr>
                      <w:rFonts w:ascii="Arial" w:hAnsi="Arial"/>
                      <w:b w:val="0"/>
                    </w:rPr>
                    <w:t>64.0</w:t>
                  </w:r>
                </w:p>
              </w:tc>
              <w:tc>
                <w:tcPr>
                  <w:tcW w:w="0" w:type="auto"/>
                  <w:vAlign w:val="center"/>
                </w:tcPr>
                <w:p w14:paraId="7DF3B4C6" w14:textId="77777777" w:rsidR="00E42909" w:rsidRPr="00D370A1" w:rsidRDefault="00E42909" w:rsidP="00E42909">
                  <w:pPr>
                    <w:spacing w:after="0" w:line="240" w:lineRule="auto"/>
                    <w:jc w:val="right"/>
                    <w:rPr>
                      <w:rFonts w:ascii="Arial" w:hAnsi="Arial"/>
                      <w:b w:val="0"/>
                    </w:rPr>
                  </w:pPr>
                  <w:r w:rsidRPr="00D370A1">
                    <w:rPr>
                      <w:rFonts w:ascii="Arial" w:hAnsi="Arial"/>
                      <w:b w:val="0"/>
                    </w:rPr>
                    <w:t>50.9</w:t>
                  </w:r>
                </w:p>
              </w:tc>
              <w:tc>
                <w:tcPr>
                  <w:tcW w:w="0" w:type="auto"/>
                  <w:vAlign w:val="center"/>
                </w:tcPr>
                <w:p w14:paraId="096AF9BB" w14:textId="77777777" w:rsidR="00E42909" w:rsidRPr="00D370A1" w:rsidRDefault="00E42909" w:rsidP="00E42909">
                  <w:pPr>
                    <w:spacing w:after="0" w:line="240" w:lineRule="auto"/>
                    <w:jc w:val="right"/>
                    <w:rPr>
                      <w:rFonts w:ascii="Arial" w:hAnsi="Arial"/>
                      <w:b w:val="0"/>
                    </w:rPr>
                  </w:pPr>
                  <w:r w:rsidRPr="00D370A1">
                    <w:rPr>
                      <w:rFonts w:ascii="Arial" w:hAnsi="Arial"/>
                      <w:b w:val="0"/>
                    </w:rPr>
                    <w:t>62.0</w:t>
                  </w:r>
                </w:p>
              </w:tc>
              <w:tc>
                <w:tcPr>
                  <w:tcW w:w="0" w:type="auto"/>
                  <w:vAlign w:val="center"/>
                </w:tcPr>
                <w:p w14:paraId="67FB40B1" w14:textId="77777777" w:rsidR="00E42909" w:rsidRPr="00D370A1" w:rsidRDefault="00E42909" w:rsidP="00E42909">
                  <w:pPr>
                    <w:spacing w:after="0" w:line="240" w:lineRule="auto"/>
                    <w:jc w:val="right"/>
                    <w:rPr>
                      <w:rFonts w:ascii="Arial" w:hAnsi="Arial"/>
                      <w:b w:val="0"/>
                    </w:rPr>
                  </w:pPr>
                  <w:r w:rsidRPr="00D370A1">
                    <w:rPr>
                      <w:rFonts w:ascii="Arial" w:hAnsi="Arial"/>
                      <w:b w:val="0"/>
                    </w:rPr>
                    <w:t>57.2</w:t>
                  </w:r>
                </w:p>
              </w:tc>
              <w:tc>
                <w:tcPr>
                  <w:tcW w:w="0" w:type="auto"/>
                  <w:vAlign w:val="center"/>
                </w:tcPr>
                <w:p w14:paraId="2CEDA443" w14:textId="77777777" w:rsidR="00E42909" w:rsidRPr="00D370A1" w:rsidRDefault="00E42909" w:rsidP="00E42909">
                  <w:pPr>
                    <w:spacing w:after="0" w:line="240" w:lineRule="auto"/>
                    <w:jc w:val="center"/>
                    <w:rPr>
                      <w:rFonts w:ascii="Arial" w:hAnsi="Arial"/>
                      <w:b w:val="0"/>
                    </w:rPr>
                  </w:pPr>
                  <w:r w:rsidRPr="00D370A1">
                    <w:rPr>
                      <w:rFonts w:ascii="Arial" w:hAnsi="Arial"/>
                      <w:b w:val="0"/>
                    </w:rPr>
                    <w:t>50.9</w:t>
                  </w:r>
                </w:p>
              </w:tc>
              <w:tc>
                <w:tcPr>
                  <w:tcW w:w="0" w:type="auto"/>
                  <w:vAlign w:val="center"/>
                </w:tcPr>
                <w:p w14:paraId="33C36FA3" w14:textId="77777777" w:rsidR="00E42909" w:rsidRPr="00D370A1" w:rsidRDefault="00E42909" w:rsidP="00E42909">
                  <w:pPr>
                    <w:spacing w:after="0" w:line="240" w:lineRule="auto"/>
                    <w:rPr>
                      <w:rFonts w:ascii="Arial" w:hAnsi="Arial"/>
                      <w:b w:val="0"/>
                    </w:rPr>
                  </w:pPr>
                  <w:r w:rsidRPr="00D370A1">
                    <w:rPr>
                      <w:rFonts w:ascii="Arial" w:hAnsi="Arial"/>
                      <w:b w:val="0"/>
                    </w:rPr>
                    <w:t>54.4</w:t>
                  </w:r>
                </w:p>
              </w:tc>
            </w:tr>
            <w:tr w:rsidR="00D370A1" w:rsidRPr="00D370A1" w14:paraId="79AE4E70" w14:textId="77777777" w:rsidTr="00CD4E34">
              <w:tc>
                <w:tcPr>
                  <w:tcW w:w="0" w:type="auto"/>
                  <w:shd w:val="clear" w:color="auto" w:fill="auto"/>
                </w:tcPr>
                <w:p w14:paraId="3EFEB775" w14:textId="77777777" w:rsidR="00E42909" w:rsidRPr="00D370A1" w:rsidRDefault="00E42909" w:rsidP="00E42909">
                  <w:pPr>
                    <w:spacing w:after="0" w:line="240" w:lineRule="auto"/>
                    <w:rPr>
                      <w:rFonts w:ascii="Arial" w:hAnsi="Arial"/>
                      <w:b w:val="0"/>
                      <w:highlight w:val="yellow"/>
                    </w:rPr>
                  </w:pPr>
                  <w:r w:rsidRPr="00D370A1">
                    <w:rPr>
                      <w:rFonts w:ascii="Arial" w:hAnsi="Arial"/>
                      <w:b w:val="0"/>
                    </w:rPr>
                    <w:t>PvHE as percent of THE</w:t>
                  </w:r>
                </w:p>
              </w:tc>
              <w:tc>
                <w:tcPr>
                  <w:tcW w:w="0" w:type="auto"/>
                  <w:vAlign w:val="center"/>
                </w:tcPr>
                <w:p w14:paraId="4CD0CD75" w14:textId="77777777" w:rsidR="00E42909" w:rsidRPr="00D370A1" w:rsidRDefault="00E42909" w:rsidP="00E42909">
                  <w:pPr>
                    <w:spacing w:after="0" w:line="240" w:lineRule="auto"/>
                    <w:jc w:val="right"/>
                    <w:rPr>
                      <w:rFonts w:ascii="Arial" w:hAnsi="Arial"/>
                      <w:b w:val="0"/>
                    </w:rPr>
                  </w:pPr>
                  <w:r w:rsidRPr="00D370A1">
                    <w:rPr>
                      <w:rFonts w:ascii="Arial" w:hAnsi="Arial"/>
                      <w:b w:val="0"/>
                    </w:rPr>
                    <w:t>30.0</w:t>
                  </w:r>
                </w:p>
              </w:tc>
              <w:tc>
                <w:tcPr>
                  <w:tcW w:w="0" w:type="auto"/>
                  <w:vAlign w:val="center"/>
                </w:tcPr>
                <w:p w14:paraId="0166E610" w14:textId="77777777" w:rsidR="00E42909" w:rsidRPr="00D370A1" w:rsidRDefault="00E42909" w:rsidP="00E42909">
                  <w:pPr>
                    <w:spacing w:after="0" w:line="240" w:lineRule="auto"/>
                    <w:jc w:val="right"/>
                    <w:rPr>
                      <w:rFonts w:ascii="Arial" w:hAnsi="Arial"/>
                      <w:b w:val="0"/>
                    </w:rPr>
                  </w:pPr>
                  <w:r w:rsidRPr="00D370A1">
                    <w:rPr>
                      <w:rFonts w:ascii="Arial" w:hAnsi="Arial"/>
                      <w:b w:val="0"/>
                    </w:rPr>
                    <w:t>49.1</w:t>
                  </w:r>
                </w:p>
              </w:tc>
              <w:tc>
                <w:tcPr>
                  <w:tcW w:w="0" w:type="auto"/>
                  <w:vAlign w:val="center"/>
                </w:tcPr>
                <w:p w14:paraId="63949E25" w14:textId="77777777" w:rsidR="00E42909" w:rsidRPr="00D370A1" w:rsidRDefault="00E42909" w:rsidP="00E42909">
                  <w:pPr>
                    <w:spacing w:after="0" w:line="240" w:lineRule="auto"/>
                    <w:jc w:val="right"/>
                    <w:rPr>
                      <w:rFonts w:ascii="Arial" w:hAnsi="Arial"/>
                      <w:b w:val="0"/>
                    </w:rPr>
                  </w:pPr>
                  <w:r w:rsidRPr="00D370A1">
                    <w:rPr>
                      <w:rFonts w:ascii="Arial" w:hAnsi="Arial"/>
                      <w:b w:val="0"/>
                    </w:rPr>
                    <w:t>38.0</w:t>
                  </w:r>
                </w:p>
              </w:tc>
              <w:tc>
                <w:tcPr>
                  <w:tcW w:w="0" w:type="auto"/>
                  <w:vAlign w:val="center"/>
                </w:tcPr>
                <w:p w14:paraId="5783E355" w14:textId="77777777" w:rsidR="00E42909" w:rsidRPr="00D370A1" w:rsidRDefault="00E42909" w:rsidP="00E42909">
                  <w:pPr>
                    <w:spacing w:after="0" w:line="240" w:lineRule="auto"/>
                    <w:jc w:val="right"/>
                    <w:rPr>
                      <w:rFonts w:ascii="Arial" w:hAnsi="Arial"/>
                      <w:b w:val="0"/>
                    </w:rPr>
                  </w:pPr>
                  <w:r w:rsidRPr="00D370A1">
                    <w:rPr>
                      <w:rFonts w:ascii="Arial" w:hAnsi="Arial"/>
                      <w:b w:val="0"/>
                    </w:rPr>
                    <w:t>42.8</w:t>
                  </w:r>
                </w:p>
              </w:tc>
              <w:tc>
                <w:tcPr>
                  <w:tcW w:w="0" w:type="auto"/>
                  <w:vAlign w:val="center"/>
                </w:tcPr>
                <w:p w14:paraId="79B51CC6" w14:textId="77777777" w:rsidR="00E42909" w:rsidRPr="00D370A1" w:rsidRDefault="00E42909" w:rsidP="00E42909">
                  <w:pPr>
                    <w:spacing w:after="0" w:line="240" w:lineRule="auto"/>
                    <w:jc w:val="center"/>
                    <w:rPr>
                      <w:rFonts w:ascii="Arial" w:hAnsi="Arial"/>
                      <w:b w:val="0"/>
                    </w:rPr>
                  </w:pPr>
                  <w:r w:rsidRPr="00D370A1">
                    <w:rPr>
                      <w:rFonts w:ascii="Arial" w:hAnsi="Arial"/>
                      <w:b w:val="0"/>
                    </w:rPr>
                    <w:t>49.1</w:t>
                  </w:r>
                </w:p>
              </w:tc>
              <w:tc>
                <w:tcPr>
                  <w:tcW w:w="0" w:type="auto"/>
                  <w:vAlign w:val="center"/>
                </w:tcPr>
                <w:p w14:paraId="341DE386" w14:textId="77777777" w:rsidR="00E42909" w:rsidRPr="00D370A1" w:rsidRDefault="00E42909" w:rsidP="00E42909">
                  <w:pPr>
                    <w:spacing w:after="0" w:line="240" w:lineRule="auto"/>
                    <w:rPr>
                      <w:rFonts w:ascii="Arial" w:hAnsi="Arial"/>
                      <w:b w:val="0"/>
                    </w:rPr>
                  </w:pPr>
                  <w:r w:rsidRPr="00D370A1">
                    <w:rPr>
                      <w:rFonts w:ascii="Arial" w:hAnsi="Arial"/>
                      <w:b w:val="0"/>
                    </w:rPr>
                    <w:t>45.6</w:t>
                  </w:r>
                </w:p>
              </w:tc>
            </w:tr>
            <w:tr w:rsidR="00D370A1" w:rsidRPr="00D370A1" w14:paraId="2702DBCC" w14:textId="77777777" w:rsidTr="00CD4E34">
              <w:tc>
                <w:tcPr>
                  <w:tcW w:w="0" w:type="auto"/>
                </w:tcPr>
                <w:p w14:paraId="2F0418D2" w14:textId="77777777" w:rsidR="00E42909" w:rsidRPr="00D370A1" w:rsidRDefault="00E42909" w:rsidP="00E42909">
                  <w:pPr>
                    <w:spacing w:after="0" w:line="240" w:lineRule="auto"/>
                    <w:rPr>
                      <w:rFonts w:ascii="Arial" w:hAnsi="Arial"/>
                      <w:b w:val="0"/>
                      <w:highlight w:val="yellow"/>
                    </w:rPr>
                  </w:pPr>
                  <w:r w:rsidRPr="00D370A1">
                    <w:rPr>
                      <w:rFonts w:ascii="Arial" w:hAnsi="Arial"/>
                      <w:b w:val="0"/>
                    </w:rPr>
                    <w:t>Out of pocket expenditure as percent of PvHE</w:t>
                  </w:r>
                </w:p>
              </w:tc>
              <w:tc>
                <w:tcPr>
                  <w:tcW w:w="0" w:type="auto"/>
                  <w:vAlign w:val="center"/>
                </w:tcPr>
                <w:p w14:paraId="4B390D20" w14:textId="77777777" w:rsidR="00E42909" w:rsidRPr="00D370A1" w:rsidRDefault="00E42909" w:rsidP="00E42909">
                  <w:pPr>
                    <w:spacing w:after="0" w:line="240" w:lineRule="auto"/>
                    <w:jc w:val="right"/>
                    <w:rPr>
                      <w:rFonts w:ascii="Arial" w:hAnsi="Arial"/>
                      <w:b w:val="0"/>
                    </w:rPr>
                  </w:pPr>
                  <w:r w:rsidRPr="00D370A1">
                    <w:rPr>
                      <w:rFonts w:ascii="Arial" w:hAnsi="Arial"/>
                      <w:b w:val="0"/>
                    </w:rPr>
                    <w:t>98.6</w:t>
                  </w:r>
                </w:p>
              </w:tc>
              <w:tc>
                <w:tcPr>
                  <w:tcW w:w="0" w:type="auto"/>
                  <w:vAlign w:val="center"/>
                </w:tcPr>
                <w:p w14:paraId="66B9607C" w14:textId="77777777" w:rsidR="00E42909" w:rsidRPr="00D370A1" w:rsidRDefault="00E42909" w:rsidP="00E42909">
                  <w:pPr>
                    <w:spacing w:after="0" w:line="240" w:lineRule="auto"/>
                    <w:jc w:val="right"/>
                    <w:rPr>
                      <w:rFonts w:ascii="Arial" w:hAnsi="Arial"/>
                      <w:b w:val="0"/>
                    </w:rPr>
                  </w:pPr>
                  <w:r w:rsidRPr="00D370A1">
                    <w:rPr>
                      <w:rFonts w:ascii="Arial" w:hAnsi="Arial"/>
                      <w:b w:val="0"/>
                    </w:rPr>
                    <w:t>98.9</w:t>
                  </w:r>
                </w:p>
              </w:tc>
              <w:tc>
                <w:tcPr>
                  <w:tcW w:w="0" w:type="auto"/>
                  <w:vAlign w:val="center"/>
                </w:tcPr>
                <w:p w14:paraId="70B76968" w14:textId="77777777" w:rsidR="00E42909" w:rsidRPr="00D370A1" w:rsidRDefault="00E42909" w:rsidP="00E42909">
                  <w:pPr>
                    <w:spacing w:after="0" w:line="240" w:lineRule="auto"/>
                    <w:jc w:val="right"/>
                    <w:rPr>
                      <w:rFonts w:ascii="Arial" w:hAnsi="Arial"/>
                      <w:b w:val="0"/>
                    </w:rPr>
                  </w:pPr>
                  <w:r w:rsidRPr="00D370A1">
                    <w:rPr>
                      <w:rFonts w:ascii="Arial" w:hAnsi="Arial"/>
                      <w:b w:val="0"/>
                    </w:rPr>
                    <w:t>98.6</w:t>
                  </w:r>
                </w:p>
              </w:tc>
              <w:tc>
                <w:tcPr>
                  <w:tcW w:w="0" w:type="auto"/>
                  <w:vAlign w:val="center"/>
                </w:tcPr>
                <w:p w14:paraId="4753BE5B" w14:textId="77777777" w:rsidR="00E42909" w:rsidRPr="00D370A1" w:rsidRDefault="00E42909" w:rsidP="00E42909">
                  <w:pPr>
                    <w:spacing w:after="0" w:line="240" w:lineRule="auto"/>
                    <w:jc w:val="right"/>
                    <w:rPr>
                      <w:rFonts w:ascii="Arial" w:hAnsi="Arial"/>
                      <w:b w:val="0"/>
                    </w:rPr>
                  </w:pPr>
                  <w:r w:rsidRPr="00D370A1">
                    <w:rPr>
                      <w:rFonts w:ascii="Arial" w:hAnsi="Arial"/>
                      <w:b w:val="0"/>
                    </w:rPr>
                    <w:t>98.9</w:t>
                  </w:r>
                </w:p>
              </w:tc>
              <w:tc>
                <w:tcPr>
                  <w:tcW w:w="0" w:type="auto"/>
                  <w:vAlign w:val="center"/>
                </w:tcPr>
                <w:p w14:paraId="72BA8165" w14:textId="77777777" w:rsidR="00E42909" w:rsidRPr="00D370A1" w:rsidRDefault="00E42909" w:rsidP="00E42909">
                  <w:pPr>
                    <w:spacing w:after="0" w:line="240" w:lineRule="auto"/>
                    <w:jc w:val="center"/>
                    <w:rPr>
                      <w:rFonts w:ascii="Arial" w:hAnsi="Arial"/>
                      <w:b w:val="0"/>
                    </w:rPr>
                  </w:pPr>
                  <w:r w:rsidRPr="00D370A1">
                    <w:rPr>
                      <w:rFonts w:ascii="Arial" w:hAnsi="Arial"/>
                      <w:b w:val="0"/>
                    </w:rPr>
                    <w:t>99.0</w:t>
                  </w:r>
                </w:p>
              </w:tc>
              <w:tc>
                <w:tcPr>
                  <w:tcW w:w="0" w:type="auto"/>
                  <w:vAlign w:val="center"/>
                </w:tcPr>
                <w:p w14:paraId="780305CF" w14:textId="77777777" w:rsidR="00E42909" w:rsidRPr="00D370A1" w:rsidRDefault="00E42909" w:rsidP="00E42909">
                  <w:pPr>
                    <w:spacing w:after="0" w:line="240" w:lineRule="auto"/>
                    <w:rPr>
                      <w:rFonts w:ascii="Arial" w:hAnsi="Arial"/>
                      <w:b w:val="0"/>
                    </w:rPr>
                  </w:pPr>
                  <w:r w:rsidRPr="00D370A1">
                    <w:rPr>
                      <w:rFonts w:ascii="Arial" w:hAnsi="Arial"/>
                      <w:b w:val="0"/>
                    </w:rPr>
                    <w:t>98.9</w:t>
                  </w:r>
                </w:p>
              </w:tc>
            </w:tr>
            <w:tr w:rsidR="00D370A1" w:rsidRPr="00D370A1" w14:paraId="03B9D193" w14:textId="77777777" w:rsidTr="00CD4E34">
              <w:tc>
                <w:tcPr>
                  <w:tcW w:w="0" w:type="auto"/>
                  <w:tcBorders>
                    <w:bottom w:val="nil"/>
                  </w:tcBorders>
                </w:tcPr>
                <w:p w14:paraId="33B6F5DB" w14:textId="77777777" w:rsidR="00E42909" w:rsidRPr="00D370A1" w:rsidRDefault="00E42909" w:rsidP="00E42909">
                  <w:pPr>
                    <w:spacing w:after="0" w:line="240" w:lineRule="auto"/>
                    <w:rPr>
                      <w:rFonts w:ascii="Arial" w:hAnsi="Arial"/>
                      <w:b w:val="0"/>
                      <w:highlight w:val="yellow"/>
                    </w:rPr>
                  </w:pPr>
                  <w:r w:rsidRPr="00D370A1">
                    <w:rPr>
                      <w:rFonts w:ascii="Arial" w:hAnsi="Arial"/>
                      <w:b w:val="0"/>
                    </w:rPr>
                    <w:t>Out of pocket expenditures as percent of THE</w:t>
                  </w:r>
                </w:p>
              </w:tc>
              <w:tc>
                <w:tcPr>
                  <w:tcW w:w="0" w:type="auto"/>
                  <w:tcBorders>
                    <w:bottom w:val="nil"/>
                  </w:tcBorders>
                  <w:vAlign w:val="center"/>
                </w:tcPr>
                <w:p w14:paraId="0D0296BF" w14:textId="77777777" w:rsidR="00E42909" w:rsidRPr="00D370A1" w:rsidRDefault="00E42909" w:rsidP="00E42909">
                  <w:pPr>
                    <w:spacing w:after="0" w:line="240" w:lineRule="auto"/>
                    <w:jc w:val="right"/>
                    <w:rPr>
                      <w:rFonts w:ascii="Arial" w:hAnsi="Arial"/>
                      <w:b w:val="0"/>
                    </w:rPr>
                  </w:pPr>
                  <w:r w:rsidRPr="00D370A1">
                    <w:rPr>
                      <w:rFonts w:ascii="Arial" w:hAnsi="Arial"/>
                      <w:b w:val="0"/>
                    </w:rPr>
                    <w:t>35.5</w:t>
                  </w:r>
                </w:p>
              </w:tc>
              <w:tc>
                <w:tcPr>
                  <w:tcW w:w="0" w:type="auto"/>
                  <w:tcBorders>
                    <w:bottom w:val="nil"/>
                  </w:tcBorders>
                  <w:vAlign w:val="center"/>
                </w:tcPr>
                <w:p w14:paraId="375DDC1A" w14:textId="77777777" w:rsidR="00E42909" w:rsidRPr="00D370A1" w:rsidRDefault="00E42909" w:rsidP="00E42909">
                  <w:pPr>
                    <w:spacing w:after="0" w:line="240" w:lineRule="auto"/>
                    <w:jc w:val="right"/>
                    <w:rPr>
                      <w:rFonts w:ascii="Arial" w:hAnsi="Arial"/>
                      <w:b w:val="0"/>
                    </w:rPr>
                  </w:pPr>
                  <w:r w:rsidRPr="00D370A1">
                    <w:rPr>
                      <w:rFonts w:ascii="Arial" w:hAnsi="Arial"/>
                      <w:b w:val="0"/>
                    </w:rPr>
                    <w:t>48.5</w:t>
                  </w:r>
                </w:p>
              </w:tc>
              <w:tc>
                <w:tcPr>
                  <w:tcW w:w="0" w:type="auto"/>
                  <w:tcBorders>
                    <w:bottom w:val="nil"/>
                  </w:tcBorders>
                  <w:vAlign w:val="center"/>
                </w:tcPr>
                <w:p w14:paraId="26D1AC8F" w14:textId="77777777" w:rsidR="00E42909" w:rsidRPr="00D370A1" w:rsidRDefault="00E42909" w:rsidP="00E42909">
                  <w:pPr>
                    <w:spacing w:after="0" w:line="240" w:lineRule="auto"/>
                    <w:jc w:val="right"/>
                    <w:rPr>
                      <w:rFonts w:ascii="Arial" w:hAnsi="Arial"/>
                      <w:b w:val="0"/>
                    </w:rPr>
                  </w:pPr>
                  <w:r w:rsidRPr="00D370A1">
                    <w:rPr>
                      <w:rFonts w:ascii="Arial" w:hAnsi="Arial"/>
                      <w:b w:val="0"/>
                    </w:rPr>
                    <w:t>37.5</w:t>
                  </w:r>
                </w:p>
              </w:tc>
              <w:tc>
                <w:tcPr>
                  <w:tcW w:w="0" w:type="auto"/>
                  <w:tcBorders>
                    <w:bottom w:val="nil"/>
                  </w:tcBorders>
                  <w:vAlign w:val="center"/>
                </w:tcPr>
                <w:p w14:paraId="54D5BEFE" w14:textId="77777777" w:rsidR="00E42909" w:rsidRPr="00D370A1" w:rsidRDefault="00E42909" w:rsidP="00E42909">
                  <w:pPr>
                    <w:spacing w:after="0" w:line="240" w:lineRule="auto"/>
                    <w:jc w:val="right"/>
                    <w:rPr>
                      <w:rFonts w:ascii="Arial" w:hAnsi="Arial"/>
                      <w:b w:val="0"/>
                    </w:rPr>
                  </w:pPr>
                  <w:r w:rsidRPr="00D370A1">
                    <w:rPr>
                      <w:rFonts w:ascii="Arial" w:hAnsi="Arial"/>
                      <w:b w:val="0"/>
                    </w:rPr>
                    <w:t>42.3</w:t>
                  </w:r>
                </w:p>
              </w:tc>
              <w:tc>
                <w:tcPr>
                  <w:tcW w:w="0" w:type="auto"/>
                  <w:tcBorders>
                    <w:bottom w:val="nil"/>
                  </w:tcBorders>
                  <w:vAlign w:val="center"/>
                </w:tcPr>
                <w:p w14:paraId="270CF655" w14:textId="77777777" w:rsidR="00E42909" w:rsidRPr="00D370A1" w:rsidRDefault="00E42909" w:rsidP="00E42909">
                  <w:pPr>
                    <w:spacing w:after="0" w:line="240" w:lineRule="auto"/>
                    <w:jc w:val="center"/>
                    <w:rPr>
                      <w:rFonts w:ascii="Arial" w:hAnsi="Arial"/>
                      <w:b w:val="0"/>
                    </w:rPr>
                  </w:pPr>
                  <w:r w:rsidRPr="00D370A1">
                    <w:rPr>
                      <w:rFonts w:ascii="Arial" w:hAnsi="Arial"/>
                      <w:b w:val="0"/>
                    </w:rPr>
                    <w:t>48.6</w:t>
                  </w:r>
                </w:p>
              </w:tc>
              <w:tc>
                <w:tcPr>
                  <w:tcW w:w="0" w:type="auto"/>
                  <w:tcBorders>
                    <w:bottom w:val="nil"/>
                  </w:tcBorders>
                  <w:vAlign w:val="center"/>
                </w:tcPr>
                <w:p w14:paraId="3752EF79" w14:textId="77777777" w:rsidR="00E42909" w:rsidRPr="00D370A1" w:rsidRDefault="00E42909" w:rsidP="00E42909">
                  <w:pPr>
                    <w:spacing w:after="0" w:line="240" w:lineRule="auto"/>
                    <w:rPr>
                      <w:rFonts w:ascii="Arial" w:hAnsi="Arial"/>
                      <w:b w:val="0"/>
                    </w:rPr>
                  </w:pPr>
                  <w:r w:rsidRPr="00D370A1">
                    <w:rPr>
                      <w:rFonts w:ascii="Arial" w:hAnsi="Arial"/>
                      <w:b w:val="0"/>
                    </w:rPr>
                    <w:t>45.1</w:t>
                  </w:r>
                </w:p>
              </w:tc>
            </w:tr>
            <w:tr w:rsidR="00E42909" w:rsidRPr="00D370A1" w14:paraId="2ABB293E" w14:textId="77777777" w:rsidTr="00CD4E34">
              <w:tc>
                <w:tcPr>
                  <w:tcW w:w="0" w:type="auto"/>
                  <w:tcBorders>
                    <w:top w:val="nil"/>
                    <w:bottom w:val="single" w:sz="4" w:space="0" w:color="BFBFBF"/>
                  </w:tcBorders>
                </w:tcPr>
                <w:p w14:paraId="0AA99500" w14:textId="77777777" w:rsidR="00E42909" w:rsidRPr="00D370A1" w:rsidRDefault="00E42909" w:rsidP="00E42909">
                  <w:pPr>
                    <w:spacing w:after="0" w:line="240" w:lineRule="auto"/>
                    <w:rPr>
                      <w:rFonts w:ascii="Arial" w:hAnsi="Arial"/>
                      <w:b w:val="0"/>
                      <w:highlight w:val="yellow"/>
                    </w:rPr>
                  </w:pPr>
                  <w:r w:rsidRPr="00D370A1">
                    <w:rPr>
                      <w:rFonts w:ascii="Arial" w:hAnsi="Arial"/>
                      <w:b w:val="0"/>
                    </w:rPr>
                    <w:t>GGEH (PPP$ per capita)</w:t>
                  </w:r>
                </w:p>
              </w:tc>
              <w:tc>
                <w:tcPr>
                  <w:tcW w:w="0" w:type="auto"/>
                  <w:tcBorders>
                    <w:top w:val="nil"/>
                    <w:bottom w:val="single" w:sz="4" w:space="0" w:color="BFBFBF"/>
                  </w:tcBorders>
                  <w:vAlign w:val="center"/>
                </w:tcPr>
                <w:p w14:paraId="26C5D501" w14:textId="77777777" w:rsidR="00E42909" w:rsidRPr="00D370A1" w:rsidRDefault="00E42909" w:rsidP="00E42909">
                  <w:pPr>
                    <w:spacing w:after="0" w:line="240" w:lineRule="auto"/>
                    <w:jc w:val="right"/>
                    <w:rPr>
                      <w:rFonts w:ascii="Arial" w:hAnsi="Arial"/>
                      <w:b w:val="0"/>
                    </w:rPr>
                  </w:pPr>
                  <w:r w:rsidRPr="00D370A1">
                    <w:rPr>
                      <w:rFonts w:ascii="Arial" w:hAnsi="Arial"/>
                      <w:b w:val="0"/>
                    </w:rPr>
                    <w:t>173</w:t>
                  </w:r>
                </w:p>
              </w:tc>
              <w:tc>
                <w:tcPr>
                  <w:tcW w:w="0" w:type="auto"/>
                  <w:tcBorders>
                    <w:top w:val="nil"/>
                    <w:bottom w:val="single" w:sz="4" w:space="0" w:color="BFBFBF"/>
                  </w:tcBorders>
                  <w:vAlign w:val="center"/>
                </w:tcPr>
                <w:p w14:paraId="0E893D17" w14:textId="77777777" w:rsidR="00E42909" w:rsidRPr="00D370A1" w:rsidRDefault="00E42909" w:rsidP="00E42909">
                  <w:pPr>
                    <w:spacing w:after="0" w:line="240" w:lineRule="auto"/>
                    <w:jc w:val="right"/>
                    <w:rPr>
                      <w:rFonts w:ascii="Arial" w:hAnsi="Arial"/>
                      <w:b w:val="0"/>
                    </w:rPr>
                  </w:pPr>
                  <w:r w:rsidRPr="00D370A1">
                    <w:rPr>
                      <w:rFonts w:ascii="Arial" w:hAnsi="Arial"/>
                      <w:b w:val="0"/>
                    </w:rPr>
                    <w:t>162</w:t>
                  </w:r>
                </w:p>
              </w:tc>
              <w:tc>
                <w:tcPr>
                  <w:tcW w:w="0" w:type="auto"/>
                  <w:tcBorders>
                    <w:top w:val="nil"/>
                    <w:bottom w:val="single" w:sz="4" w:space="0" w:color="BFBFBF"/>
                  </w:tcBorders>
                  <w:vAlign w:val="center"/>
                </w:tcPr>
                <w:p w14:paraId="41F957E6" w14:textId="77777777" w:rsidR="00E42909" w:rsidRPr="00D370A1" w:rsidRDefault="00E42909" w:rsidP="00E42909">
                  <w:pPr>
                    <w:spacing w:after="0" w:line="240" w:lineRule="auto"/>
                    <w:jc w:val="right"/>
                    <w:rPr>
                      <w:rFonts w:ascii="Arial" w:hAnsi="Arial"/>
                      <w:b w:val="0"/>
                    </w:rPr>
                  </w:pPr>
                  <w:r w:rsidRPr="00D370A1">
                    <w:rPr>
                      <w:rFonts w:ascii="Arial" w:hAnsi="Arial"/>
                      <w:b w:val="0"/>
                    </w:rPr>
                    <w:t>344</w:t>
                  </w:r>
                </w:p>
              </w:tc>
              <w:tc>
                <w:tcPr>
                  <w:tcW w:w="0" w:type="auto"/>
                  <w:tcBorders>
                    <w:top w:val="nil"/>
                    <w:bottom w:val="single" w:sz="4" w:space="0" w:color="BFBFBF"/>
                  </w:tcBorders>
                  <w:vAlign w:val="center"/>
                </w:tcPr>
                <w:p w14:paraId="15ADE368" w14:textId="77777777" w:rsidR="00E42909" w:rsidRPr="00D370A1" w:rsidRDefault="00E42909" w:rsidP="00E42909">
                  <w:pPr>
                    <w:spacing w:after="0" w:line="240" w:lineRule="auto"/>
                    <w:jc w:val="right"/>
                    <w:rPr>
                      <w:rFonts w:ascii="Arial" w:hAnsi="Arial"/>
                      <w:b w:val="0"/>
                    </w:rPr>
                  </w:pPr>
                  <w:r w:rsidRPr="00D370A1">
                    <w:rPr>
                      <w:rFonts w:ascii="Arial" w:hAnsi="Arial"/>
                      <w:b w:val="0"/>
                    </w:rPr>
                    <w:t>486</w:t>
                  </w:r>
                </w:p>
              </w:tc>
              <w:tc>
                <w:tcPr>
                  <w:tcW w:w="0" w:type="auto"/>
                  <w:tcBorders>
                    <w:top w:val="nil"/>
                    <w:bottom w:val="single" w:sz="4" w:space="0" w:color="BFBFBF"/>
                  </w:tcBorders>
                  <w:vAlign w:val="center"/>
                </w:tcPr>
                <w:p w14:paraId="4AF9BFE2" w14:textId="77777777" w:rsidR="00E42909" w:rsidRPr="00D370A1" w:rsidRDefault="00E42909" w:rsidP="00E42909">
                  <w:pPr>
                    <w:spacing w:after="0" w:line="240" w:lineRule="auto"/>
                    <w:jc w:val="center"/>
                    <w:rPr>
                      <w:rFonts w:ascii="Arial" w:hAnsi="Arial"/>
                      <w:b w:val="0"/>
                    </w:rPr>
                  </w:pPr>
                  <w:r w:rsidRPr="00D370A1">
                    <w:rPr>
                      <w:rFonts w:ascii="Arial" w:hAnsi="Arial"/>
                      <w:b w:val="0"/>
                    </w:rPr>
                    <w:t>506</w:t>
                  </w:r>
                </w:p>
              </w:tc>
              <w:tc>
                <w:tcPr>
                  <w:tcW w:w="0" w:type="auto"/>
                  <w:tcBorders>
                    <w:top w:val="nil"/>
                    <w:bottom w:val="single" w:sz="4" w:space="0" w:color="BFBFBF"/>
                  </w:tcBorders>
                  <w:vAlign w:val="center"/>
                </w:tcPr>
                <w:p w14:paraId="6A43164B" w14:textId="77777777" w:rsidR="00E42909" w:rsidRPr="00D370A1" w:rsidRDefault="00E42909" w:rsidP="00E42909">
                  <w:pPr>
                    <w:spacing w:after="0" w:line="240" w:lineRule="auto"/>
                    <w:rPr>
                      <w:rFonts w:ascii="Arial" w:hAnsi="Arial"/>
                      <w:b w:val="0"/>
                    </w:rPr>
                  </w:pPr>
                  <w:r w:rsidRPr="00D370A1">
                    <w:rPr>
                      <w:rFonts w:ascii="Arial" w:hAnsi="Arial"/>
                      <w:b w:val="0"/>
                    </w:rPr>
                    <w:t>581</w:t>
                  </w:r>
                </w:p>
              </w:tc>
            </w:tr>
          </w:tbl>
          <w:p w14:paraId="6929FBE0" w14:textId="77777777" w:rsidR="00E42909" w:rsidRPr="00D370A1" w:rsidRDefault="00E42909" w:rsidP="00E42909">
            <w:pPr>
              <w:spacing w:after="0" w:line="240" w:lineRule="auto"/>
              <w:rPr>
                <w:rFonts w:ascii="Arial" w:hAnsi="Arial"/>
                <w:b w:val="0"/>
                <w:sz w:val="16"/>
                <w:szCs w:val="16"/>
              </w:rPr>
            </w:pPr>
            <w:r w:rsidRPr="00D370A1">
              <w:rPr>
                <w:rFonts w:ascii="Arial" w:hAnsi="Arial"/>
                <w:b w:val="0"/>
                <w:sz w:val="16"/>
                <w:szCs w:val="16"/>
              </w:rPr>
              <w:t>GDP = Gross Domestic Product</w:t>
            </w:r>
          </w:p>
          <w:p w14:paraId="0AB09DBD" w14:textId="77777777" w:rsidR="00E42909" w:rsidRPr="00D370A1" w:rsidRDefault="00E42909" w:rsidP="00E42909">
            <w:pPr>
              <w:spacing w:after="0" w:line="240" w:lineRule="auto"/>
              <w:jc w:val="both"/>
              <w:rPr>
                <w:rFonts w:ascii="Arial" w:hAnsi="Arial"/>
                <w:b w:val="0"/>
                <w:sz w:val="16"/>
                <w:szCs w:val="16"/>
              </w:rPr>
            </w:pPr>
            <w:r w:rsidRPr="00D370A1">
              <w:rPr>
                <w:rFonts w:ascii="Arial" w:hAnsi="Arial"/>
                <w:b w:val="0"/>
                <w:sz w:val="16"/>
                <w:szCs w:val="16"/>
              </w:rPr>
              <w:t>GGE = General Government Expenditure</w:t>
            </w:r>
          </w:p>
          <w:p w14:paraId="34A01B93" w14:textId="77777777" w:rsidR="00E42909" w:rsidRPr="00D370A1" w:rsidRDefault="00E42909" w:rsidP="00E42909">
            <w:pPr>
              <w:spacing w:after="0" w:line="240" w:lineRule="auto"/>
              <w:rPr>
                <w:rFonts w:ascii="Arial" w:hAnsi="Arial"/>
                <w:b w:val="0"/>
                <w:sz w:val="16"/>
                <w:szCs w:val="16"/>
              </w:rPr>
            </w:pPr>
            <w:r w:rsidRPr="00D370A1">
              <w:rPr>
                <w:rFonts w:ascii="Arial" w:hAnsi="Arial"/>
                <w:b w:val="0"/>
                <w:sz w:val="16"/>
                <w:szCs w:val="16"/>
              </w:rPr>
              <w:t>GGHE = General Government Health Expenditure</w:t>
            </w:r>
          </w:p>
          <w:p w14:paraId="7D4EADEA" w14:textId="77777777" w:rsidR="00E42909" w:rsidRPr="00D370A1" w:rsidRDefault="00E42909" w:rsidP="00E42909">
            <w:pPr>
              <w:spacing w:after="0" w:line="240" w:lineRule="auto"/>
              <w:rPr>
                <w:rFonts w:ascii="Arial" w:hAnsi="Arial"/>
                <w:b w:val="0"/>
                <w:sz w:val="16"/>
                <w:szCs w:val="16"/>
              </w:rPr>
            </w:pPr>
            <w:r w:rsidRPr="00D370A1">
              <w:rPr>
                <w:rFonts w:ascii="Arial" w:hAnsi="Arial"/>
                <w:b w:val="0"/>
                <w:sz w:val="16"/>
                <w:szCs w:val="16"/>
              </w:rPr>
              <w:t>PvHE = Private Health Expenditure</w:t>
            </w:r>
          </w:p>
          <w:p w14:paraId="69E05E51" w14:textId="13A8C16E" w:rsidR="00E42909" w:rsidRPr="00A66280" w:rsidRDefault="00E42909" w:rsidP="00A66280">
            <w:pPr>
              <w:spacing w:after="0" w:line="240" w:lineRule="auto"/>
              <w:jc w:val="both"/>
              <w:rPr>
                <w:rFonts w:ascii="Arial" w:hAnsi="Arial"/>
                <w:b w:val="0"/>
                <w:sz w:val="16"/>
                <w:szCs w:val="16"/>
              </w:rPr>
            </w:pPr>
            <w:r w:rsidRPr="00D370A1">
              <w:rPr>
                <w:rFonts w:ascii="Arial" w:hAnsi="Arial"/>
                <w:b w:val="0"/>
                <w:sz w:val="16"/>
                <w:szCs w:val="16"/>
              </w:rPr>
              <w:t>THE = Total Health Expenditure</w:t>
            </w:r>
          </w:p>
          <w:p w14:paraId="7B041645" w14:textId="4F2F50C9" w:rsidR="00FE25E3" w:rsidRPr="00D370A1" w:rsidRDefault="004B624F" w:rsidP="00A66280">
            <w:pPr>
              <w:spacing w:before="120" w:after="120" w:line="240" w:lineRule="auto"/>
              <w:jc w:val="both"/>
              <w:rPr>
                <w:rFonts w:ascii="Arial" w:hAnsi="Arial"/>
                <w:b w:val="0"/>
              </w:rPr>
            </w:pPr>
            <w:r w:rsidRPr="00D370A1">
              <w:rPr>
                <w:rFonts w:ascii="Arial" w:hAnsi="Arial"/>
                <w:b w:val="0"/>
              </w:rPr>
              <w:t xml:space="preserve">The total </w:t>
            </w:r>
            <w:r w:rsidR="003B4D31" w:rsidRPr="00D370A1">
              <w:rPr>
                <w:rFonts w:ascii="Arial" w:hAnsi="Arial"/>
                <w:b w:val="0"/>
              </w:rPr>
              <w:t xml:space="preserve">estimated </w:t>
            </w:r>
            <w:r w:rsidRPr="00D370A1">
              <w:rPr>
                <w:rFonts w:ascii="Arial" w:hAnsi="Arial"/>
                <w:b w:val="0"/>
              </w:rPr>
              <w:t xml:space="preserve">costs of the National HIV </w:t>
            </w:r>
            <w:r w:rsidR="003B4D31" w:rsidRPr="00A66280">
              <w:rPr>
                <w:rFonts w:ascii="Arial" w:eastAsia="SimSun" w:hAnsi="Arial"/>
                <w:b w:val="0"/>
                <w:lang w:eastAsia="zh-CN"/>
              </w:rPr>
              <w:t>Response</w:t>
            </w:r>
            <w:r w:rsidRPr="00D370A1">
              <w:rPr>
                <w:rFonts w:ascii="Arial" w:hAnsi="Arial"/>
                <w:b w:val="0"/>
              </w:rPr>
              <w:t>, based on</w:t>
            </w:r>
            <w:r w:rsidR="003B4D31" w:rsidRPr="00D370A1">
              <w:rPr>
                <w:rFonts w:ascii="Arial" w:hAnsi="Arial"/>
                <w:b w:val="0"/>
              </w:rPr>
              <w:t xml:space="preserve"> the current level of spending and taking into account the need to expand essential services to KAP, ART coverage as per </w:t>
            </w:r>
            <w:r w:rsidR="00F21AD3" w:rsidRPr="00D370A1">
              <w:rPr>
                <w:rFonts w:ascii="Arial" w:hAnsi="Arial"/>
                <w:b w:val="0"/>
              </w:rPr>
              <w:t>established</w:t>
            </w:r>
            <w:r w:rsidRPr="00D370A1">
              <w:rPr>
                <w:rFonts w:ascii="Arial" w:hAnsi="Arial"/>
                <w:b w:val="0"/>
              </w:rPr>
              <w:t xml:space="preserve"> targets is estimated to </w:t>
            </w:r>
            <w:r w:rsidR="00882E70" w:rsidRPr="00D370A1">
              <w:rPr>
                <w:rFonts w:ascii="Arial" w:hAnsi="Arial"/>
                <w:b w:val="0"/>
              </w:rPr>
              <w:t>US$</w:t>
            </w:r>
            <w:r w:rsidR="003B4D31" w:rsidRPr="00D370A1">
              <w:rPr>
                <w:rFonts w:ascii="Arial" w:hAnsi="Arial"/>
                <w:b w:val="0"/>
              </w:rPr>
              <w:t>149,845,768</w:t>
            </w:r>
            <w:r w:rsidR="00882E70">
              <w:rPr>
                <w:rFonts w:ascii="Arial" w:hAnsi="Arial"/>
                <w:b w:val="0"/>
              </w:rPr>
              <w:t xml:space="preserve"> </w:t>
            </w:r>
            <w:r w:rsidRPr="00D370A1">
              <w:rPr>
                <w:rFonts w:ascii="Arial" w:hAnsi="Arial"/>
                <w:b w:val="0"/>
              </w:rPr>
              <w:t xml:space="preserve">for 2018-2020. This represents a financing gap of </w:t>
            </w:r>
            <w:r w:rsidR="00882E70" w:rsidRPr="00D370A1">
              <w:rPr>
                <w:rFonts w:ascii="Arial" w:hAnsi="Arial"/>
                <w:b w:val="0"/>
              </w:rPr>
              <w:t>US$</w:t>
            </w:r>
            <w:r w:rsidR="003B4D31" w:rsidRPr="00D370A1">
              <w:rPr>
                <w:rFonts w:ascii="Arial" w:hAnsi="Arial"/>
                <w:b w:val="0"/>
              </w:rPr>
              <w:t>6</w:t>
            </w:r>
            <w:r w:rsidR="00F7788E" w:rsidRPr="00D370A1">
              <w:rPr>
                <w:rFonts w:ascii="Arial" w:hAnsi="Arial"/>
                <w:b w:val="0"/>
              </w:rPr>
              <w:t>,051,734</w:t>
            </w:r>
            <w:r w:rsidRPr="00D370A1">
              <w:rPr>
                <w:rFonts w:ascii="Arial" w:hAnsi="Arial"/>
                <w:b w:val="0"/>
              </w:rPr>
              <w:t xml:space="preserve">. The costs of the program are expected to increase on average </w:t>
            </w:r>
            <w:r w:rsidR="003B4D31" w:rsidRPr="00D370A1">
              <w:rPr>
                <w:rFonts w:ascii="Arial" w:hAnsi="Arial"/>
                <w:b w:val="0"/>
              </w:rPr>
              <w:t>10%</w:t>
            </w:r>
            <w:r w:rsidRPr="00D370A1">
              <w:rPr>
                <w:rFonts w:ascii="Arial" w:hAnsi="Arial"/>
                <w:b w:val="0"/>
              </w:rPr>
              <w:t xml:space="preserve"> percent annually. The donor landscape for HIV </w:t>
            </w:r>
            <w:r w:rsidR="001370AC" w:rsidRPr="00D370A1">
              <w:rPr>
                <w:rFonts w:ascii="Arial" w:hAnsi="Arial"/>
                <w:b w:val="0"/>
              </w:rPr>
              <w:t xml:space="preserve">in Kazakhstan is </w:t>
            </w:r>
            <w:r w:rsidR="00F21AD3" w:rsidRPr="00D370A1">
              <w:rPr>
                <w:rFonts w:ascii="Arial" w:hAnsi="Arial"/>
                <w:b w:val="0"/>
              </w:rPr>
              <w:t xml:space="preserve">limited </w:t>
            </w:r>
            <w:r w:rsidR="001370AC" w:rsidRPr="00D370A1">
              <w:rPr>
                <w:rFonts w:ascii="Arial" w:hAnsi="Arial"/>
                <w:b w:val="0"/>
              </w:rPr>
              <w:t>and include</w:t>
            </w:r>
            <w:r w:rsidR="00FE25E3" w:rsidRPr="00D370A1">
              <w:rPr>
                <w:rFonts w:ascii="Arial" w:hAnsi="Arial"/>
                <w:b w:val="0"/>
              </w:rPr>
              <w:t>,</w:t>
            </w:r>
            <w:r w:rsidR="001370AC" w:rsidRPr="00D370A1">
              <w:rPr>
                <w:rFonts w:ascii="Arial" w:hAnsi="Arial"/>
                <w:b w:val="0"/>
              </w:rPr>
              <w:t xml:space="preserve"> </w:t>
            </w:r>
            <w:r w:rsidR="00FE25E3" w:rsidRPr="00D370A1">
              <w:rPr>
                <w:rFonts w:ascii="Arial" w:hAnsi="Arial"/>
                <w:b w:val="0"/>
              </w:rPr>
              <w:t xml:space="preserve">along with TGF, </w:t>
            </w:r>
            <w:r w:rsidR="00CD27BD" w:rsidRPr="00D370A1">
              <w:rPr>
                <w:rFonts w:ascii="Arial" w:hAnsi="Arial"/>
                <w:b w:val="0"/>
              </w:rPr>
              <w:t>PEPFAR team (USAID, CDC)</w:t>
            </w:r>
            <w:r w:rsidR="005710D1">
              <w:rPr>
                <w:rFonts w:ascii="Arial" w:hAnsi="Arial"/>
                <w:b w:val="0"/>
              </w:rPr>
              <w:t xml:space="preserve"> with contribution to KP targeted services in Pavlodar and East</w:t>
            </w:r>
            <w:r w:rsidR="00BB1B93">
              <w:rPr>
                <w:rFonts w:ascii="Arial" w:hAnsi="Arial"/>
                <w:b w:val="0"/>
              </w:rPr>
              <w:t xml:space="preserve"> Kazakhstan by 2018</w:t>
            </w:r>
            <w:r w:rsidR="00CD27BD" w:rsidRPr="00D370A1">
              <w:rPr>
                <w:rFonts w:ascii="Arial" w:hAnsi="Arial"/>
                <w:b w:val="0"/>
              </w:rPr>
              <w:t xml:space="preserve">, UN Agencies </w:t>
            </w:r>
            <w:r w:rsidR="005710D1">
              <w:rPr>
                <w:rFonts w:ascii="Arial" w:hAnsi="Arial"/>
                <w:b w:val="0"/>
              </w:rPr>
              <w:t xml:space="preserve">with technical support </w:t>
            </w:r>
            <w:r w:rsidR="00CD27BD" w:rsidRPr="00D370A1">
              <w:rPr>
                <w:rFonts w:ascii="Arial" w:hAnsi="Arial"/>
                <w:b w:val="0"/>
              </w:rPr>
              <w:t xml:space="preserve">and few other international organizations </w:t>
            </w:r>
            <w:r w:rsidR="001370AC" w:rsidRPr="00D370A1">
              <w:rPr>
                <w:rFonts w:ascii="Arial" w:hAnsi="Arial"/>
                <w:b w:val="0"/>
              </w:rPr>
              <w:t xml:space="preserve">with </w:t>
            </w:r>
            <w:r w:rsidR="005710D1">
              <w:rPr>
                <w:rFonts w:ascii="Arial" w:hAnsi="Arial"/>
                <w:b w:val="0"/>
              </w:rPr>
              <w:t>insignificant</w:t>
            </w:r>
            <w:r w:rsidR="005710D1" w:rsidRPr="00D370A1">
              <w:rPr>
                <w:rFonts w:ascii="Arial" w:hAnsi="Arial"/>
                <w:b w:val="0"/>
              </w:rPr>
              <w:t xml:space="preserve"> </w:t>
            </w:r>
            <w:r w:rsidR="001370AC" w:rsidRPr="00D370A1">
              <w:rPr>
                <w:rFonts w:ascii="Arial" w:hAnsi="Arial"/>
                <w:b w:val="0"/>
              </w:rPr>
              <w:t>contribution</w:t>
            </w:r>
            <w:r w:rsidRPr="00D370A1">
              <w:rPr>
                <w:rFonts w:ascii="Arial" w:hAnsi="Arial"/>
                <w:b w:val="0"/>
              </w:rPr>
              <w:t xml:space="preserve"> for </w:t>
            </w:r>
            <w:r w:rsidR="00CD27BD" w:rsidRPr="00D370A1">
              <w:rPr>
                <w:rFonts w:ascii="Arial" w:hAnsi="Arial"/>
                <w:b w:val="0"/>
              </w:rPr>
              <w:t xml:space="preserve">HIV response. </w:t>
            </w:r>
            <w:r w:rsidR="007B1460" w:rsidRPr="00D370A1">
              <w:rPr>
                <w:rFonts w:ascii="Arial" w:hAnsi="Arial"/>
                <w:b w:val="0"/>
              </w:rPr>
              <w:t xml:space="preserve">National AIDS Spending Assessment </w:t>
            </w:r>
            <w:r w:rsidR="007B1460">
              <w:rPr>
                <w:rFonts w:ascii="Arial" w:hAnsi="Arial"/>
                <w:b w:val="0"/>
              </w:rPr>
              <w:t>(</w:t>
            </w:r>
            <w:r w:rsidR="00CD27BD" w:rsidRPr="00D370A1">
              <w:rPr>
                <w:rFonts w:ascii="Arial" w:hAnsi="Arial"/>
                <w:b w:val="0"/>
              </w:rPr>
              <w:t>NASA</w:t>
            </w:r>
            <w:r w:rsidR="007B1460">
              <w:rPr>
                <w:rFonts w:ascii="Arial" w:hAnsi="Arial"/>
                <w:b w:val="0"/>
              </w:rPr>
              <w:t>)</w:t>
            </w:r>
            <w:r w:rsidR="00CD27BD" w:rsidRPr="00D370A1">
              <w:rPr>
                <w:rFonts w:ascii="Arial" w:hAnsi="Arial"/>
                <w:b w:val="0"/>
              </w:rPr>
              <w:t xml:space="preserve"> findings indicate that over </w:t>
            </w:r>
            <w:r w:rsidRPr="00D370A1">
              <w:rPr>
                <w:rFonts w:ascii="Arial" w:hAnsi="Arial"/>
                <w:b w:val="0"/>
              </w:rPr>
              <w:t>last years (</w:t>
            </w:r>
            <w:r w:rsidR="00AE59BD" w:rsidRPr="00D370A1">
              <w:rPr>
                <w:rFonts w:ascii="Arial" w:hAnsi="Arial"/>
                <w:b w:val="0"/>
              </w:rPr>
              <w:t>201</w:t>
            </w:r>
            <w:r w:rsidR="00CD27BD" w:rsidRPr="00D370A1">
              <w:rPr>
                <w:rFonts w:ascii="Arial" w:hAnsi="Arial"/>
                <w:b w:val="0"/>
              </w:rPr>
              <w:t>1</w:t>
            </w:r>
            <w:r w:rsidR="00AE59BD" w:rsidRPr="00D370A1">
              <w:rPr>
                <w:rFonts w:ascii="Arial" w:hAnsi="Arial"/>
                <w:b w:val="0"/>
              </w:rPr>
              <w:t>-2016</w:t>
            </w:r>
            <w:r w:rsidRPr="00D370A1">
              <w:rPr>
                <w:rFonts w:ascii="Arial" w:hAnsi="Arial"/>
                <w:b w:val="0"/>
              </w:rPr>
              <w:t xml:space="preserve">), donors provided over </w:t>
            </w:r>
            <w:r w:rsidR="00882E70" w:rsidRPr="00D370A1">
              <w:rPr>
                <w:rFonts w:ascii="Arial" w:hAnsi="Arial"/>
                <w:b w:val="0"/>
              </w:rPr>
              <w:t>US$</w:t>
            </w:r>
            <w:r w:rsidR="00CD27BD" w:rsidRPr="00D370A1">
              <w:rPr>
                <w:rFonts w:ascii="Arial" w:hAnsi="Arial"/>
                <w:b w:val="0"/>
              </w:rPr>
              <w:t>23</w:t>
            </w:r>
            <w:r w:rsidRPr="00D370A1">
              <w:rPr>
                <w:rFonts w:ascii="Arial" w:hAnsi="Arial"/>
                <w:b w:val="0"/>
              </w:rPr>
              <w:t>M as external aid</w:t>
            </w:r>
            <w:r w:rsidR="00CD27BD" w:rsidRPr="00D370A1">
              <w:rPr>
                <w:rFonts w:ascii="Arial" w:hAnsi="Arial"/>
                <w:b w:val="0"/>
              </w:rPr>
              <w:t xml:space="preserve"> or about 11% from total AIDS Spending with fluctuations from 20% </w:t>
            </w:r>
            <w:r w:rsidR="00A66280">
              <w:rPr>
                <w:rFonts w:ascii="Arial" w:hAnsi="Arial"/>
                <w:b w:val="0"/>
              </w:rPr>
              <w:t xml:space="preserve">(in </w:t>
            </w:r>
            <w:r w:rsidR="00CD27BD" w:rsidRPr="00D370A1">
              <w:rPr>
                <w:rFonts w:ascii="Arial" w:hAnsi="Arial"/>
                <w:b w:val="0"/>
              </w:rPr>
              <w:t>2012</w:t>
            </w:r>
            <w:r w:rsidR="005710D1">
              <w:rPr>
                <w:rFonts w:ascii="Arial" w:hAnsi="Arial"/>
                <w:b w:val="0"/>
              </w:rPr>
              <w:t>)</w:t>
            </w:r>
            <w:r w:rsidR="00CD27BD" w:rsidRPr="00D370A1">
              <w:rPr>
                <w:rFonts w:ascii="Arial" w:hAnsi="Arial"/>
                <w:b w:val="0"/>
              </w:rPr>
              <w:t xml:space="preserve"> to 4% </w:t>
            </w:r>
            <w:r w:rsidR="00A66280">
              <w:rPr>
                <w:rFonts w:ascii="Arial" w:hAnsi="Arial"/>
                <w:b w:val="0"/>
              </w:rPr>
              <w:t xml:space="preserve">(in </w:t>
            </w:r>
            <w:r w:rsidR="001370AC" w:rsidRPr="00D370A1">
              <w:rPr>
                <w:rFonts w:ascii="Arial" w:hAnsi="Arial"/>
                <w:b w:val="0"/>
              </w:rPr>
              <w:t>2015</w:t>
            </w:r>
            <w:r w:rsidR="005710D1">
              <w:rPr>
                <w:rFonts w:ascii="Arial" w:hAnsi="Arial"/>
                <w:b w:val="0"/>
              </w:rPr>
              <w:t>)</w:t>
            </w:r>
            <w:r w:rsidR="001370AC" w:rsidRPr="00D370A1">
              <w:rPr>
                <w:rFonts w:ascii="Arial" w:hAnsi="Arial"/>
                <w:b w:val="0"/>
              </w:rPr>
              <w:t xml:space="preserve">. </w:t>
            </w:r>
          </w:p>
          <w:p w14:paraId="7EAD3B01" w14:textId="4AD22F66" w:rsidR="00D370A1" w:rsidRPr="00D370A1" w:rsidRDefault="00AE59BD" w:rsidP="00A66280">
            <w:pPr>
              <w:spacing w:before="120" w:after="120" w:line="240" w:lineRule="auto"/>
              <w:jc w:val="both"/>
              <w:rPr>
                <w:rFonts w:ascii="Arial" w:hAnsi="Arial"/>
                <w:b w:val="0"/>
              </w:rPr>
            </w:pPr>
            <w:r w:rsidRPr="00D370A1">
              <w:rPr>
                <w:rFonts w:ascii="Arial" w:hAnsi="Arial"/>
                <w:b w:val="0"/>
              </w:rPr>
              <w:t>2016</w:t>
            </w:r>
            <w:r w:rsidR="004B624F" w:rsidRPr="00D370A1">
              <w:rPr>
                <w:rFonts w:ascii="Arial" w:hAnsi="Arial"/>
                <w:b w:val="0"/>
              </w:rPr>
              <w:t xml:space="preserve"> </w:t>
            </w:r>
            <w:r w:rsidR="007B1460">
              <w:rPr>
                <w:rFonts w:ascii="Arial" w:hAnsi="Arial"/>
                <w:b w:val="0"/>
              </w:rPr>
              <w:t xml:space="preserve">NASA </w:t>
            </w:r>
            <w:r w:rsidR="004B624F" w:rsidRPr="00D370A1">
              <w:rPr>
                <w:rFonts w:ascii="Arial" w:hAnsi="Arial"/>
                <w:b w:val="0"/>
              </w:rPr>
              <w:t xml:space="preserve">results revealed that donor funding comprises only </w:t>
            </w:r>
            <w:r w:rsidRPr="00D370A1">
              <w:rPr>
                <w:rFonts w:ascii="Arial" w:hAnsi="Arial"/>
                <w:b w:val="0"/>
              </w:rPr>
              <w:t>14</w:t>
            </w:r>
            <w:r w:rsidR="004B624F" w:rsidRPr="00D370A1">
              <w:rPr>
                <w:rFonts w:ascii="Arial" w:hAnsi="Arial"/>
                <w:b w:val="0"/>
              </w:rPr>
              <w:t xml:space="preserve"> percent of the country’s spending on HIV. The majority of funding </w:t>
            </w:r>
            <w:r w:rsidRPr="00D370A1">
              <w:rPr>
                <w:rFonts w:ascii="Arial" w:hAnsi="Arial"/>
                <w:b w:val="0"/>
              </w:rPr>
              <w:t>[86%</w:t>
            </w:r>
            <w:r w:rsidR="00F21AD3" w:rsidRPr="00D370A1">
              <w:rPr>
                <w:rFonts w:ascii="Arial" w:hAnsi="Arial"/>
                <w:b w:val="0"/>
              </w:rPr>
              <w:t xml:space="preserve">] </w:t>
            </w:r>
            <w:r w:rsidR="004B624F" w:rsidRPr="00D370A1">
              <w:rPr>
                <w:rFonts w:ascii="Arial" w:hAnsi="Arial"/>
                <w:b w:val="0"/>
              </w:rPr>
              <w:t xml:space="preserve">is from public sources: Government with </w:t>
            </w:r>
            <w:r w:rsidRPr="00D370A1">
              <w:rPr>
                <w:rFonts w:ascii="Arial" w:hAnsi="Arial"/>
                <w:b w:val="0"/>
              </w:rPr>
              <w:lastRenderedPageBreak/>
              <w:t>51%</w:t>
            </w:r>
            <w:r w:rsidR="004B624F" w:rsidRPr="00D370A1">
              <w:rPr>
                <w:rFonts w:ascii="Arial" w:hAnsi="Arial"/>
                <w:b w:val="0"/>
              </w:rPr>
              <w:t xml:space="preserve"> percent of the overall spending and local budgets – </w:t>
            </w:r>
            <w:r w:rsidRPr="00D370A1">
              <w:rPr>
                <w:rFonts w:ascii="Arial" w:hAnsi="Arial"/>
                <w:b w:val="0"/>
              </w:rPr>
              <w:t>49%</w:t>
            </w:r>
            <w:r w:rsidR="004B624F" w:rsidRPr="00D370A1">
              <w:rPr>
                <w:rFonts w:ascii="Arial" w:hAnsi="Arial"/>
                <w:b w:val="0"/>
              </w:rPr>
              <w:t xml:space="preserve"> percent of overall spending</w:t>
            </w:r>
            <w:r w:rsidR="000A133F" w:rsidRPr="00D370A1">
              <w:rPr>
                <w:rFonts w:ascii="Arial" w:hAnsi="Arial"/>
                <w:b w:val="0"/>
              </w:rPr>
              <w:t xml:space="preserve">. </w:t>
            </w:r>
            <w:r w:rsidR="004B624F" w:rsidRPr="00D370A1">
              <w:rPr>
                <w:rFonts w:ascii="Arial" w:hAnsi="Arial"/>
                <w:b w:val="0"/>
              </w:rPr>
              <w:t xml:space="preserve">In </w:t>
            </w:r>
            <w:r w:rsidR="000A133F" w:rsidRPr="00D370A1">
              <w:rPr>
                <w:rFonts w:ascii="Arial" w:hAnsi="Arial"/>
                <w:b w:val="0"/>
              </w:rPr>
              <w:t>2016</w:t>
            </w:r>
            <w:r w:rsidR="004B624F" w:rsidRPr="00D370A1">
              <w:rPr>
                <w:rFonts w:ascii="Arial" w:hAnsi="Arial"/>
                <w:b w:val="0"/>
              </w:rPr>
              <w:t xml:space="preserve">, almost </w:t>
            </w:r>
            <w:r w:rsidR="000A133F" w:rsidRPr="00D370A1">
              <w:rPr>
                <w:rFonts w:ascii="Arial" w:hAnsi="Arial"/>
                <w:b w:val="0"/>
              </w:rPr>
              <w:t>44%</w:t>
            </w:r>
            <w:r w:rsidR="004B624F" w:rsidRPr="00D370A1">
              <w:rPr>
                <w:rFonts w:ascii="Arial" w:hAnsi="Arial"/>
                <w:b w:val="0"/>
              </w:rPr>
              <w:t xml:space="preserve"> percent of domestic public funds were spent on </w:t>
            </w:r>
            <w:r w:rsidR="00E96759">
              <w:rPr>
                <w:rFonts w:ascii="Arial" w:hAnsi="Arial"/>
                <w:b w:val="0"/>
              </w:rPr>
              <w:t xml:space="preserve">ART </w:t>
            </w:r>
            <w:r w:rsidR="004B624F" w:rsidRPr="00D370A1">
              <w:rPr>
                <w:rFonts w:ascii="Arial" w:hAnsi="Arial"/>
                <w:b w:val="0"/>
              </w:rPr>
              <w:t xml:space="preserve">treatment and </w:t>
            </w:r>
            <w:r w:rsidR="00F415A2" w:rsidRPr="00D370A1">
              <w:rPr>
                <w:rFonts w:ascii="Arial" w:hAnsi="Arial"/>
                <w:b w:val="0"/>
              </w:rPr>
              <w:t>13</w:t>
            </w:r>
            <w:r w:rsidR="000A133F" w:rsidRPr="00D370A1">
              <w:rPr>
                <w:rFonts w:ascii="Arial" w:hAnsi="Arial"/>
                <w:b w:val="0"/>
              </w:rPr>
              <w:t>%</w:t>
            </w:r>
            <w:r w:rsidR="00ED22DB" w:rsidRPr="00D370A1">
              <w:rPr>
                <w:rFonts w:ascii="Arial" w:hAnsi="Arial"/>
                <w:b w:val="0"/>
              </w:rPr>
              <w:t xml:space="preserve"> percent on prevention. </w:t>
            </w:r>
            <w:r w:rsidR="004B624F" w:rsidRPr="00D370A1">
              <w:rPr>
                <w:rFonts w:ascii="Arial" w:hAnsi="Arial"/>
                <w:b w:val="0"/>
              </w:rPr>
              <w:t xml:space="preserve">Focused prevention (among KP, including prisoners) accounts for </w:t>
            </w:r>
            <w:r w:rsidR="00A55619">
              <w:rPr>
                <w:rFonts w:ascii="Arial" w:hAnsi="Arial"/>
                <w:b w:val="0"/>
              </w:rPr>
              <w:t xml:space="preserve">6% of domestic spending and </w:t>
            </w:r>
            <w:r w:rsidR="000A133F" w:rsidRPr="00D370A1">
              <w:rPr>
                <w:rFonts w:ascii="Arial" w:hAnsi="Arial"/>
                <w:b w:val="0"/>
              </w:rPr>
              <w:t xml:space="preserve">9% </w:t>
            </w:r>
            <w:r w:rsidR="004B624F" w:rsidRPr="00D370A1">
              <w:rPr>
                <w:rFonts w:ascii="Arial" w:hAnsi="Arial"/>
                <w:b w:val="0"/>
              </w:rPr>
              <w:t xml:space="preserve">percent of the overall country’s spending on HIV. </w:t>
            </w:r>
          </w:p>
          <w:p w14:paraId="3E7A3D5E" w14:textId="348D7F30" w:rsidR="004B624F" w:rsidRPr="00D370A1" w:rsidRDefault="004B624F" w:rsidP="00A66280">
            <w:pPr>
              <w:spacing w:before="120" w:after="120" w:line="240" w:lineRule="auto"/>
              <w:jc w:val="both"/>
              <w:rPr>
                <w:rFonts w:ascii="Arial" w:hAnsi="Arial"/>
                <w:b w:val="0"/>
              </w:rPr>
            </w:pPr>
            <w:r w:rsidRPr="00D370A1">
              <w:rPr>
                <w:rFonts w:ascii="Arial" w:hAnsi="Arial"/>
                <w:b w:val="0"/>
              </w:rPr>
              <w:t xml:space="preserve">This request for funding has been developed in line with the counterpart financing requirements of the Global Fund, which are set forth in the Policy on Eligibility Criteria, Counterpart </w:t>
            </w:r>
            <w:r w:rsidRPr="008358BB">
              <w:rPr>
                <w:rFonts w:ascii="Arial" w:hAnsi="Arial"/>
                <w:b w:val="0"/>
              </w:rPr>
              <w:t xml:space="preserve">Financing Requirements, and Prioritization. The </w:t>
            </w:r>
            <w:r w:rsidR="003B4D31" w:rsidRPr="008358BB">
              <w:rPr>
                <w:rFonts w:ascii="Arial" w:hAnsi="Arial"/>
                <w:b w:val="0"/>
              </w:rPr>
              <w:t>Funding Landscape</w:t>
            </w:r>
            <w:r w:rsidRPr="008358BB">
              <w:rPr>
                <w:rFonts w:ascii="Arial" w:hAnsi="Arial"/>
                <w:b w:val="0"/>
              </w:rPr>
              <w:t xml:space="preserve"> Table have been completed (see </w:t>
            </w:r>
            <w:r w:rsidR="008358BB" w:rsidRPr="008358BB">
              <w:rPr>
                <w:rFonts w:ascii="Arial" w:hAnsi="Arial"/>
                <w:b w:val="0"/>
              </w:rPr>
              <w:t>enclosed</w:t>
            </w:r>
            <w:r w:rsidRPr="008358BB">
              <w:rPr>
                <w:rFonts w:ascii="Arial" w:hAnsi="Arial"/>
                <w:b w:val="0"/>
              </w:rPr>
              <w:t>).</w:t>
            </w:r>
            <w:r w:rsidRPr="00D370A1">
              <w:rPr>
                <w:rFonts w:ascii="Arial" w:hAnsi="Arial"/>
                <w:b w:val="0"/>
              </w:rPr>
              <w:t xml:space="preserve"> </w:t>
            </w:r>
            <w:r w:rsidRPr="000425AE">
              <w:rPr>
                <w:rFonts w:ascii="Arial" w:hAnsi="Arial"/>
                <w:b w:val="0"/>
              </w:rPr>
              <w:t>As seen from the tables, the co-financing contribution have been met</w:t>
            </w:r>
            <w:r w:rsidRPr="00D370A1">
              <w:rPr>
                <w:rFonts w:ascii="Arial" w:hAnsi="Arial"/>
                <w:b w:val="0"/>
              </w:rPr>
              <w:t xml:space="preserve"> and there is a slight increasing in government contribution to the overall health sector over the next implementation period. The tables present an overall funding gap of </w:t>
            </w:r>
            <w:r w:rsidR="00ED6EB3" w:rsidRPr="000425AE">
              <w:rPr>
                <w:rFonts w:ascii="Arial" w:hAnsi="Arial"/>
                <w:b w:val="0"/>
              </w:rPr>
              <w:t>4%</w:t>
            </w:r>
            <w:r w:rsidRPr="000425AE">
              <w:rPr>
                <w:rFonts w:ascii="Arial" w:hAnsi="Arial"/>
                <w:b w:val="0"/>
              </w:rPr>
              <w:t xml:space="preserve"> percent</w:t>
            </w:r>
            <w:r w:rsidRPr="00D370A1">
              <w:rPr>
                <w:rFonts w:ascii="Arial" w:hAnsi="Arial"/>
                <w:b w:val="0"/>
              </w:rPr>
              <w:t xml:space="preserve"> for HIV of total expected program cost in 2018-2020, even when investing in the most cost-effective interventions. </w:t>
            </w:r>
          </w:p>
          <w:p w14:paraId="733E0CC5" w14:textId="18CC4525" w:rsidR="00D370A1" w:rsidRPr="00D370A1" w:rsidRDefault="004B624F" w:rsidP="00A66280">
            <w:pPr>
              <w:spacing w:before="120" w:after="120" w:line="240" w:lineRule="auto"/>
              <w:jc w:val="both"/>
              <w:rPr>
                <w:rFonts w:ascii="Arial" w:hAnsi="Arial"/>
                <w:b w:val="0"/>
              </w:rPr>
            </w:pPr>
            <w:r w:rsidRPr="00D370A1">
              <w:rPr>
                <w:rFonts w:ascii="Arial" w:hAnsi="Arial"/>
                <w:b w:val="0"/>
              </w:rPr>
              <w:t xml:space="preserve">The information used to complete the </w:t>
            </w:r>
            <w:r w:rsidR="00914F13">
              <w:rPr>
                <w:rFonts w:ascii="Arial" w:hAnsi="Arial"/>
                <w:b w:val="0"/>
              </w:rPr>
              <w:t xml:space="preserve">funding </w:t>
            </w:r>
            <w:r w:rsidR="00EE12C6">
              <w:rPr>
                <w:rFonts w:ascii="Arial" w:hAnsi="Arial"/>
                <w:b w:val="0"/>
              </w:rPr>
              <w:t>landscape</w:t>
            </w:r>
            <w:r w:rsidR="00A66280">
              <w:rPr>
                <w:rFonts w:ascii="Arial" w:hAnsi="Arial"/>
                <w:b w:val="0"/>
              </w:rPr>
              <w:t xml:space="preserve"> table has been</w:t>
            </w:r>
            <w:r w:rsidRPr="00D370A1">
              <w:rPr>
                <w:rFonts w:ascii="Arial" w:hAnsi="Arial"/>
                <w:b w:val="0"/>
              </w:rPr>
              <w:t xml:space="preserve"> obtained from the </w:t>
            </w:r>
            <w:r w:rsidRPr="000425AE">
              <w:rPr>
                <w:rFonts w:ascii="Arial" w:hAnsi="Arial"/>
                <w:b w:val="0"/>
              </w:rPr>
              <w:t xml:space="preserve">MOF, </w:t>
            </w:r>
            <w:r w:rsidRPr="00D370A1">
              <w:rPr>
                <w:rFonts w:ascii="Arial" w:hAnsi="Arial"/>
                <w:b w:val="0"/>
              </w:rPr>
              <w:t xml:space="preserve">MOH, </w:t>
            </w:r>
            <w:r w:rsidR="00F21AD3" w:rsidRPr="00D370A1">
              <w:rPr>
                <w:rFonts w:ascii="Arial" w:hAnsi="Arial"/>
                <w:b w:val="0"/>
              </w:rPr>
              <w:t>RAC</w:t>
            </w:r>
            <w:r w:rsidRPr="00D370A1">
              <w:rPr>
                <w:rFonts w:ascii="Arial" w:hAnsi="Arial"/>
                <w:b w:val="0"/>
              </w:rPr>
              <w:t xml:space="preserve"> – for domestic sources; PRs for TGF support (resources disbursed in previous period of implementation and disbursement planned</w:t>
            </w:r>
            <w:r w:rsidR="00EE12C6">
              <w:rPr>
                <w:rFonts w:ascii="Arial" w:hAnsi="Arial"/>
                <w:b w:val="0"/>
              </w:rPr>
              <w:t>);</w:t>
            </w:r>
            <w:r w:rsidRPr="00D370A1">
              <w:rPr>
                <w:rFonts w:ascii="Arial" w:hAnsi="Arial"/>
                <w:b w:val="0"/>
              </w:rPr>
              <w:t xml:space="preserve"> country offices or implementing organizations – for other external contributions (previous, current and anticipated). Calculations of financial needs for the National </w:t>
            </w:r>
            <w:r w:rsidR="00500B1D" w:rsidRPr="00D370A1">
              <w:rPr>
                <w:rFonts w:ascii="Arial" w:hAnsi="Arial"/>
                <w:b w:val="0"/>
              </w:rPr>
              <w:t>HIV Response</w:t>
            </w:r>
            <w:r w:rsidRPr="00D370A1">
              <w:rPr>
                <w:rFonts w:ascii="Arial" w:hAnsi="Arial"/>
                <w:b w:val="0"/>
              </w:rPr>
              <w:t xml:space="preserve"> are based on the</w:t>
            </w:r>
            <w:r w:rsidR="00500B1D" w:rsidRPr="00D370A1">
              <w:rPr>
                <w:rFonts w:ascii="Arial" w:hAnsi="Arial"/>
                <w:b w:val="0"/>
              </w:rPr>
              <w:t xml:space="preserve"> current level of spending</w:t>
            </w:r>
            <w:r w:rsidR="00FE25E3" w:rsidRPr="00D370A1">
              <w:rPr>
                <w:rFonts w:ascii="Arial" w:hAnsi="Arial"/>
                <w:b w:val="0"/>
              </w:rPr>
              <w:t xml:space="preserve">, </w:t>
            </w:r>
            <w:r w:rsidR="00500B1D" w:rsidRPr="00D370A1">
              <w:rPr>
                <w:rFonts w:ascii="Arial" w:hAnsi="Arial"/>
                <w:b w:val="0"/>
              </w:rPr>
              <w:t>taking into account the need to expand essential services to KAP, ART coverage as per the National Program of Accelerated Measures for Prevention of new HIV-infection cases in the Republic of Kazakhstan and the implementation roadmap.</w:t>
            </w:r>
            <w:r w:rsidR="00D370A1">
              <w:rPr>
                <w:rFonts w:ascii="Arial" w:hAnsi="Arial"/>
                <w:b w:val="0"/>
              </w:rPr>
              <w:t xml:space="preserve"> </w:t>
            </w:r>
            <w:r w:rsidRPr="00D370A1">
              <w:rPr>
                <w:rFonts w:ascii="Arial" w:hAnsi="Arial"/>
                <w:b w:val="0"/>
              </w:rPr>
              <w:t xml:space="preserve">For the previous years, data on domestic resources </w:t>
            </w:r>
            <w:r w:rsidR="00C863AE" w:rsidRPr="00D370A1">
              <w:rPr>
                <w:rFonts w:ascii="Arial" w:hAnsi="Arial"/>
                <w:b w:val="0"/>
              </w:rPr>
              <w:t xml:space="preserve">are from </w:t>
            </w:r>
            <w:r w:rsidRPr="00D370A1">
              <w:rPr>
                <w:rFonts w:ascii="Arial" w:hAnsi="Arial"/>
                <w:b w:val="0"/>
              </w:rPr>
              <w:t>data reported in the UNAIDS National AIDS Spending Matrix as part of the UNGASS Country Report for Monitoring the Declaration of Commitment on HIV/AIDS. The financial data presented are considered to be largely complete and reliable.</w:t>
            </w:r>
          </w:p>
          <w:p w14:paraId="08292A5F" w14:textId="39AAD47F" w:rsidR="00FB3DF5" w:rsidRPr="00D370A1" w:rsidRDefault="00C47F57" w:rsidP="00346F31">
            <w:pPr>
              <w:spacing w:before="120" w:after="120" w:line="240" w:lineRule="auto"/>
              <w:jc w:val="both"/>
              <w:rPr>
                <w:rFonts w:ascii="Arial" w:hAnsi="Arial"/>
                <w:b w:val="0"/>
                <w:bCs/>
                <w:iCs/>
              </w:rPr>
            </w:pPr>
            <w:r w:rsidRPr="00D370A1">
              <w:rPr>
                <w:rFonts w:ascii="Arial" w:hAnsi="Arial"/>
                <w:b w:val="0"/>
                <w:bCs/>
                <w:iCs/>
              </w:rPr>
              <w:t xml:space="preserve">The current grant </w:t>
            </w:r>
            <w:r w:rsidR="00A66280">
              <w:rPr>
                <w:rFonts w:ascii="Arial" w:hAnsi="Arial"/>
                <w:b w:val="0"/>
                <w:bCs/>
                <w:iCs/>
              </w:rPr>
              <w:t>is a r</w:t>
            </w:r>
            <w:r w:rsidR="00AA0A8A">
              <w:rPr>
                <w:rFonts w:ascii="Arial" w:hAnsi="Arial"/>
                <w:b w:val="0"/>
                <w:bCs/>
                <w:iCs/>
              </w:rPr>
              <w:t>ound</w:t>
            </w:r>
            <w:r w:rsidR="00A66280">
              <w:rPr>
                <w:rFonts w:ascii="Arial" w:hAnsi="Arial"/>
                <w:b w:val="0"/>
                <w:bCs/>
                <w:iCs/>
              </w:rPr>
              <w:t>-</w:t>
            </w:r>
            <w:r w:rsidR="00AA0A8A">
              <w:rPr>
                <w:rFonts w:ascii="Arial" w:hAnsi="Arial"/>
                <w:b w:val="0"/>
                <w:bCs/>
                <w:iCs/>
              </w:rPr>
              <w:t xml:space="preserve">base </w:t>
            </w:r>
            <w:r w:rsidR="003B7231">
              <w:rPr>
                <w:rFonts w:ascii="Arial" w:hAnsi="Arial"/>
                <w:b w:val="0"/>
                <w:bCs/>
                <w:iCs/>
              </w:rPr>
              <w:t>and was</w:t>
            </w:r>
            <w:r w:rsidR="003B7231" w:rsidRPr="00D370A1">
              <w:rPr>
                <w:rFonts w:ascii="Arial" w:hAnsi="Arial"/>
                <w:b w:val="0"/>
                <w:bCs/>
                <w:iCs/>
              </w:rPr>
              <w:t xml:space="preserve"> </w:t>
            </w:r>
            <w:r w:rsidRPr="00D370A1">
              <w:rPr>
                <w:rFonts w:ascii="Arial" w:hAnsi="Arial"/>
                <w:b w:val="0"/>
                <w:bCs/>
                <w:iCs/>
              </w:rPr>
              <w:t>not subject to willingness to pay</w:t>
            </w:r>
            <w:r w:rsidR="00346F31">
              <w:rPr>
                <w:rFonts w:ascii="Arial" w:hAnsi="Arial"/>
                <w:b w:val="0"/>
                <w:bCs/>
                <w:iCs/>
              </w:rPr>
              <w:t>.</w:t>
            </w:r>
          </w:p>
        </w:tc>
      </w:tr>
    </w:tbl>
    <w:p w14:paraId="444B30FD" w14:textId="336D5AF1" w:rsidR="0048135A" w:rsidRPr="00735705" w:rsidRDefault="0048135A">
      <w:pPr>
        <w:spacing w:after="0" w:line="240" w:lineRule="auto"/>
        <w:rPr>
          <w:rFonts w:ascii="Arial" w:hAnsi="Arial"/>
          <w:b w:val="0"/>
          <w:sz w:val="20"/>
          <w:szCs w:val="20"/>
          <w:lang w:val="en-GB"/>
        </w:rPr>
      </w:pPr>
    </w:p>
    <w:tbl>
      <w:tblPr>
        <w:tblW w:w="9071"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0A0" w:firstRow="1" w:lastRow="0" w:firstColumn="1" w:lastColumn="0" w:noHBand="0" w:noVBand="0"/>
      </w:tblPr>
      <w:tblGrid>
        <w:gridCol w:w="9071"/>
      </w:tblGrid>
      <w:tr w:rsidR="00F87AEE" w:rsidRPr="00735705" w14:paraId="776F79A2" w14:textId="77777777" w:rsidTr="00BF424C">
        <w:trPr>
          <w:trHeight w:val="420"/>
        </w:trPr>
        <w:tc>
          <w:tcPr>
            <w:tcW w:w="9071" w:type="dxa"/>
            <w:shd w:val="clear" w:color="auto" w:fill="C6D9F1" w:themeFill="text2" w:themeFillTint="33"/>
          </w:tcPr>
          <w:p w14:paraId="13A33686" w14:textId="77777777" w:rsidR="00F87AEE" w:rsidRPr="00735705" w:rsidRDefault="00F87AEE" w:rsidP="00F87AEE">
            <w:pPr>
              <w:keepNext/>
              <w:keepLines/>
              <w:tabs>
                <w:tab w:val="left" w:pos="8100"/>
              </w:tabs>
              <w:spacing w:before="120" w:after="120" w:line="240" w:lineRule="auto"/>
              <w:jc w:val="both"/>
              <w:rPr>
                <w:rFonts w:ascii="Arial" w:hAnsi="Arial"/>
                <w:b w:val="0"/>
                <w:bCs/>
                <w:sz w:val="20"/>
                <w:szCs w:val="20"/>
              </w:rPr>
            </w:pPr>
            <w:r w:rsidRPr="00735705">
              <w:rPr>
                <w:rFonts w:ascii="Arial" w:hAnsi="Arial"/>
                <w:b w:val="0"/>
                <w:sz w:val="20"/>
                <w:szCs w:val="20"/>
              </w:rPr>
              <w:t>4.2  Sustainability</w:t>
            </w:r>
          </w:p>
        </w:tc>
      </w:tr>
      <w:tr w:rsidR="00F87AEE" w:rsidRPr="00735705" w14:paraId="64277C1D" w14:textId="77777777" w:rsidTr="00BF424C">
        <w:trPr>
          <w:trHeight w:val="480"/>
        </w:trPr>
        <w:tc>
          <w:tcPr>
            <w:tcW w:w="9071" w:type="dxa"/>
            <w:tcBorders>
              <w:bottom w:val="single" w:sz="4" w:space="0" w:color="808080" w:themeColor="background1" w:themeShade="80"/>
            </w:tcBorders>
            <w:shd w:val="clear" w:color="auto" w:fill="F2F2F2"/>
            <w:vAlign w:val="center"/>
          </w:tcPr>
          <w:p w14:paraId="0A9A3C95" w14:textId="7CF1252D" w:rsidR="00F87AEE" w:rsidRPr="00735705" w:rsidRDefault="00F87AEE" w:rsidP="009D4679">
            <w:pPr>
              <w:spacing w:after="0" w:line="240" w:lineRule="auto"/>
              <w:jc w:val="both"/>
              <w:rPr>
                <w:rFonts w:ascii="Arial" w:eastAsia="SimSun" w:hAnsi="Arial"/>
                <w:b w:val="0"/>
                <w:sz w:val="20"/>
                <w:szCs w:val="20"/>
                <w:lang w:eastAsia="zh-CN"/>
              </w:rPr>
            </w:pPr>
            <w:r w:rsidRPr="00735705">
              <w:rPr>
                <w:rFonts w:ascii="Arial" w:eastAsia="SimSun" w:hAnsi="Arial"/>
                <w:b w:val="0"/>
                <w:sz w:val="20"/>
                <w:szCs w:val="20"/>
                <w:lang w:eastAsia="zh-CN"/>
              </w:rPr>
              <w:t>Describe below how the government will increasingly take up health program costs, and actions to improve sustainability of Global Fund financed programs.</w:t>
            </w:r>
            <w:r w:rsidR="00DB24FD" w:rsidRPr="00735705">
              <w:rPr>
                <w:rFonts w:ascii="Arial" w:eastAsia="SimSun" w:hAnsi="Arial"/>
                <w:b w:val="0"/>
                <w:sz w:val="20"/>
                <w:szCs w:val="20"/>
                <w:lang w:eastAsia="zh-CN"/>
              </w:rPr>
              <w:t xml:space="preserve"> Specifically,</w:t>
            </w:r>
          </w:p>
          <w:p w14:paraId="5A12D600" w14:textId="77777777" w:rsidR="00F87AEE" w:rsidRPr="00735705" w:rsidRDefault="00F87AEE" w:rsidP="009D4679">
            <w:pPr>
              <w:numPr>
                <w:ilvl w:val="0"/>
                <w:numId w:val="6"/>
              </w:numPr>
              <w:spacing w:after="0" w:line="240" w:lineRule="auto"/>
              <w:contextualSpacing/>
              <w:jc w:val="both"/>
              <w:rPr>
                <w:rFonts w:ascii="Arial" w:hAnsi="Arial"/>
                <w:b w:val="0"/>
                <w:sz w:val="20"/>
                <w:szCs w:val="20"/>
              </w:rPr>
            </w:pPr>
            <w:r w:rsidRPr="00735705">
              <w:rPr>
                <w:rFonts w:ascii="Arial" w:hAnsi="Arial"/>
                <w:b w:val="0"/>
                <w:sz w:val="20"/>
                <w:szCs w:val="20"/>
              </w:rPr>
              <w:t>Explain the costs, availability of funds and the funding gap for major program areas. Specify in particular how the government will increasingly take up key costs of national disease plans and/or support health systems; including scaling up investments in programs for key and vulnerable population, removal of human rights and gender-related barriers and enabling environment interventions.</w:t>
            </w:r>
          </w:p>
          <w:p w14:paraId="25485D14" w14:textId="481C719A" w:rsidR="00F87AEE" w:rsidRPr="00735705" w:rsidRDefault="00F87AEE" w:rsidP="009D4679">
            <w:pPr>
              <w:numPr>
                <w:ilvl w:val="0"/>
                <w:numId w:val="6"/>
              </w:numPr>
              <w:spacing w:after="0" w:line="240" w:lineRule="auto"/>
              <w:contextualSpacing/>
              <w:jc w:val="both"/>
              <w:rPr>
                <w:rFonts w:ascii="Arial" w:hAnsi="Arial"/>
                <w:b w:val="0"/>
                <w:sz w:val="20"/>
                <w:szCs w:val="20"/>
              </w:rPr>
            </w:pPr>
            <w:r w:rsidRPr="00735705">
              <w:rPr>
                <w:rFonts w:ascii="Arial" w:hAnsi="Arial"/>
                <w:b w:val="0"/>
                <w:sz w:val="20"/>
                <w:szCs w:val="20"/>
              </w:rPr>
              <w:t>Describe actions to improve sustainability of Global Fund financed programs. Specifically, highlight key sustainability challenges of the program(s) covered by the funding request, and any current and/or planned actions to address them.</w:t>
            </w:r>
            <w:r w:rsidR="00BF424C">
              <w:rPr>
                <w:rFonts w:ascii="Arial" w:hAnsi="Arial"/>
                <w:b w:val="0"/>
                <w:sz w:val="20"/>
                <w:szCs w:val="20"/>
              </w:rPr>
              <w:t xml:space="preserve"> </w:t>
            </w:r>
          </w:p>
        </w:tc>
      </w:tr>
      <w:tr w:rsidR="004B624F" w:rsidRPr="00735705" w14:paraId="32272135" w14:textId="77777777" w:rsidTr="00BF424C">
        <w:trPr>
          <w:trHeight w:val="480"/>
        </w:trPr>
        <w:tc>
          <w:tcPr>
            <w:tcW w:w="9071" w:type="dxa"/>
            <w:shd w:val="clear" w:color="auto" w:fill="auto"/>
            <w:vAlign w:val="center"/>
          </w:tcPr>
          <w:p w14:paraId="24AFB46B" w14:textId="578DD116" w:rsidR="00CF55E4" w:rsidRDefault="00D43457" w:rsidP="00BF424C">
            <w:pPr>
              <w:spacing w:before="120" w:after="120" w:line="240" w:lineRule="auto"/>
              <w:jc w:val="both"/>
              <w:rPr>
                <w:rFonts w:ascii="Arial" w:hAnsi="Arial"/>
                <w:b w:val="0"/>
              </w:rPr>
            </w:pPr>
            <w:r>
              <w:rPr>
                <w:rFonts w:ascii="Arial" w:hAnsi="Arial"/>
                <w:b w:val="0"/>
              </w:rPr>
              <w:t xml:space="preserve">Kazakhstan has a country led, financed, managed and </w:t>
            </w:r>
            <w:r w:rsidR="00CF55E4">
              <w:rPr>
                <w:rFonts w:ascii="Arial" w:hAnsi="Arial"/>
                <w:b w:val="0"/>
              </w:rPr>
              <w:t xml:space="preserve">implemented HIV response. The government has full ownership of the HIV response that is </w:t>
            </w:r>
            <w:r>
              <w:rPr>
                <w:rFonts w:ascii="Arial" w:hAnsi="Arial"/>
                <w:b w:val="0"/>
              </w:rPr>
              <w:t>coordinated</w:t>
            </w:r>
            <w:r w:rsidR="00CF55E4">
              <w:rPr>
                <w:rFonts w:ascii="Arial" w:hAnsi="Arial"/>
                <w:b w:val="0"/>
              </w:rPr>
              <w:t xml:space="preserve"> by the Republican AIDS Center which develops, oversees and implements the national response through a </w:t>
            </w:r>
            <w:r w:rsidR="003B7231">
              <w:rPr>
                <w:rFonts w:ascii="Arial" w:hAnsi="Arial"/>
                <w:b w:val="0"/>
              </w:rPr>
              <w:t xml:space="preserve">strong </w:t>
            </w:r>
            <w:r w:rsidR="00CF55E4">
              <w:rPr>
                <w:rFonts w:ascii="Arial" w:hAnsi="Arial"/>
                <w:b w:val="0"/>
              </w:rPr>
              <w:t xml:space="preserve">network of oblast and city AIDS Centers in partnership with civil society. </w:t>
            </w:r>
            <w:r w:rsidR="004B624F" w:rsidRPr="00983B9C">
              <w:rPr>
                <w:rFonts w:ascii="Arial" w:hAnsi="Arial"/>
                <w:b w:val="0"/>
              </w:rPr>
              <w:t xml:space="preserve">Understanding the importance of sustainability and continuation of consistent, evidence-based and impact oriented national HIV responses, the Government of </w:t>
            </w:r>
            <w:r w:rsidR="00BF424C" w:rsidRPr="00983B9C">
              <w:rPr>
                <w:rFonts w:ascii="Arial" w:hAnsi="Arial"/>
                <w:b w:val="0"/>
              </w:rPr>
              <w:t>Kazakhstan</w:t>
            </w:r>
            <w:r w:rsidR="004B624F" w:rsidRPr="00983B9C">
              <w:rPr>
                <w:rFonts w:ascii="Arial" w:hAnsi="Arial"/>
                <w:b w:val="0"/>
              </w:rPr>
              <w:t xml:space="preserve"> is committed to further increase </w:t>
            </w:r>
            <w:r w:rsidR="00F00D28" w:rsidRPr="00983B9C">
              <w:rPr>
                <w:rFonts w:ascii="Arial" w:eastAsia="SimSun" w:hAnsi="Arial"/>
                <w:b w:val="0"/>
                <w:lang w:eastAsia="zh-CN"/>
              </w:rPr>
              <w:t xml:space="preserve">efficiency of implementation mechanisms and </w:t>
            </w:r>
            <w:r w:rsidR="004B624F" w:rsidRPr="00983B9C">
              <w:rPr>
                <w:rFonts w:ascii="Arial" w:hAnsi="Arial"/>
                <w:b w:val="0"/>
              </w:rPr>
              <w:t xml:space="preserve">the level of domestic funding in order to bridge the gaps and take over the funding of all priority interventions included in the National HIV </w:t>
            </w:r>
            <w:r w:rsidR="00C863AE" w:rsidRPr="00983B9C">
              <w:rPr>
                <w:rFonts w:ascii="Arial" w:hAnsi="Arial"/>
                <w:b w:val="0"/>
              </w:rPr>
              <w:t>response</w:t>
            </w:r>
            <w:r w:rsidR="004B624F" w:rsidRPr="00983B9C">
              <w:rPr>
                <w:rFonts w:ascii="Arial" w:hAnsi="Arial"/>
                <w:b w:val="0"/>
              </w:rPr>
              <w:t xml:space="preserve">. </w:t>
            </w:r>
          </w:p>
          <w:p w14:paraId="3E913BFE" w14:textId="3F80C244" w:rsidR="00F00D28" w:rsidRPr="00983B9C" w:rsidRDefault="00C863AE" w:rsidP="00BF424C">
            <w:pPr>
              <w:spacing w:before="120" w:after="120" w:line="240" w:lineRule="auto"/>
              <w:jc w:val="both"/>
              <w:rPr>
                <w:rFonts w:ascii="Arial" w:hAnsi="Arial"/>
                <w:b w:val="0"/>
              </w:rPr>
            </w:pPr>
            <w:r w:rsidRPr="00983B9C">
              <w:rPr>
                <w:rFonts w:ascii="Arial" w:hAnsi="Arial"/>
                <w:b w:val="0"/>
              </w:rPr>
              <w:t xml:space="preserve">The Government fully covers HIV surveillance, ART, </w:t>
            </w:r>
            <w:r w:rsidRPr="00983B9C">
              <w:rPr>
                <w:rFonts w:ascii="Arial" w:eastAsia="SimSun" w:hAnsi="Arial"/>
                <w:b w:val="0"/>
                <w:lang w:eastAsia="zh-CN"/>
              </w:rPr>
              <w:t>pre-ART and ART monitoring, PMTCT, blood safety,</w:t>
            </w:r>
            <w:r w:rsidRPr="00983B9C">
              <w:rPr>
                <w:rFonts w:ascii="Arial" w:hAnsi="Arial"/>
                <w:b w:val="0"/>
              </w:rPr>
              <w:t xml:space="preserve"> management of opportunistic infections, STIs testing and treatment, laboratory operation,</w:t>
            </w:r>
            <w:r w:rsidRPr="00983B9C">
              <w:rPr>
                <w:rFonts w:ascii="Arial" w:eastAsia="SimSun" w:hAnsi="Arial"/>
                <w:b w:val="0"/>
                <w:lang w:eastAsia="zh-CN"/>
              </w:rPr>
              <w:t xml:space="preserve"> M&amp;E systems, including BSS in KAP, human resources and infrastructure for HIV services, including trust point for KP. Focused preventive programs for KP are also largely covered from domestic sources, including preventive activities supplies (syringes, condoms, lubricants, etc.), HTC, including rapid testing for KP, outreach workers for HIV prevention, </w:t>
            </w:r>
            <w:r w:rsidRPr="00983B9C">
              <w:rPr>
                <w:rFonts w:ascii="Arial" w:eastAsia="SimSun" w:hAnsi="Arial"/>
                <w:b w:val="0"/>
                <w:lang w:eastAsia="zh-CN"/>
              </w:rPr>
              <w:lastRenderedPageBreak/>
              <w:t>care and support to KP</w:t>
            </w:r>
            <w:r w:rsidR="00F87DC7">
              <w:rPr>
                <w:rFonts w:ascii="Arial" w:eastAsia="SimSun" w:hAnsi="Arial"/>
                <w:b w:val="0"/>
                <w:lang w:eastAsia="zh-CN"/>
              </w:rPr>
              <w:t xml:space="preserve"> and even a small scale </w:t>
            </w:r>
            <w:r w:rsidR="006963C7">
              <w:rPr>
                <w:rFonts w:ascii="Arial" w:eastAsia="SimSun" w:hAnsi="Arial"/>
                <w:b w:val="0"/>
                <w:lang w:eastAsia="zh-CN"/>
              </w:rPr>
              <w:t>social contracting of NGOs for KP targeted services,</w:t>
            </w:r>
            <w:r w:rsidRPr="00983B9C">
              <w:rPr>
                <w:rFonts w:ascii="Arial" w:eastAsia="SimSun" w:hAnsi="Arial"/>
                <w:b w:val="0"/>
                <w:lang w:eastAsia="zh-CN"/>
              </w:rPr>
              <w:t xml:space="preserve"> etc. Starting 2018 Kazakhstan will overtake the support and scale up of OST services developed under current TGF grant. </w:t>
            </w:r>
            <w:r w:rsidR="009334E6" w:rsidRPr="00983B9C">
              <w:rPr>
                <w:rFonts w:ascii="Arial" w:eastAsia="SimSun" w:hAnsi="Arial"/>
                <w:b w:val="0"/>
                <w:lang w:eastAsia="zh-CN"/>
              </w:rPr>
              <w:t xml:space="preserve">The country made strong political and budgetary commitments in support of HIV response and </w:t>
            </w:r>
            <w:r w:rsidR="001563E2" w:rsidRPr="00983B9C">
              <w:rPr>
                <w:rFonts w:ascii="Arial" w:eastAsia="SimSun" w:hAnsi="Arial"/>
                <w:b w:val="0"/>
                <w:lang w:eastAsia="zh-CN"/>
              </w:rPr>
              <w:t>kept the domestic expenditure increasing year by year</w:t>
            </w:r>
            <w:r w:rsidR="007A08E7">
              <w:rPr>
                <w:rFonts w:ascii="Arial" w:eastAsia="SimSun" w:hAnsi="Arial"/>
                <w:b w:val="0"/>
                <w:lang w:eastAsia="zh-CN"/>
              </w:rPr>
              <w:t>, despite economic downturn</w:t>
            </w:r>
            <w:r w:rsidR="001563E2" w:rsidRPr="00983B9C">
              <w:rPr>
                <w:rFonts w:ascii="Arial" w:eastAsia="SimSun" w:hAnsi="Arial"/>
                <w:b w:val="0"/>
                <w:lang w:eastAsia="zh-CN"/>
              </w:rPr>
              <w:t xml:space="preserve">. </w:t>
            </w:r>
            <w:r w:rsidR="00FF7639">
              <w:rPr>
                <w:rFonts w:ascii="Arial" w:eastAsia="SimSun" w:hAnsi="Arial"/>
                <w:b w:val="0"/>
                <w:lang w:eastAsia="zh-CN"/>
              </w:rPr>
              <w:t>Governing its commitment by evidence, including Optima, t</w:t>
            </w:r>
            <w:r w:rsidR="00891E64">
              <w:rPr>
                <w:rFonts w:ascii="Arial" w:eastAsia="SimSun" w:hAnsi="Arial"/>
                <w:b w:val="0"/>
                <w:lang w:eastAsia="zh-CN"/>
              </w:rPr>
              <w:t xml:space="preserve">he country </w:t>
            </w:r>
            <w:r w:rsidR="00FF7639">
              <w:rPr>
                <w:rFonts w:ascii="Arial" w:eastAsia="SimSun" w:hAnsi="Arial"/>
                <w:b w:val="0"/>
                <w:lang w:eastAsia="zh-CN"/>
              </w:rPr>
              <w:t xml:space="preserve">aims to maximize impact and achieve the greatest yield from investments.  </w:t>
            </w:r>
            <w:r w:rsidR="00891E64">
              <w:rPr>
                <w:rFonts w:ascii="Arial" w:eastAsia="SimSun" w:hAnsi="Arial"/>
                <w:b w:val="0"/>
                <w:lang w:eastAsia="zh-CN"/>
              </w:rPr>
              <w:t xml:space="preserve"> </w:t>
            </w:r>
          </w:p>
          <w:p w14:paraId="7727659F" w14:textId="14EEB781" w:rsidR="004B624F" w:rsidRPr="00983B9C" w:rsidRDefault="00F00D28" w:rsidP="00BF424C">
            <w:pPr>
              <w:spacing w:before="120" w:after="120" w:line="240" w:lineRule="auto"/>
              <w:jc w:val="both"/>
              <w:rPr>
                <w:rFonts w:ascii="Arial" w:hAnsi="Arial"/>
                <w:b w:val="0"/>
              </w:rPr>
            </w:pPr>
            <w:r w:rsidRPr="00983B9C">
              <w:rPr>
                <w:rFonts w:ascii="Arial" w:hAnsi="Arial"/>
                <w:b w:val="0"/>
              </w:rPr>
              <w:t>T</w:t>
            </w:r>
            <w:r w:rsidR="004B624F" w:rsidRPr="00983B9C">
              <w:rPr>
                <w:rFonts w:ascii="Arial" w:hAnsi="Arial"/>
                <w:b w:val="0"/>
              </w:rPr>
              <w:t xml:space="preserve">he MOH </w:t>
            </w:r>
            <w:r w:rsidR="00B44596" w:rsidRPr="00983B9C">
              <w:rPr>
                <w:rFonts w:ascii="Arial" w:hAnsi="Arial"/>
                <w:b w:val="0"/>
              </w:rPr>
              <w:t xml:space="preserve">put forward </w:t>
            </w:r>
            <w:r w:rsidR="00F53DB4">
              <w:rPr>
                <w:rFonts w:ascii="Arial" w:hAnsi="Arial"/>
                <w:b w:val="0"/>
              </w:rPr>
              <w:t xml:space="preserve">several strategies: </w:t>
            </w:r>
            <w:r w:rsidR="004B624F" w:rsidRPr="00983B9C">
              <w:rPr>
                <w:rFonts w:ascii="Arial" w:hAnsi="Arial"/>
                <w:b w:val="0"/>
              </w:rPr>
              <w:t xml:space="preserve">further increase effectiveness of </w:t>
            </w:r>
            <w:r w:rsidRPr="00983B9C">
              <w:rPr>
                <w:rFonts w:ascii="Arial" w:hAnsi="Arial"/>
                <w:b w:val="0"/>
              </w:rPr>
              <w:t>HIV response</w:t>
            </w:r>
            <w:r w:rsidR="00F53DB4">
              <w:rPr>
                <w:rFonts w:ascii="Arial" w:hAnsi="Arial"/>
                <w:b w:val="0"/>
              </w:rPr>
              <w:t>, introducing</w:t>
            </w:r>
            <w:r w:rsidR="004B624F" w:rsidRPr="00983B9C">
              <w:rPr>
                <w:rFonts w:ascii="Arial" w:hAnsi="Arial"/>
                <w:b w:val="0"/>
              </w:rPr>
              <w:t xml:space="preserve"> Mandat</w:t>
            </w:r>
            <w:r w:rsidR="00F53DB4">
              <w:rPr>
                <w:rFonts w:ascii="Arial" w:hAnsi="Arial"/>
                <w:b w:val="0"/>
              </w:rPr>
              <w:t>ory Health Insurance and including</w:t>
            </w:r>
            <w:r w:rsidR="004B624F" w:rsidRPr="00983B9C">
              <w:rPr>
                <w:rFonts w:ascii="Arial" w:hAnsi="Arial"/>
                <w:b w:val="0"/>
              </w:rPr>
              <w:t xml:space="preserve"> services related to diagnosis and t</w:t>
            </w:r>
            <w:r w:rsidR="00F53DB4">
              <w:rPr>
                <w:rFonts w:ascii="Arial" w:hAnsi="Arial"/>
                <w:b w:val="0"/>
              </w:rPr>
              <w:t>reatment of HIV/AIDS, prioritization of</w:t>
            </w:r>
            <w:r w:rsidR="004B624F" w:rsidRPr="00983B9C">
              <w:rPr>
                <w:rFonts w:ascii="Arial" w:hAnsi="Arial"/>
                <w:b w:val="0"/>
              </w:rPr>
              <w:t xml:space="preserve"> MOH funding under public health programs</w:t>
            </w:r>
            <w:r w:rsidR="00D37741">
              <w:rPr>
                <w:rFonts w:ascii="Arial" w:hAnsi="Arial"/>
                <w:b w:val="0"/>
              </w:rPr>
              <w:t xml:space="preserve">, </w:t>
            </w:r>
            <w:r w:rsidR="00D37741" w:rsidRPr="00223B98">
              <w:rPr>
                <w:rFonts w:ascii="Arial" w:eastAsia="SimSun" w:hAnsi="Arial"/>
                <w:b w:val="0"/>
                <w:lang w:eastAsia="zh-CN"/>
              </w:rPr>
              <w:t>national road map on accelerated HIV response</w:t>
            </w:r>
            <w:r w:rsidR="00D37741" w:rsidRPr="00983B9C">
              <w:rPr>
                <w:rFonts w:ascii="Arial" w:hAnsi="Arial"/>
                <w:b w:val="0"/>
              </w:rPr>
              <w:t xml:space="preserve"> </w:t>
            </w:r>
            <w:r w:rsidR="00D37741">
              <w:rPr>
                <w:rFonts w:ascii="Arial" w:hAnsi="Arial"/>
                <w:b w:val="0"/>
              </w:rPr>
              <w:t xml:space="preserve">and </w:t>
            </w:r>
            <w:r w:rsidR="004B624F" w:rsidRPr="00983B9C">
              <w:rPr>
                <w:rFonts w:ascii="Arial" w:hAnsi="Arial"/>
                <w:b w:val="0"/>
              </w:rPr>
              <w:t>focusing on priority HIV interventions</w:t>
            </w:r>
            <w:r w:rsidR="00D37741">
              <w:rPr>
                <w:rFonts w:ascii="Arial" w:hAnsi="Arial"/>
                <w:b w:val="0"/>
              </w:rPr>
              <w:t>.</w:t>
            </w:r>
            <w:r w:rsidR="004B624F" w:rsidRPr="00983B9C">
              <w:rPr>
                <w:rFonts w:ascii="Arial" w:hAnsi="Arial"/>
                <w:b w:val="0"/>
              </w:rPr>
              <w:t xml:space="preserve"> </w:t>
            </w:r>
            <w:r w:rsidR="001563E2" w:rsidRPr="00983B9C">
              <w:rPr>
                <w:rFonts w:ascii="Arial" w:hAnsi="Arial"/>
                <w:b w:val="0"/>
              </w:rPr>
              <w:t xml:space="preserve">The Government is committed to </w:t>
            </w:r>
            <w:r w:rsidR="00D37741">
              <w:rPr>
                <w:rFonts w:ascii="Arial" w:hAnsi="Arial"/>
                <w:b w:val="0"/>
              </w:rPr>
              <w:t xml:space="preserve">further </w:t>
            </w:r>
            <w:r w:rsidR="001563E2" w:rsidRPr="00983B9C">
              <w:rPr>
                <w:rFonts w:ascii="Arial" w:hAnsi="Arial"/>
                <w:b w:val="0"/>
              </w:rPr>
              <w:t xml:space="preserve">optimize ART costs </w:t>
            </w:r>
            <w:r w:rsidR="007A08E7">
              <w:rPr>
                <w:rFonts w:ascii="Arial" w:hAnsi="Arial"/>
                <w:b w:val="0"/>
              </w:rPr>
              <w:t xml:space="preserve">and quality </w:t>
            </w:r>
            <w:r w:rsidR="001563E2" w:rsidRPr="00983B9C">
              <w:rPr>
                <w:rFonts w:ascii="Arial" w:hAnsi="Arial"/>
                <w:b w:val="0"/>
              </w:rPr>
              <w:t xml:space="preserve">by utilizing UN </w:t>
            </w:r>
            <w:r w:rsidR="00F53DB4">
              <w:rPr>
                <w:rFonts w:ascii="Arial" w:hAnsi="Arial"/>
                <w:b w:val="0"/>
              </w:rPr>
              <w:t xml:space="preserve">procurement </w:t>
            </w:r>
            <w:r w:rsidR="001563E2" w:rsidRPr="00983B9C">
              <w:rPr>
                <w:rFonts w:ascii="Arial" w:hAnsi="Arial"/>
                <w:b w:val="0"/>
              </w:rPr>
              <w:t>mechanisms, less expensive</w:t>
            </w:r>
            <w:r w:rsidR="00F53DB4">
              <w:rPr>
                <w:rFonts w:ascii="Arial" w:hAnsi="Arial"/>
                <w:b w:val="0"/>
              </w:rPr>
              <w:t xml:space="preserve"> fixed dose combinations</w:t>
            </w:r>
            <w:r w:rsidR="001563E2" w:rsidRPr="00983B9C">
              <w:rPr>
                <w:rFonts w:ascii="Arial" w:hAnsi="Arial"/>
                <w:b w:val="0"/>
              </w:rPr>
              <w:t xml:space="preserve"> and increase ART uptake by streamlining its clinical protocols to WHO ‘test and treat strategy’</w:t>
            </w:r>
            <w:r w:rsidR="007A08E7">
              <w:rPr>
                <w:rFonts w:ascii="Arial" w:hAnsi="Arial"/>
                <w:b w:val="0"/>
              </w:rPr>
              <w:t xml:space="preserve"> towards reaching 90</w:t>
            </w:r>
            <w:r w:rsidR="00F53DB4">
              <w:rPr>
                <w:rFonts w:ascii="Arial" w:hAnsi="Arial"/>
                <w:b w:val="0"/>
              </w:rPr>
              <w:t>%</w:t>
            </w:r>
            <w:r w:rsidR="007A08E7">
              <w:rPr>
                <w:rFonts w:ascii="Arial" w:hAnsi="Arial"/>
                <w:b w:val="0"/>
              </w:rPr>
              <w:t xml:space="preserve"> coverage with ART by 2020</w:t>
            </w:r>
            <w:r w:rsidR="00D37741">
              <w:rPr>
                <w:rFonts w:ascii="Arial" w:hAnsi="Arial"/>
                <w:b w:val="0"/>
              </w:rPr>
              <w:t xml:space="preserve">. </w:t>
            </w:r>
            <w:r w:rsidR="007A08E7">
              <w:rPr>
                <w:rFonts w:ascii="Arial" w:hAnsi="Arial"/>
                <w:b w:val="0"/>
              </w:rPr>
              <w:t xml:space="preserve">The Government is committed </w:t>
            </w:r>
            <w:r w:rsidR="00844844">
              <w:rPr>
                <w:rFonts w:ascii="Arial" w:hAnsi="Arial"/>
                <w:b w:val="0"/>
              </w:rPr>
              <w:t xml:space="preserve">to increase </w:t>
            </w:r>
            <w:r w:rsidR="001563E2" w:rsidRPr="00983B9C">
              <w:rPr>
                <w:rFonts w:ascii="Arial" w:hAnsi="Arial"/>
                <w:b w:val="0"/>
              </w:rPr>
              <w:t xml:space="preserve">its share for focused HIV interventions </w:t>
            </w:r>
            <w:r w:rsidR="000425AE">
              <w:rPr>
                <w:rFonts w:ascii="Arial" w:hAnsi="Arial"/>
                <w:b w:val="0"/>
              </w:rPr>
              <w:t xml:space="preserve">to 9.8% by 2020 (from 6% in 2016) and </w:t>
            </w:r>
            <w:r w:rsidR="00231D0C">
              <w:rPr>
                <w:rFonts w:ascii="Arial" w:hAnsi="Arial"/>
                <w:b w:val="0"/>
              </w:rPr>
              <w:t>optimize investments using</w:t>
            </w:r>
            <w:r w:rsidR="00231D0C" w:rsidRPr="00983B9C">
              <w:rPr>
                <w:rFonts w:ascii="Arial" w:hAnsi="Arial"/>
                <w:b w:val="0"/>
              </w:rPr>
              <w:t xml:space="preserve"> NGOs </w:t>
            </w:r>
            <w:r w:rsidR="001563E2" w:rsidRPr="00983B9C">
              <w:rPr>
                <w:rFonts w:ascii="Arial" w:hAnsi="Arial"/>
                <w:b w:val="0"/>
              </w:rPr>
              <w:t xml:space="preserve">social contracting </w:t>
            </w:r>
            <w:r w:rsidR="00231D0C">
              <w:rPr>
                <w:rFonts w:ascii="Arial" w:hAnsi="Arial"/>
                <w:b w:val="0"/>
              </w:rPr>
              <w:t xml:space="preserve">as a critical part for sustainable and efficient rights-based </w:t>
            </w:r>
            <w:r w:rsidR="001563E2" w:rsidRPr="00983B9C">
              <w:rPr>
                <w:rFonts w:ascii="Arial" w:hAnsi="Arial"/>
                <w:b w:val="0"/>
              </w:rPr>
              <w:t xml:space="preserve">HIV prevention, care and support services to KP. </w:t>
            </w:r>
          </w:p>
          <w:p w14:paraId="5FC15910" w14:textId="43C9D80B" w:rsidR="004B624F" w:rsidRPr="00983B9C" w:rsidRDefault="00904167" w:rsidP="00BF424C">
            <w:pPr>
              <w:spacing w:before="120" w:after="120" w:line="240" w:lineRule="auto"/>
              <w:jc w:val="both"/>
              <w:rPr>
                <w:rFonts w:ascii="Arial" w:eastAsia="SimSun" w:hAnsi="Arial"/>
                <w:b w:val="0"/>
                <w:lang w:eastAsia="zh-CN"/>
              </w:rPr>
            </w:pPr>
            <w:r w:rsidRPr="00983B9C">
              <w:rPr>
                <w:rFonts w:ascii="Arial" w:hAnsi="Arial"/>
                <w:b w:val="0"/>
              </w:rPr>
              <w:t xml:space="preserve">The </w:t>
            </w:r>
            <w:r w:rsidRPr="00983B9C">
              <w:rPr>
                <w:rFonts w:ascii="Arial" w:hAnsi="Arial"/>
                <w:b w:val="0"/>
                <w:i/>
              </w:rPr>
              <w:t xml:space="preserve">Building Foundation for Sustainable HIV Response in Kazakhstan </w:t>
            </w:r>
            <w:r w:rsidR="00F53DB4">
              <w:rPr>
                <w:rFonts w:ascii="Arial" w:hAnsi="Arial"/>
                <w:b w:val="0"/>
                <w:i/>
              </w:rPr>
              <w:t>funding r</w:t>
            </w:r>
            <w:r w:rsidR="007A08E7">
              <w:rPr>
                <w:rFonts w:ascii="Arial" w:hAnsi="Arial"/>
                <w:b w:val="0"/>
                <w:i/>
              </w:rPr>
              <w:t>equest</w:t>
            </w:r>
            <w:r w:rsidR="007A08E7" w:rsidRPr="00983B9C">
              <w:rPr>
                <w:rFonts w:ascii="Arial" w:eastAsia="SimSun" w:hAnsi="Arial"/>
                <w:b w:val="0"/>
                <w:lang w:eastAsia="zh-CN"/>
              </w:rPr>
              <w:t xml:space="preserve"> </w:t>
            </w:r>
            <w:r w:rsidR="004B624F" w:rsidRPr="00983B9C">
              <w:rPr>
                <w:rFonts w:ascii="Arial" w:eastAsia="SimSun" w:hAnsi="Arial"/>
                <w:b w:val="0"/>
                <w:lang w:eastAsia="zh-CN"/>
              </w:rPr>
              <w:t xml:space="preserve">aims at filling the gaps and assisting the National </w:t>
            </w:r>
            <w:r w:rsidRPr="00983B9C">
              <w:rPr>
                <w:rFonts w:ascii="Arial" w:eastAsia="SimSun" w:hAnsi="Arial"/>
                <w:b w:val="0"/>
                <w:lang w:eastAsia="zh-CN"/>
              </w:rPr>
              <w:t xml:space="preserve">HIV </w:t>
            </w:r>
            <w:r w:rsidR="00F00D28" w:rsidRPr="00983B9C">
              <w:rPr>
                <w:rFonts w:ascii="Arial" w:eastAsia="SimSun" w:hAnsi="Arial"/>
                <w:b w:val="0"/>
                <w:lang w:eastAsia="zh-CN"/>
              </w:rPr>
              <w:t>response</w:t>
            </w:r>
            <w:r w:rsidR="004B624F" w:rsidRPr="00983B9C">
              <w:rPr>
                <w:rFonts w:ascii="Arial" w:eastAsia="SimSun" w:hAnsi="Arial"/>
                <w:b w:val="0"/>
                <w:lang w:eastAsia="zh-CN"/>
              </w:rPr>
              <w:t xml:space="preserve"> </w:t>
            </w:r>
            <w:r w:rsidR="00F004D7">
              <w:rPr>
                <w:rFonts w:ascii="Arial" w:eastAsia="SimSun" w:hAnsi="Arial"/>
                <w:b w:val="0"/>
                <w:lang w:eastAsia="zh-CN"/>
              </w:rPr>
              <w:t xml:space="preserve">to </w:t>
            </w:r>
            <w:r w:rsidR="004B624F" w:rsidRPr="00983B9C">
              <w:rPr>
                <w:rFonts w:ascii="Arial" w:eastAsia="SimSun" w:hAnsi="Arial"/>
                <w:b w:val="0"/>
                <w:lang w:eastAsia="zh-CN"/>
              </w:rPr>
              <w:t xml:space="preserve">transition towards Government funding </w:t>
            </w:r>
            <w:r w:rsidR="008F7FB7">
              <w:rPr>
                <w:rFonts w:ascii="Arial" w:eastAsia="SimSun" w:hAnsi="Arial"/>
                <w:b w:val="0"/>
                <w:lang w:eastAsia="zh-CN"/>
              </w:rPr>
              <w:t xml:space="preserve">and efficient implementation </w:t>
            </w:r>
            <w:r w:rsidR="004B624F" w:rsidRPr="00983B9C">
              <w:rPr>
                <w:rFonts w:ascii="Arial" w:eastAsia="SimSun" w:hAnsi="Arial"/>
                <w:b w:val="0"/>
                <w:lang w:eastAsia="zh-CN"/>
              </w:rPr>
              <w:t xml:space="preserve">for major intervention such as: </w:t>
            </w:r>
          </w:p>
          <w:p w14:paraId="30CCC986" w14:textId="0B795875" w:rsidR="00B20864" w:rsidRPr="00983B9C" w:rsidRDefault="00B20864" w:rsidP="008552E5">
            <w:pPr>
              <w:pStyle w:val="ListParagraph"/>
              <w:numPr>
                <w:ilvl w:val="0"/>
                <w:numId w:val="11"/>
              </w:numPr>
              <w:spacing w:before="120" w:after="120" w:line="240" w:lineRule="auto"/>
              <w:jc w:val="both"/>
              <w:rPr>
                <w:rFonts w:ascii="Arial" w:eastAsia="SimSun" w:hAnsi="Arial"/>
                <w:b w:val="0"/>
                <w:lang w:eastAsia="zh-CN"/>
              </w:rPr>
            </w:pPr>
            <w:r w:rsidRPr="00983B9C">
              <w:rPr>
                <w:rFonts w:ascii="Arial" w:eastAsia="SimSun" w:hAnsi="Arial"/>
                <w:b w:val="0"/>
                <w:lang w:eastAsia="zh-CN"/>
              </w:rPr>
              <w:t xml:space="preserve">Strengthen resilient and sustainable systems for health </w:t>
            </w:r>
            <w:r w:rsidR="00734BA7">
              <w:rPr>
                <w:rFonts w:ascii="Arial" w:eastAsia="SimSun" w:hAnsi="Arial"/>
                <w:b w:val="0"/>
                <w:lang w:eastAsia="zh-CN"/>
              </w:rPr>
              <w:t>-</w:t>
            </w:r>
            <w:r w:rsidRPr="00983B9C">
              <w:rPr>
                <w:rFonts w:ascii="Arial" w:eastAsia="SimSun" w:hAnsi="Arial"/>
                <w:b w:val="0"/>
                <w:lang w:eastAsia="zh-CN"/>
              </w:rPr>
              <w:t xml:space="preserve"> community response and systems</w:t>
            </w:r>
          </w:p>
          <w:p w14:paraId="07A1BB70" w14:textId="634CFCD6" w:rsidR="004B624F" w:rsidRPr="00983B9C" w:rsidRDefault="00F00D28" w:rsidP="008552E5">
            <w:pPr>
              <w:pStyle w:val="ListParagraph"/>
              <w:numPr>
                <w:ilvl w:val="0"/>
                <w:numId w:val="11"/>
              </w:numPr>
              <w:spacing w:before="120" w:after="120" w:line="240" w:lineRule="auto"/>
              <w:jc w:val="both"/>
              <w:rPr>
                <w:rFonts w:ascii="Arial" w:eastAsia="SimSun" w:hAnsi="Arial"/>
                <w:b w:val="0"/>
                <w:lang w:eastAsia="zh-CN"/>
              </w:rPr>
            </w:pPr>
            <w:r w:rsidRPr="00983B9C">
              <w:rPr>
                <w:rFonts w:ascii="Arial" w:eastAsia="SimSun" w:hAnsi="Arial"/>
                <w:b w:val="0"/>
                <w:lang w:eastAsia="zh-CN"/>
              </w:rPr>
              <w:t>S</w:t>
            </w:r>
            <w:r w:rsidR="004B624F" w:rsidRPr="00983B9C">
              <w:rPr>
                <w:rFonts w:ascii="Arial" w:eastAsia="SimSun" w:hAnsi="Arial"/>
                <w:b w:val="0"/>
                <w:lang w:eastAsia="zh-CN"/>
              </w:rPr>
              <w:t xml:space="preserve">cale-up needle and syringe programs (NSP) as part of programs for PWID and their partners </w:t>
            </w:r>
            <w:r w:rsidR="00961300">
              <w:rPr>
                <w:rFonts w:ascii="Arial" w:eastAsia="SimSun" w:hAnsi="Arial"/>
                <w:b w:val="0"/>
                <w:lang w:eastAsia="zh-CN"/>
              </w:rPr>
              <w:t>based on social contracting of NGOs</w:t>
            </w:r>
          </w:p>
          <w:p w14:paraId="62A0743A" w14:textId="6B88254D" w:rsidR="004B624F" w:rsidRPr="00983B9C" w:rsidRDefault="00F00D28" w:rsidP="008552E5">
            <w:pPr>
              <w:pStyle w:val="ListParagraph"/>
              <w:numPr>
                <w:ilvl w:val="0"/>
                <w:numId w:val="11"/>
              </w:numPr>
              <w:spacing w:before="120" w:after="120" w:line="240" w:lineRule="auto"/>
              <w:jc w:val="both"/>
              <w:rPr>
                <w:rFonts w:ascii="Arial" w:eastAsia="SimSun" w:hAnsi="Arial"/>
                <w:b w:val="0"/>
                <w:lang w:eastAsia="zh-CN"/>
              </w:rPr>
            </w:pPr>
            <w:r w:rsidRPr="00983B9C">
              <w:rPr>
                <w:rFonts w:ascii="Arial" w:eastAsia="SimSun" w:hAnsi="Arial"/>
                <w:b w:val="0"/>
                <w:lang w:eastAsia="zh-CN"/>
              </w:rPr>
              <w:t>S</w:t>
            </w:r>
            <w:r w:rsidR="004B624F" w:rsidRPr="00983B9C">
              <w:rPr>
                <w:rFonts w:ascii="Arial" w:eastAsia="SimSun" w:hAnsi="Arial"/>
                <w:b w:val="0"/>
                <w:lang w:eastAsia="zh-CN"/>
              </w:rPr>
              <w:t xml:space="preserve">cale-up behavioral change as part of programs for sex workers and their clients </w:t>
            </w:r>
            <w:r w:rsidR="00961300">
              <w:rPr>
                <w:rFonts w:ascii="Arial" w:eastAsia="SimSun" w:hAnsi="Arial"/>
                <w:b w:val="0"/>
                <w:lang w:eastAsia="zh-CN"/>
              </w:rPr>
              <w:t>based on social contracting of NGOs</w:t>
            </w:r>
          </w:p>
          <w:p w14:paraId="4097CC48" w14:textId="5A0F003C" w:rsidR="004B624F" w:rsidRPr="00983B9C" w:rsidRDefault="00F00D28" w:rsidP="008552E5">
            <w:pPr>
              <w:pStyle w:val="ListParagraph"/>
              <w:numPr>
                <w:ilvl w:val="0"/>
                <w:numId w:val="11"/>
              </w:numPr>
              <w:spacing w:before="120" w:after="120" w:line="240" w:lineRule="auto"/>
              <w:jc w:val="both"/>
              <w:rPr>
                <w:rFonts w:ascii="Arial" w:eastAsia="SimSun" w:hAnsi="Arial"/>
                <w:b w:val="0"/>
                <w:lang w:eastAsia="zh-CN"/>
              </w:rPr>
            </w:pPr>
            <w:r w:rsidRPr="00983B9C">
              <w:rPr>
                <w:rFonts w:ascii="Arial" w:eastAsia="SimSun" w:hAnsi="Arial"/>
                <w:b w:val="0"/>
                <w:lang w:eastAsia="zh-CN"/>
              </w:rPr>
              <w:t xml:space="preserve">Scale-up behavioral change </w:t>
            </w:r>
            <w:r w:rsidR="004B624F" w:rsidRPr="00983B9C">
              <w:rPr>
                <w:rFonts w:ascii="Arial" w:eastAsia="SimSun" w:hAnsi="Arial"/>
                <w:b w:val="0"/>
                <w:lang w:eastAsia="zh-CN"/>
              </w:rPr>
              <w:t>as part of programs for MSM</w:t>
            </w:r>
            <w:r w:rsidR="00961300">
              <w:rPr>
                <w:rFonts w:ascii="Arial" w:eastAsia="SimSun" w:hAnsi="Arial"/>
                <w:b w:val="0"/>
                <w:lang w:eastAsia="zh-CN"/>
              </w:rPr>
              <w:t xml:space="preserve"> based on social contracting of NGOs</w:t>
            </w:r>
          </w:p>
          <w:p w14:paraId="664B9449" w14:textId="227FA3A8" w:rsidR="00BC26BB" w:rsidRPr="00983B9C" w:rsidRDefault="00BC26BB" w:rsidP="00BC26BB">
            <w:pPr>
              <w:pStyle w:val="ListParagraph"/>
              <w:numPr>
                <w:ilvl w:val="0"/>
                <w:numId w:val="11"/>
              </w:numPr>
              <w:spacing w:before="120" w:after="120" w:line="240" w:lineRule="auto"/>
              <w:jc w:val="both"/>
              <w:rPr>
                <w:rFonts w:ascii="Arial" w:eastAsia="SimSun" w:hAnsi="Arial"/>
                <w:b w:val="0"/>
                <w:lang w:eastAsia="zh-CN"/>
              </w:rPr>
            </w:pPr>
            <w:r w:rsidRPr="00983B9C">
              <w:rPr>
                <w:rFonts w:ascii="Arial" w:eastAsia="SimSun" w:hAnsi="Arial"/>
                <w:b w:val="0"/>
                <w:lang w:eastAsia="zh-CN"/>
              </w:rPr>
              <w:t>Provide counselling and psycho-social support, as part of care and support programs for PLHIV</w:t>
            </w:r>
            <w:r w:rsidR="00961300">
              <w:rPr>
                <w:rFonts w:ascii="Arial" w:eastAsia="SimSun" w:hAnsi="Arial"/>
                <w:b w:val="0"/>
                <w:lang w:eastAsia="zh-CN"/>
              </w:rPr>
              <w:t xml:space="preserve"> based on social contracting of NGOs</w:t>
            </w:r>
          </w:p>
          <w:p w14:paraId="3752CE03" w14:textId="77777777" w:rsidR="00F004D7" w:rsidRPr="00F004D7" w:rsidRDefault="004B624F" w:rsidP="00F004D7">
            <w:pPr>
              <w:pStyle w:val="ListParagraph"/>
              <w:numPr>
                <w:ilvl w:val="0"/>
                <w:numId w:val="11"/>
              </w:numPr>
              <w:spacing w:before="120" w:after="120" w:line="240" w:lineRule="auto"/>
              <w:jc w:val="both"/>
              <w:rPr>
                <w:rFonts w:ascii="Arial" w:eastAsia="SimSun" w:hAnsi="Arial"/>
                <w:b w:val="0"/>
                <w:sz w:val="20"/>
                <w:szCs w:val="20"/>
                <w:lang w:eastAsia="zh-CN"/>
              </w:rPr>
            </w:pPr>
            <w:r w:rsidRPr="00983B9C">
              <w:rPr>
                <w:rFonts w:ascii="Arial" w:eastAsia="SimSun" w:hAnsi="Arial"/>
                <w:b w:val="0"/>
                <w:lang w:eastAsia="zh-CN"/>
              </w:rPr>
              <w:t xml:space="preserve">Improve </w:t>
            </w:r>
            <w:r w:rsidR="00904167" w:rsidRPr="00983B9C">
              <w:rPr>
                <w:rFonts w:ascii="Arial" w:eastAsia="SimSun" w:hAnsi="Arial"/>
                <w:b w:val="0"/>
                <w:lang w:eastAsia="zh-CN"/>
              </w:rPr>
              <w:t xml:space="preserve">program </w:t>
            </w:r>
            <w:r w:rsidRPr="00983B9C">
              <w:rPr>
                <w:rFonts w:ascii="Arial" w:eastAsia="SimSun" w:hAnsi="Arial"/>
                <w:b w:val="0"/>
                <w:lang w:eastAsia="zh-CN"/>
              </w:rPr>
              <w:t>management.</w:t>
            </w:r>
          </w:p>
          <w:p w14:paraId="556F83FB" w14:textId="5B835E6F" w:rsidR="00F004D7" w:rsidRPr="00734BA7" w:rsidRDefault="00734BA7" w:rsidP="00EF47D9">
            <w:pPr>
              <w:spacing w:before="120" w:after="120" w:line="240" w:lineRule="auto"/>
              <w:jc w:val="both"/>
              <w:rPr>
                <w:rFonts w:ascii="Arial" w:eastAsia="SimSun" w:hAnsi="Arial"/>
                <w:b w:val="0"/>
                <w:lang w:eastAsia="zh-CN"/>
              </w:rPr>
            </w:pPr>
            <w:r>
              <w:rPr>
                <w:rFonts w:ascii="Arial" w:eastAsia="SimSun" w:hAnsi="Arial"/>
                <w:b w:val="0"/>
                <w:lang w:eastAsia="zh-CN"/>
              </w:rPr>
              <w:t>A total of 22% from the a</w:t>
            </w:r>
            <w:r w:rsidR="00F53DB4">
              <w:rPr>
                <w:rFonts w:ascii="Arial" w:eastAsia="SimSun" w:hAnsi="Arial"/>
                <w:b w:val="0"/>
                <w:lang w:eastAsia="zh-CN"/>
              </w:rPr>
              <w:t>llocation are invested into RSSH</w:t>
            </w:r>
            <w:r>
              <w:rPr>
                <w:rFonts w:ascii="Arial" w:eastAsia="SimSun" w:hAnsi="Arial"/>
                <w:b w:val="0"/>
                <w:lang w:eastAsia="zh-CN"/>
              </w:rPr>
              <w:t xml:space="preserve"> – community response and system under the </w:t>
            </w:r>
            <w:r w:rsidR="00EF47D9">
              <w:rPr>
                <w:rFonts w:ascii="Arial" w:eastAsia="SimSun" w:hAnsi="Arial"/>
                <w:b w:val="0"/>
                <w:lang w:eastAsia="zh-CN"/>
              </w:rPr>
              <w:t>funding request</w:t>
            </w:r>
            <w:r w:rsidR="00D370A1">
              <w:rPr>
                <w:rFonts w:ascii="Arial" w:eastAsia="SimSun" w:hAnsi="Arial"/>
                <w:b w:val="0"/>
                <w:lang w:eastAsia="zh-CN"/>
              </w:rPr>
              <w:t xml:space="preserve"> </w:t>
            </w:r>
            <w:r>
              <w:rPr>
                <w:rFonts w:ascii="Arial" w:eastAsia="SimSun" w:hAnsi="Arial"/>
                <w:b w:val="0"/>
                <w:lang w:eastAsia="zh-CN"/>
              </w:rPr>
              <w:t xml:space="preserve">strategic objective towards </w:t>
            </w:r>
            <w:r w:rsidR="00D370A1">
              <w:rPr>
                <w:rFonts w:ascii="Arial" w:eastAsia="SimSun" w:hAnsi="Arial"/>
                <w:b w:val="0"/>
                <w:lang w:eastAsia="zh-CN"/>
              </w:rPr>
              <w:t xml:space="preserve">institutionalization of viable and sustainable NGOs’ </w:t>
            </w:r>
            <w:r w:rsidR="00D370A1" w:rsidRPr="00F004D7">
              <w:rPr>
                <w:rFonts w:ascii="Arial" w:eastAsia="SimSun" w:hAnsi="Arial"/>
                <w:b w:val="0"/>
                <w:lang w:eastAsia="zh-CN"/>
              </w:rPr>
              <w:t>social contracting system</w:t>
            </w:r>
            <w:r w:rsidR="00D370A1">
              <w:rPr>
                <w:rFonts w:ascii="Arial" w:eastAsia="SimSun" w:hAnsi="Arial"/>
                <w:b w:val="0"/>
                <w:lang w:eastAsia="zh-CN"/>
              </w:rPr>
              <w:t xml:space="preserve"> for </w:t>
            </w:r>
            <w:r w:rsidR="00D370A1" w:rsidRPr="00F004D7">
              <w:rPr>
                <w:rFonts w:ascii="Arial" w:eastAsia="SimSun" w:hAnsi="Arial"/>
                <w:b w:val="0"/>
                <w:lang w:eastAsia="zh-CN"/>
              </w:rPr>
              <w:t>financing</w:t>
            </w:r>
            <w:r w:rsidR="00D370A1">
              <w:rPr>
                <w:rFonts w:ascii="Arial" w:eastAsia="SimSun" w:hAnsi="Arial"/>
                <w:b w:val="0"/>
                <w:lang w:eastAsia="zh-CN"/>
              </w:rPr>
              <w:t xml:space="preserve"> and </w:t>
            </w:r>
            <w:r w:rsidR="00F004D7" w:rsidRPr="00F004D7">
              <w:rPr>
                <w:rFonts w:ascii="Arial" w:eastAsia="SimSun" w:hAnsi="Arial"/>
                <w:b w:val="0"/>
                <w:lang w:eastAsia="zh-CN"/>
              </w:rPr>
              <w:t xml:space="preserve">scale up </w:t>
            </w:r>
            <w:r w:rsidR="00F004D7" w:rsidRPr="00F004D7">
              <w:rPr>
                <w:rFonts w:ascii="Arial" w:eastAsia="SimSun" w:hAnsi="Arial"/>
                <w:b w:val="0"/>
                <w:lang w:val="en-GB" w:eastAsia="zh-CN"/>
              </w:rPr>
              <w:t xml:space="preserve">access of </w:t>
            </w:r>
            <w:r w:rsidR="00F004D7">
              <w:rPr>
                <w:rFonts w:ascii="Arial" w:eastAsia="SimSun" w:hAnsi="Arial"/>
                <w:b w:val="0"/>
                <w:lang w:val="en-GB" w:eastAsia="zh-CN"/>
              </w:rPr>
              <w:t>KP</w:t>
            </w:r>
            <w:r w:rsidR="00F004D7" w:rsidRPr="00F004D7">
              <w:rPr>
                <w:rFonts w:ascii="Arial" w:eastAsia="SimSun" w:hAnsi="Arial"/>
                <w:b w:val="0"/>
                <w:lang w:val="en-GB" w:eastAsia="zh-CN"/>
              </w:rPr>
              <w:t xml:space="preserve"> to evidence based HIV prevention, care and support services.</w:t>
            </w:r>
            <w:r w:rsidR="00D370A1">
              <w:rPr>
                <w:rFonts w:ascii="Arial" w:eastAsia="SimSun" w:hAnsi="Arial"/>
                <w:b w:val="0"/>
                <w:lang w:val="en-GB" w:eastAsia="zh-CN"/>
              </w:rPr>
              <w:t xml:space="preserve"> </w:t>
            </w:r>
          </w:p>
        </w:tc>
      </w:tr>
    </w:tbl>
    <w:p w14:paraId="09C6BE52" w14:textId="32C284AC" w:rsidR="00AD6F80" w:rsidRPr="00C14003" w:rsidRDefault="00AD6F80" w:rsidP="00AD6F80">
      <w:pPr>
        <w:spacing w:after="0" w:line="240" w:lineRule="auto"/>
        <w:rPr>
          <w:rFonts w:ascii="Arial" w:hAnsi="Arial"/>
          <w:b w:val="0"/>
          <w:sz w:val="10"/>
          <w:szCs w:val="10"/>
        </w:rPr>
      </w:pPr>
    </w:p>
    <w:tbl>
      <w:tblPr>
        <w:tblStyle w:val="TableGrid3"/>
        <w:tblW w:w="9113"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9113"/>
      </w:tblGrid>
      <w:tr w:rsidR="00AD6F80" w:rsidRPr="00735705" w14:paraId="45A04DE5" w14:textId="77777777" w:rsidTr="009D4679">
        <w:trPr>
          <w:trHeight w:val="447"/>
        </w:trPr>
        <w:tc>
          <w:tcPr>
            <w:tcW w:w="9113" w:type="dxa"/>
            <w:shd w:val="clear" w:color="auto" w:fill="1F497D"/>
            <w:vAlign w:val="center"/>
          </w:tcPr>
          <w:p w14:paraId="15B115DC" w14:textId="77777777" w:rsidR="00AD6F80" w:rsidRPr="00735705" w:rsidRDefault="00AD6F80" w:rsidP="00AD6F80">
            <w:pPr>
              <w:spacing w:after="0" w:line="240" w:lineRule="auto"/>
              <w:rPr>
                <w:rFonts w:ascii="Arial" w:hAnsi="Arial"/>
                <w:b w:val="0"/>
                <w:bCs/>
                <w:lang w:eastAsia="en-GB"/>
              </w:rPr>
            </w:pPr>
            <w:r w:rsidRPr="00735705">
              <w:rPr>
                <w:rFonts w:ascii="Arial" w:hAnsi="Arial"/>
                <w:b w:val="0"/>
                <w:bCs/>
                <w:color w:val="FFFFFF"/>
                <w:lang w:eastAsia="en-GB"/>
              </w:rPr>
              <w:t>SECTION 5: PRIORITIZED ABOVE ALLOCATION REQUEST / UPDATE</w:t>
            </w:r>
          </w:p>
        </w:tc>
      </w:tr>
    </w:tbl>
    <w:tbl>
      <w:tblPr>
        <w:tblW w:w="9113"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CellMar>
          <w:left w:w="10" w:type="dxa"/>
          <w:right w:w="10" w:type="dxa"/>
        </w:tblCellMar>
        <w:tblLook w:val="04A0" w:firstRow="1" w:lastRow="0" w:firstColumn="1" w:lastColumn="0" w:noHBand="0" w:noVBand="1"/>
      </w:tblPr>
      <w:tblGrid>
        <w:gridCol w:w="9113"/>
      </w:tblGrid>
      <w:tr w:rsidR="00AD6F80" w:rsidRPr="00735705" w14:paraId="7006ADA5" w14:textId="77777777" w:rsidTr="009D4679">
        <w:trPr>
          <w:trHeight w:val="213"/>
        </w:trPr>
        <w:tc>
          <w:tcPr>
            <w:tcW w:w="9113" w:type="dxa"/>
            <w:tcBorders>
              <w:bottom w:val="single" w:sz="4" w:space="0" w:color="BFBFBF"/>
            </w:tcBorders>
            <w:shd w:val="clear" w:color="auto" w:fill="C6D9F1"/>
            <w:tcMar>
              <w:top w:w="0" w:type="dxa"/>
              <w:left w:w="108" w:type="dxa"/>
              <w:bottom w:w="0" w:type="dxa"/>
              <w:right w:w="108" w:type="dxa"/>
            </w:tcMar>
            <w:vAlign w:val="center"/>
            <w:hideMark/>
          </w:tcPr>
          <w:p w14:paraId="74B21CC5" w14:textId="77777777" w:rsidR="00AD6F80" w:rsidRPr="00735705" w:rsidRDefault="00AD6F80" w:rsidP="00AD6F80">
            <w:pPr>
              <w:spacing w:after="0" w:line="380" w:lineRule="exact"/>
              <w:rPr>
                <w:rFonts w:ascii="Arial" w:eastAsia="MS Mincho" w:hAnsi="Arial"/>
                <w:b w:val="0"/>
                <w:color w:val="000000"/>
                <w:kern w:val="24"/>
                <w:sz w:val="20"/>
                <w:szCs w:val="20"/>
                <w:lang w:val="en-GB" w:eastAsia="fr-FR"/>
              </w:rPr>
            </w:pPr>
            <w:r w:rsidRPr="00735705">
              <w:rPr>
                <w:rFonts w:ascii="Arial" w:eastAsia="Cambria" w:hAnsi="Arial"/>
                <w:b w:val="0"/>
                <w:bCs/>
                <w:sz w:val="20"/>
                <w:szCs w:val="20"/>
                <w:lang w:val="en-GB" w:eastAsia="fr-FR"/>
              </w:rPr>
              <w:t>Prioritized Above Allocation Request</w:t>
            </w:r>
          </w:p>
        </w:tc>
      </w:tr>
      <w:tr w:rsidR="00AD6F80" w:rsidRPr="00735705" w14:paraId="062ED1A4" w14:textId="77777777" w:rsidTr="009D4679">
        <w:trPr>
          <w:trHeight w:val="199"/>
        </w:trPr>
        <w:tc>
          <w:tcPr>
            <w:tcW w:w="9113" w:type="dxa"/>
            <w:shd w:val="clear" w:color="auto" w:fill="auto"/>
            <w:tcMar>
              <w:top w:w="0" w:type="dxa"/>
              <w:left w:w="108" w:type="dxa"/>
              <w:bottom w:w="0" w:type="dxa"/>
              <w:right w:w="108" w:type="dxa"/>
            </w:tcMar>
            <w:vAlign w:val="center"/>
            <w:hideMark/>
          </w:tcPr>
          <w:p w14:paraId="4B408B5A" w14:textId="3DB58D53" w:rsidR="00AD6F80" w:rsidRPr="00735705" w:rsidRDefault="00F53DB4" w:rsidP="009D4679">
            <w:pPr>
              <w:keepNext/>
              <w:keepLines/>
              <w:spacing w:after="0" w:line="240" w:lineRule="auto"/>
              <w:jc w:val="both"/>
              <w:rPr>
                <w:rFonts w:ascii="Arial" w:eastAsia="Cambria" w:hAnsi="Arial"/>
                <w:b w:val="0"/>
                <w:sz w:val="20"/>
                <w:szCs w:val="20"/>
                <w:lang w:val="en-GB" w:eastAsia="fr-FR"/>
              </w:rPr>
            </w:pPr>
            <w:r>
              <w:rPr>
                <w:rFonts w:ascii="Arial" w:hAnsi="Arial" w:cs="Times New Roman"/>
                <w:b w:val="0"/>
                <w:sz w:val="20"/>
                <w:szCs w:val="20"/>
                <w:lang w:val="en-GB"/>
              </w:rPr>
              <w:t>n/a</w:t>
            </w:r>
          </w:p>
        </w:tc>
      </w:tr>
      <w:tr w:rsidR="009D4679" w:rsidRPr="00735705" w14:paraId="78664284" w14:textId="77777777" w:rsidTr="009D4679">
        <w:trPr>
          <w:trHeight w:val="130"/>
        </w:trPr>
        <w:tc>
          <w:tcPr>
            <w:tcW w:w="9113" w:type="dxa"/>
            <w:shd w:val="clear" w:color="auto" w:fill="BDD6EE"/>
            <w:tcMar>
              <w:top w:w="0" w:type="dxa"/>
              <w:left w:w="108" w:type="dxa"/>
              <w:bottom w:w="0" w:type="dxa"/>
              <w:right w:w="108" w:type="dxa"/>
            </w:tcMar>
            <w:vAlign w:val="center"/>
            <w:hideMark/>
          </w:tcPr>
          <w:p w14:paraId="737C08B0" w14:textId="77777777" w:rsidR="00AD6F80" w:rsidRPr="00735705" w:rsidRDefault="00AD6F80" w:rsidP="00AD6F80">
            <w:pPr>
              <w:spacing w:after="0" w:line="380" w:lineRule="exact"/>
              <w:rPr>
                <w:rFonts w:ascii="Arial" w:eastAsia="Cambria" w:hAnsi="Arial"/>
                <w:b w:val="0"/>
                <w:sz w:val="20"/>
                <w:szCs w:val="20"/>
                <w:lang w:val="en-GB" w:eastAsia="fr-FR"/>
              </w:rPr>
            </w:pPr>
            <w:r w:rsidRPr="00735705">
              <w:rPr>
                <w:rFonts w:ascii="Arial" w:hAnsi="Arial" w:cs="Times New Roman"/>
                <w:b w:val="0"/>
                <w:bCs/>
                <w:sz w:val="20"/>
                <w:szCs w:val="20"/>
              </w:rPr>
              <w:t>Relevant Additional Information</w:t>
            </w:r>
            <w:r w:rsidRPr="00735705">
              <w:rPr>
                <w:rFonts w:ascii="Arial" w:hAnsi="Arial" w:cs="Times New Roman"/>
                <w:b w:val="0"/>
                <w:sz w:val="20"/>
                <w:szCs w:val="20"/>
              </w:rPr>
              <w:t xml:space="preserve"> (optional)</w:t>
            </w:r>
          </w:p>
        </w:tc>
      </w:tr>
      <w:tr w:rsidR="009D4679" w:rsidRPr="00735705" w14:paraId="7BC69617" w14:textId="77777777" w:rsidTr="009D4679">
        <w:trPr>
          <w:trHeight w:val="35"/>
        </w:trPr>
        <w:tc>
          <w:tcPr>
            <w:tcW w:w="9113" w:type="dxa"/>
            <w:shd w:val="clear" w:color="auto" w:fill="auto"/>
            <w:tcMar>
              <w:top w:w="0" w:type="dxa"/>
              <w:left w:w="108" w:type="dxa"/>
              <w:bottom w:w="0" w:type="dxa"/>
              <w:right w:w="108" w:type="dxa"/>
            </w:tcMar>
            <w:vAlign w:val="center"/>
          </w:tcPr>
          <w:p w14:paraId="744AFC86" w14:textId="633DEF80" w:rsidR="004B624F" w:rsidRPr="004B624F" w:rsidRDefault="00F53DB4" w:rsidP="009D4679">
            <w:pPr>
              <w:spacing w:after="0" w:line="240" w:lineRule="auto"/>
              <w:rPr>
                <w:rFonts w:ascii="Arial" w:hAnsi="Arial"/>
                <w:b w:val="0"/>
                <w:sz w:val="20"/>
                <w:szCs w:val="20"/>
                <w:lang w:val="en-GB"/>
              </w:rPr>
            </w:pPr>
            <w:r>
              <w:rPr>
                <w:rFonts w:ascii="Arial" w:hAnsi="Arial"/>
                <w:b w:val="0"/>
                <w:i/>
                <w:sz w:val="20"/>
                <w:szCs w:val="20"/>
                <w:lang w:val="en-GB"/>
              </w:rPr>
              <w:t>n/a</w:t>
            </w:r>
          </w:p>
        </w:tc>
      </w:tr>
    </w:tbl>
    <w:p w14:paraId="1D54EBD9" w14:textId="77777777" w:rsidR="00FA7E28" w:rsidRPr="00735705" w:rsidRDefault="00FA7E28" w:rsidP="00F87AEE">
      <w:pPr>
        <w:spacing w:after="0"/>
        <w:rPr>
          <w:rFonts w:ascii="Arial" w:hAnsi="Arial"/>
          <w:b w:val="0"/>
        </w:rPr>
      </w:pPr>
    </w:p>
    <w:sectPr w:rsidR="00FA7E28" w:rsidRPr="00735705" w:rsidSect="00AD6F80">
      <w:headerReference w:type="default" r:id="rId16"/>
      <w:footerReference w:type="default" r:id="rId17"/>
      <w:pgSz w:w="11906" w:h="16838"/>
      <w:pgMar w:top="1440" w:right="1440" w:bottom="1440" w:left="1440" w:header="708" w:footer="693" w:gutter="0"/>
      <w:cols w:space="708"/>
      <w:rtlGutter/>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9545B8" w14:textId="77777777" w:rsidR="00FC4D8E" w:rsidRDefault="00FC4D8E" w:rsidP="005D49FB">
      <w:pPr>
        <w:spacing w:after="0" w:line="240" w:lineRule="auto"/>
      </w:pPr>
      <w:r>
        <w:separator/>
      </w:r>
    </w:p>
  </w:endnote>
  <w:endnote w:type="continuationSeparator" w:id="0">
    <w:p w14:paraId="035F752C" w14:textId="77777777" w:rsidR="00FC4D8E" w:rsidRDefault="00FC4D8E" w:rsidP="005D49FB">
      <w:pPr>
        <w:spacing w:after="0" w:line="240" w:lineRule="auto"/>
      </w:pPr>
      <w:r>
        <w:continuationSeparator/>
      </w:r>
    </w:p>
  </w:endnote>
  <w:endnote w:type="continuationNotice" w:id="1">
    <w:p w14:paraId="3818223B" w14:textId="77777777" w:rsidR="00FC4D8E" w:rsidRDefault="00FC4D8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auto"/>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rebuchet MS">
    <w:panose1 w:val="020B0603020202020204"/>
    <w:charset w:val="00"/>
    <w:family w:val="auto"/>
    <w:pitch w:val="variable"/>
    <w:sig w:usb0="00000287" w:usb1="00000000" w:usb2="00000000" w:usb3="00000000" w:csb0="0000009F" w:csb1="00000000"/>
  </w:font>
  <w:font w:name="MS Mincho">
    <w:altName w:val="Yu Gothic UI"/>
    <w:panose1 w:val="02020609040205080304"/>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773E7" w14:textId="77777777" w:rsidR="00891E64" w:rsidRDefault="00891E64" w:rsidP="00A6550C">
    <w:pPr>
      <w:pStyle w:val="Footer"/>
      <w:tabs>
        <w:tab w:val="clear" w:pos="4513"/>
        <w:tab w:val="clear" w:pos="9026"/>
        <w:tab w:val="left" w:pos="5565"/>
      </w:tabs>
      <w:ind w:left="-142"/>
      <w:rPr>
        <w:rFonts w:ascii="Arial" w:hAnsi="Arial"/>
        <w:b w:val="0"/>
        <w:sz w:val="18"/>
        <w:szCs w:val="18"/>
      </w:rPr>
    </w:pPr>
    <w:r>
      <w:rPr>
        <w:rFonts w:ascii="Arial" w:hAnsi="Arial"/>
        <w:b w:val="0"/>
        <w:sz w:val="18"/>
        <w:szCs w:val="18"/>
      </w:rPr>
      <w:tab/>
    </w:r>
  </w:p>
  <w:p w14:paraId="0EE661E7" w14:textId="3BEEA436" w:rsidR="00891E64" w:rsidRPr="004A037E" w:rsidRDefault="00891E64" w:rsidP="004A037E">
    <w:pPr>
      <w:pStyle w:val="Footer"/>
      <w:tabs>
        <w:tab w:val="clear" w:pos="9026"/>
        <w:tab w:val="right" w:pos="8931"/>
      </w:tabs>
      <w:ind w:left="-142"/>
      <w:rPr>
        <w:rFonts w:ascii="Arial" w:hAnsi="Arial"/>
        <w:b w:val="0"/>
        <w:sz w:val="20"/>
        <w:szCs w:val="20"/>
      </w:rPr>
    </w:pPr>
    <w:r w:rsidRPr="004A037E">
      <w:rPr>
        <w:rFonts w:ascii="Arial" w:hAnsi="Arial"/>
        <w:b w:val="0"/>
        <w:sz w:val="20"/>
        <w:szCs w:val="20"/>
      </w:rPr>
      <w:t xml:space="preserve">Funding Request: Tailored </w:t>
    </w:r>
    <w:r>
      <w:rPr>
        <w:rFonts w:ascii="Arial" w:hAnsi="Arial"/>
        <w:b w:val="0"/>
        <w:sz w:val="20"/>
        <w:szCs w:val="20"/>
      </w:rPr>
      <w:t>to Material Change</w:t>
    </w:r>
    <w:r w:rsidRPr="004A037E">
      <w:rPr>
        <w:rFonts w:ascii="Arial" w:hAnsi="Arial"/>
        <w:b w:val="0"/>
        <w:sz w:val="20"/>
        <w:szCs w:val="20"/>
      </w:rPr>
      <w:tab/>
    </w:r>
    <w:r w:rsidRPr="004A037E">
      <w:rPr>
        <w:rFonts w:ascii="Arial" w:hAnsi="Arial"/>
        <w:b w:val="0"/>
        <w:sz w:val="20"/>
        <w:szCs w:val="20"/>
      </w:rPr>
      <w:tab/>
      <w:t xml:space="preserve">15 </w:t>
    </w:r>
    <w:r>
      <w:rPr>
        <w:rFonts w:ascii="Arial" w:hAnsi="Arial"/>
        <w:b w:val="0"/>
        <w:sz w:val="20"/>
        <w:szCs w:val="20"/>
      </w:rPr>
      <w:t>February 2017</w:t>
    </w:r>
    <w:r w:rsidRPr="004A037E">
      <w:rPr>
        <w:rFonts w:ascii="Arial" w:hAnsi="Arial"/>
        <w:b w:val="0"/>
        <w:sz w:val="20"/>
        <w:szCs w:val="20"/>
      </w:rPr>
      <w:t xml:space="preserve">│ </w:t>
    </w:r>
    <w:r w:rsidRPr="004A037E">
      <w:rPr>
        <w:rFonts w:ascii="Arial" w:hAnsi="Arial"/>
        <w:sz w:val="20"/>
        <w:szCs w:val="20"/>
      </w:rPr>
      <w:fldChar w:fldCharType="begin"/>
    </w:r>
    <w:r w:rsidRPr="004A037E">
      <w:rPr>
        <w:rFonts w:ascii="Arial" w:hAnsi="Arial"/>
        <w:sz w:val="20"/>
        <w:szCs w:val="20"/>
      </w:rPr>
      <w:instrText xml:space="preserve"> PAGE   \* MERGEFORMAT </w:instrText>
    </w:r>
    <w:r w:rsidRPr="004A037E">
      <w:rPr>
        <w:rFonts w:ascii="Arial" w:hAnsi="Arial"/>
        <w:sz w:val="20"/>
        <w:szCs w:val="20"/>
      </w:rPr>
      <w:fldChar w:fldCharType="separate"/>
    </w:r>
    <w:r w:rsidR="003235E4">
      <w:rPr>
        <w:rFonts w:ascii="Arial" w:hAnsi="Arial"/>
        <w:noProof/>
        <w:sz w:val="20"/>
        <w:szCs w:val="20"/>
      </w:rPr>
      <w:t>16</w:t>
    </w:r>
    <w:r w:rsidRPr="004A037E">
      <w:rPr>
        <w:rFonts w:ascii="Arial" w:hAnsi="Arial"/>
        <w:sz w:val="20"/>
        <w:szCs w:val="20"/>
      </w:rPr>
      <w:fldChar w:fldCharType="end"/>
    </w:r>
    <w:r w:rsidRPr="004A037E">
      <w:rPr>
        <w:rFonts w:ascii="Arial" w:hAnsi="Arial"/>
        <w:sz w:val="20"/>
        <w:szCs w:val="20"/>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41CF8" w14:textId="77777777" w:rsidR="00FC4D8E" w:rsidRDefault="00FC4D8E" w:rsidP="005D49FB">
      <w:pPr>
        <w:spacing w:after="0" w:line="240" w:lineRule="auto"/>
      </w:pPr>
      <w:r>
        <w:separator/>
      </w:r>
    </w:p>
  </w:footnote>
  <w:footnote w:type="continuationSeparator" w:id="0">
    <w:p w14:paraId="76CEDFDB" w14:textId="77777777" w:rsidR="00FC4D8E" w:rsidRDefault="00FC4D8E" w:rsidP="005D49FB">
      <w:pPr>
        <w:spacing w:after="0" w:line="240" w:lineRule="auto"/>
      </w:pPr>
      <w:r>
        <w:continuationSeparator/>
      </w:r>
    </w:p>
  </w:footnote>
  <w:footnote w:type="continuationNotice" w:id="1">
    <w:p w14:paraId="2A7DBED4" w14:textId="77777777" w:rsidR="00FC4D8E" w:rsidRDefault="00FC4D8E">
      <w:pPr>
        <w:spacing w:after="0" w:line="240" w:lineRule="auto"/>
      </w:pPr>
    </w:p>
  </w:footnote>
  <w:footnote w:id="2">
    <w:p w14:paraId="7D0CAB9D" w14:textId="2C3BB70C" w:rsidR="00891E64" w:rsidRPr="009D1B7F" w:rsidRDefault="00891E64" w:rsidP="00CE5204">
      <w:pPr>
        <w:pStyle w:val="FootnoteText"/>
        <w:rPr>
          <w:sz w:val="16"/>
          <w:szCs w:val="16"/>
        </w:rPr>
      </w:pPr>
      <w:r w:rsidRPr="009D1B7F">
        <w:rPr>
          <w:rStyle w:val="FootnoteReference"/>
          <w:sz w:val="16"/>
          <w:szCs w:val="16"/>
        </w:rPr>
        <w:footnoteRef/>
      </w:r>
      <w:r w:rsidRPr="009D1B7F">
        <w:rPr>
          <w:sz w:val="16"/>
          <w:szCs w:val="16"/>
        </w:rPr>
        <w:t xml:space="preserve"> We suggest to compare the new allocation amount with the current spending on a yearly basis, past and/or forecasted. For example</w:t>
      </w:r>
      <w:r>
        <w:rPr>
          <w:sz w:val="16"/>
          <w:szCs w:val="16"/>
        </w:rPr>
        <w:t>,</w:t>
      </w:r>
      <w:r w:rsidRPr="009D1B7F">
        <w:rPr>
          <w:sz w:val="16"/>
          <w:szCs w:val="16"/>
        </w:rPr>
        <w:t xml:space="preserve"> using the last year spending multiplied by 3.</w:t>
      </w:r>
    </w:p>
  </w:footnote>
  <w:footnote w:id="3">
    <w:p w14:paraId="74C578FA" w14:textId="64C04B62" w:rsidR="00891E64" w:rsidRPr="009D1B7F" w:rsidRDefault="00891E64">
      <w:pPr>
        <w:pStyle w:val="FootnoteText"/>
        <w:rPr>
          <w:sz w:val="16"/>
          <w:szCs w:val="16"/>
        </w:rPr>
      </w:pPr>
      <w:r w:rsidRPr="009D1B7F">
        <w:rPr>
          <w:rStyle w:val="FootnoteReference"/>
          <w:sz w:val="16"/>
          <w:szCs w:val="16"/>
        </w:rPr>
        <w:footnoteRef/>
      </w:r>
      <w:r w:rsidRPr="009D1B7F">
        <w:rPr>
          <w:sz w:val="16"/>
          <w:szCs w:val="16"/>
        </w:rPr>
        <w:t xml:space="preserve"> UNAIDS, 2015 Report on the Global Epidemic</w:t>
      </w:r>
      <w:r>
        <w:rPr>
          <w:sz w:val="16"/>
          <w:szCs w:val="16"/>
        </w:rPr>
        <w:t>.</w:t>
      </w:r>
    </w:p>
  </w:footnote>
  <w:footnote w:id="4">
    <w:p w14:paraId="2B6EA843" w14:textId="292A9E11" w:rsidR="00891E64" w:rsidRPr="000B341C" w:rsidRDefault="00891E64">
      <w:pPr>
        <w:pStyle w:val="FootnoteText"/>
        <w:rPr>
          <w:sz w:val="16"/>
          <w:szCs w:val="16"/>
        </w:rPr>
      </w:pPr>
      <w:r w:rsidRPr="000B341C">
        <w:rPr>
          <w:rStyle w:val="FootnoteReference"/>
          <w:sz w:val="16"/>
          <w:szCs w:val="16"/>
        </w:rPr>
        <w:footnoteRef/>
      </w:r>
      <w:r w:rsidRPr="000B341C">
        <w:rPr>
          <w:sz w:val="16"/>
          <w:szCs w:val="16"/>
        </w:rPr>
        <w:t xml:space="preserve"> Source: Republican AIDS Center</w:t>
      </w:r>
    </w:p>
  </w:footnote>
  <w:footnote w:id="5">
    <w:p w14:paraId="1F82E64B" w14:textId="63448E5E" w:rsidR="00891E64" w:rsidRPr="000B341C" w:rsidRDefault="00891E64">
      <w:pPr>
        <w:pStyle w:val="FootnoteText"/>
        <w:rPr>
          <w:sz w:val="16"/>
          <w:szCs w:val="16"/>
        </w:rPr>
      </w:pPr>
      <w:r w:rsidRPr="000B341C">
        <w:rPr>
          <w:rStyle w:val="FootnoteReference"/>
          <w:sz w:val="16"/>
          <w:szCs w:val="16"/>
        </w:rPr>
        <w:footnoteRef/>
      </w:r>
      <w:r w:rsidRPr="000B341C">
        <w:rPr>
          <w:sz w:val="16"/>
          <w:szCs w:val="16"/>
        </w:rPr>
        <w:t xml:space="preserve"> For 2016 round the sampling methodology changed from snow ball to RDS.  </w:t>
      </w:r>
    </w:p>
  </w:footnote>
  <w:footnote w:id="6">
    <w:p w14:paraId="4F520C82" w14:textId="188D7184" w:rsidR="00891E64" w:rsidRPr="000D4A2D" w:rsidRDefault="00891E64" w:rsidP="00F87AEE">
      <w:pPr>
        <w:pStyle w:val="FootnoteText"/>
        <w:rPr>
          <w:rFonts w:cs="Arial"/>
          <w:sz w:val="16"/>
          <w:szCs w:val="16"/>
        </w:rPr>
      </w:pPr>
      <w:r w:rsidRPr="000D4A2D">
        <w:rPr>
          <w:rStyle w:val="FootnoteReference"/>
          <w:sz w:val="16"/>
          <w:szCs w:val="16"/>
        </w:rPr>
        <w:footnoteRef/>
      </w:r>
      <w:r w:rsidRPr="000D4A2D">
        <w:rPr>
          <w:rFonts w:cs="Arial"/>
          <w:sz w:val="16"/>
          <w:szCs w:val="16"/>
        </w:rPr>
        <w:t xml:space="preserve"> Refer to the</w:t>
      </w:r>
      <w:r>
        <w:rPr>
          <w:rFonts w:cs="Arial"/>
          <w:sz w:val="16"/>
          <w:szCs w:val="16"/>
        </w:rPr>
        <w:t xml:space="preserve"> </w:t>
      </w:r>
      <w:hyperlink r:id="rId1" w:history="1">
        <w:r w:rsidRPr="00B54C8C">
          <w:rPr>
            <w:rStyle w:val="Hyperlink"/>
            <w:rFonts w:cs="Arial"/>
            <w:sz w:val="16"/>
            <w:szCs w:val="16"/>
          </w:rPr>
          <w:t>Sustainability, Transition and Co-Financing Policy</w:t>
        </w:r>
      </w:hyperlink>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78409" w14:textId="239C252B" w:rsidR="00891E64" w:rsidRDefault="00891E64">
    <w:pPr>
      <w:pStyle w:val="Header"/>
    </w:pPr>
  </w:p>
  <w:p w14:paraId="384A97F9" w14:textId="77777777" w:rsidR="00891E64" w:rsidRDefault="00891E64">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751C7F"/>
    <w:multiLevelType w:val="hybridMultilevel"/>
    <w:tmpl w:val="839C770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3397FDC"/>
    <w:multiLevelType w:val="hybridMultilevel"/>
    <w:tmpl w:val="12EAFD9A"/>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52C3A65"/>
    <w:multiLevelType w:val="hybridMultilevel"/>
    <w:tmpl w:val="67BE3C9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F94210"/>
    <w:multiLevelType w:val="hybridMultilevel"/>
    <w:tmpl w:val="857ECDC0"/>
    <w:lvl w:ilvl="0" w:tplc="08090017">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EB02662"/>
    <w:multiLevelType w:val="hybridMultilevel"/>
    <w:tmpl w:val="77EACAB2"/>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43B47DD"/>
    <w:multiLevelType w:val="hybridMultilevel"/>
    <w:tmpl w:val="2A6031CC"/>
    <w:lvl w:ilvl="0" w:tplc="C8BEA15A">
      <w:start w:val="1"/>
      <w:numFmt w:val="bullet"/>
      <w:pStyle w:val="Bullet2"/>
      <w:lvlText w:val=""/>
      <w:lvlJc w:val="left"/>
      <w:pPr>
        <w:tabs>
          <w:tab w:val="num" w:pos="7947"/>
        </w:tabs>
        <w:ind w:left="7947" w:hanging="425"/>
      </w:pPr>
      <w:rPr>
        <w:rFonts w:ascii="Symbol" w:hAnsi="Symbol" w:hint="default"/>
        <w:sz w:val="20"/>
      </w:rPr>
    </w:lvl>
    <w:lvl w:ilvl="1" w:tplc="04070003">
      <w:start w:val="1"/>
      <w:numFmt w:val="bullet"/>
      <w:lvlText w:val="o"/>
      <w:lvlJc w:val="left"/>
      <w:pPr>
        <w:tabs>
          <w:tab w:val="num" w:pos="1024"/>
        </w:tabs>
        <w:ind w:left="1024" w:hanging="360"/>
      </w:pPr>
      <w:rPr>
        <w:rFonts w:ascii="Courier New" w:hAnsi="Courier New" w:cs="Courier New" w:hint="default"/>
      </w:rPr>
    </w:lvl>
    <w:lvl w:ilvl="2" w:tplc="04070005">
      <w:start w:val="1"/>
      <w:numFmt w:val="bullet"/>
      <w:lvlText w:val=""/>
      <w:lvlJc w:val="left"/>
      <w:pPr>
        <w:tabs>
          <w:tab w:val="num" w:pos="1744"/>
        </w:tabs>
        <w:ind w:left="1744" w:hanging="360"/>
      </w:pPr>
      <w:rPr>
        <w:rFonts w:ascii="Wingdings" w:hAnsi="Wingdings" w:hint="default"/>
      </w:rPr>
    </w:lvl>
    <w:lvl w:ilvl="3" w:tplc="04070001">
      <w:start w:val="1"/>
      <w:numFmt w:val="bullet"/>
      <w:lvlText w:val=""/>
      <w:lvlJc w:val="left"/>
      <w:pPr>
        <w:tabs>
          <w:tab w:val="num" w:pos="2464"/>
        </w:tabs>
        <w:ind w:left="2464" w:hanging="360"/>
      </w:pPr>
      <w:rPr>
        <w:rFonts w:ascii="Symbol" w:hAnsi="Symbol" w:hint="default"/>
      </w:rPr>
    </w:lvl>
    <w:lvl w:ilvl="4" w:tplc="04070003">
      <w:start w:val="1"/>
      <w:numFmt w:val="bullet"/>
      <w:lvlText w:val="o"/>
      <w:lvlJc w:val="left"/>
      <w:pPr>
        <w:tabs>
          <w:tab w:val="num" w:pos="3184"/>
        </w:tabs>
        <w:ind w:left="3184" w:hanging="360"/>
      </w:pPr>
      <w:rPr>
        <w:rFonts w:ascii="Courier New" w:hAnsi="Courier New" w:cs="Courier New" w:hint="default"/>
      </w:rPr>
    </w:lvl>
    <w:lvl w:ilvl="5" w:tplc="04070005">
      <w:start w:val="1"/>
      <w:numFmt w:val="bullet"/>
      <w:lvlText w:val=""/>
      <w:lvlJc w:val="left"/>
      <w:pPr>
        <w:tabs>
          <w:tab w:val="num" w:pos="3904"/>
        </w:tabs>
        <w:ind w:left="3904" w:hanging="360"/>
      </w:pPr>
      <w:rPr>
        <w:rFonts w:ascii="Wingdings" w:hAnsi="Wingdings" w:hint="default"/>
      </w:rPr>
    </w:lvl>
    <w:lvl w:ilvl="6" w:tplc="04070001">
      <w:start w:val="1"/>
      <w:numFmt w:val="bullet"/>
      <w:lvlText w:val=""/>
      <w:lvlJc w:val="left"/>
      <w:pPr>
        <w:tabs>
          <w:tab w:val="num" w:pos="4624"/>
        </w:tabs>
        <w:ind w:left="4624" w:hanging="360"/>
      </w:pPr>
      <w:rPr>
        <w:rFonts w:ascii="Symbol" w:hAnsi="Symbol" w:hint="default"/>
      </w:rPr>
    </w:lvl>
    <w:lvl w:ilvl="7" w:tplc="04070003">
      <w:start w:val="1"/>
      <w:numFmt w:val="bullet"/>
      <w:lvlText w:val="o"/>
      <w:lvlJc w:val="left"/>
      <w:pPr>
        <w:tabs>
          <w:tab w:val="num" w:pos="5344"/>
        </w:tabs>
        <w:ind w:left="5344" w:hanging="360"/>
      </w:pPr>
      <w:rPr>
        <w:rFonts w:ascii="Courier New" w:hAnsi="Courier New" w:cs="Courier New" w:hint="default"/>
      </w:rPr>
    </w:lvl>
    <w:lvl w:ilvl="8" w:tplc="04070005">
      <w:start w:val="1"/>
      <w:numFmt w:val="bullet"/>
      <w:lvlText w:val=""/>
      <w:lvlJc w:val="left"/>
      <w:pPr>
        <w:tabs>
          <w:tab w:val="num" w:pos="6064"/>
        </w:tabs>
        <w:ind w:left="6064" w:hanging="360"/>
      </w:pPr>
      <w:rPr>
        <w:rFonts w:ascii="Wingdings" w:hAnsi="Wingdings" w:hint="default"/>
      </w:rPr>
    </w:lvl>
  </w:abstractNum>
  <w:abstractNum w:abstractNumId="6" w15:restartNumberingAfterBreak="0">
    <w:nsid w:val="4A3C1F05"/>
    <w:multiLevelType w:val="hybridMultilevel"/>
    <w:tmpl w:val="D83ABD0E"/>
    <w:lvl w:ilvl="0" w:tplc="8CA89106">
      <w:start w:val="1"/>
      <w:numFmt w:val="lowerLetter"/>
      <w:lvlText w:val="%1)"/>
      <w:lvlJc w:val="left"/>
      <w:pPr>
        <w:ind w:left="720" w:hanging="360"/>
      </w:pPr>
      <w:rPr>
        <w:rFonts w:ascii="Arial" w:eastAsia="Calibri" w:hAnsi="Arial" w:cs="Arial"/>
      </w:rPr>
    </w:lvl>
    <w:lvl w:ilvl="1" w:tplc="0809001B">
      <w:start w:val="1"/>
      <w:numFmt w:val="lowerRoman"/>
      <w:lvlText w:val="%2."/>
      <w:lvlJc w:val="right"/>
      <w:pPr>
        <w:ind w:left="1440" w:hanging="360"/>
      </w:pPr>
    </w:lvl>
    <w:lvl w:ilvl="2" w:tplc="66F2C822">
      <w:start w:val="1"/>
      <w:numFmt w:val="decimal"/>
      <w:lvlText w:val="%3)"/>
      <w:lvlJc w:val="left"/>
      <w:pPr>
        <w:ind w:left="2340" w:hanging="36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2D3238B"/>
    <w:multiLevelType w:val="hybridMultilevel"/>
    <w:tmpl w:val="4D3C64E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DA494F"/>
    <w:multiLevelType w:val="hybridMultilevel"/>
    <w:tmpl w:val="810E715C"/>
    <w:lvl w:ilvl="0" w:tplc="7ACEC0A6">
      <w:start w:val="1"/>
      <w:numFmt w:val="lowerLetter"/>
      <w:lvlText w:val="%1)"/>
      <w:lvlJc w:val="left"/>
      <w:pPr>
        <w:ind w:left="644"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66B530B"/>
    <w:multiLevelType w:val="hybridMultilevel"/>
    <w:tmpl w:val="754A1B7A"/>
    <w:lvl w:ilvl="0" w:tplc="AE3EEE4C">
      <w:start w:val="3"/>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6B8442C"/>
    <w:multiLevelType w:val="hybridMultilevel"/>
    <w:tmpl w:val="34A2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9451EBF"/>
    <w:multiLevelType w:val="hybridMultilevel"/>
    <w:tmpl w:val="74F8DD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AC24686"/>
    <w:multiLevelType w:val="hybridMultilevel"/>
    <w:tmpl w:val="E5A0B5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2"/>
  </w:num>
  <w:num w:numId="3">
    <w:abstractNumId w:val="6"/>
  </w:num>
  <w:num w:numId="4">
    <w:abstractNumId w:val="1"/>
  </w:num>
  <w:num w:numId="5">
    <w:abstractNumId w:val="8"/>
  </w:num>
  <w:num w:numId="6">
    <w:abstractNumId w:val="4"/>
  </w:num>
  <w:num w:numId="7">
    <w:abstractNumId w:val="3"/>
  </w:num>
  <w:num w:numId="8">
    <w:abstractNumId w:val="7"/>
  </w:num>
  <w:num w:numId="9">
    <w:abstractNumId w:val="9"/>
  </w:num>
  <w:num w:numId="10">
    <w:abstractNumId w:val="10"/>
  </w:num>
  <w:num w:numId="11">
    <w:abstractNumId w:val="11"/>
  </w:num>
  <w:num w:numId="12">
    <w:abstractNumId w:val="12"/>
  </w:num>
  <w:num w:numId="13">
    <w:abstractNumId w:val="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221"/>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59ED"/>
    <w:rsid w:val="00000040"/>
    <w:rsid w:val="00000ACE"/>
    <w:rsid w:val="00000B30"/>
    <w:rsid w:val="00001055"/>
    <w:rsid w:val="00002065"/>
    <w:rsid w:val="00002781"/>
    <w:rsid w:val="00003554"/>
    <w:rsid w:val="00003BC2"/>
    <w:rsid w:val="00004424"/>
    <w:rsid w:val="000051B8"/>
    <w:rsid w:val="00005713"/>
    <w:rsid w:val="00006536"/>
    <w:rsid w:val="00006C62"/>
    <w:rsid w:val="00007A1F"/>
    <w:rsid w:val="00007E5B"/>
    <w:rsid w:val="000100C1"/>
    <w:rsid w:val="00010B47"/>
    <w:rsid w:val="000112C4"/>
    <w:rsid w:val="000128BD"/>
    <w:rsid w:val="00012CC8"/>
    <w:rsid w:val="00014323"/>
    <w:rsid w:val="00017CC4"/>
    <w:rsid w:val="0002080E"/>
    <w:rsid w:val="0002098B"/>
    <w:rsid w:val="00020F58"/>
    <w:rsid w:val="00021B62"/>
    <w:rsid w:val="00022C9B"/>
    <w:rsid w:val="000234CB"/>
    <w:rsid w:val="000239E0"/>
    <w:rsid w:val="00023EA7"/>
    <w:rsid w:val="000246A0"/>
    <w:rsid w:val="000248EB"/>
    <w:rsid w:val="000249C6"/>
    <w:rsid w:val="00024BE7"/>
    <w:rsid w:val="00025528"/>
    <w:rsid w:val="00025DD8"/>
    <w:rsid w:val="00026884"/>
    <w:rsid w:val="00027240"/>
    <w:rsid w:val="00027CAF"/>
    <w:rsid w:val="000303EE"/>
    <w:rsid w:val="00032373"/>
    <w:rsid w:val="00032887"/>
    <w:rsid w:val="00032B20"/>
    <w:rsid w:val="0003325E"/>
    <w:rsid w:val="0003342B"/>
    <w:rsid w:val="00033E5A"/>
    <w:rsid w:val="00034B67"/>
    <w:rsid w:val="00034B99"/>
    <w:rsid w:val="00034BDF"/>
    <w:rsid w:val="0003572A"/>
    <w:rsid w:val="00035B0F"/>
    <w:rsid w:val="00036086"/>
    <w:rsid w:val="000366B6"/>
    <w:rsid w:val="00041505"/>
    <w:rsid w:val="00041B64"/>
    <w:rsid w:val="00041C63"/>
    <w:rsid w:val="000425AE"/>
    <w:rsid w:val="0004260A"/>
    <w:rsid w:val="00042EC2"/>
    <w:rsid w:val="000431C6"/>
    <w:rsid w:val="00043AE3"/>
    <w:rsid w:val="00043CF1"/>
    <w:rsid w:val="000458FB"/>
    <w:rsid w:val="00045E2C"/>
    <w:rsid w:val="00045EA4"/>
    <w:rsid w:val="000464D9"/>
    <w:rsid w:val="00046603"/>
    <w:rsid w:val="00046CFE"/>
    <w:rsid w:val="0004775F"/>
    <w:rsid w:val="00050A82"/>
    <w:rsid w:val="00050D3D"/>
    <w:rsid w:val="00051360"/>
    <w:rsid w:val="00052367"/>
    <w:rsid w:val="00053796"/>
    <w:rsid w:val="0005382E"/>
    <w:rsid w:val="000538CF"/>
    <w:rsid w:val="000545CB"/>
    <w:rsid w:val="00055642"/>
    <w:rsid w:val="00055C90"/>
    <w:rsid w:val="000565ED"/>
    <w:rsid w:val="00057537"/>
    <w:rsid w:val="000579E5"/>
    <w:rsid w:val="00060F46"/>
    <w:rsid w:val="000611A5"/>
    <w:rsid w:val="00061BE6"/>
    <w:rsid w:val="000620D9"/>
    <w:rsid w:val="000623F7"/>
    <w:rsid w:val="000626F2"/>
    <w:rsid w:val="0006280C"/>
    <w:rsid w:val="000628D3"/>
    <w:rsid w:val="00062CA6"/>
    <w:rsid w:val="00063BB5"/>
    <w:rsid w:val="000641BA"/>
    <w:rsid w:val="0006498E"/>
    <w:rsid w:val="00064997"/>
    <w:rsid w:val="00064F4F"/>
    <w:rsid w:val="00065A53"/>
    <w:rsid w:val="000664FF"/>
    <w:rsid w:val="00066F9E"/>
    <w:rsid w:val="00067A45"/>
    <w:rsid w:val="00067A52"/>
    <w:rsid w:val="000706CD"/>
    <w:rsid w:val="00070B34"/>
    <w:rsid w:val="00070EA5"/>
    <w:rsid w:val="00071EBD"/>
    <w:rsid w:val="000723A3"/>
    <w:rsid w:val="00073993"/>
    <w:rsid w:val="00074453"/>
    <w:rsid w:val="0007465D"/>
    <w:rsid w:val="00075664"/>
    <w:rsid w:val="0007576D"/>
    <w:rsid w:val="00076B5A"/>
    <w:rsid w:val="00077DB1"/>
    <w:rsid w:val="00081341"/>
    <w:rsid w:val="00082228"/>
    <w:rsid w:val="00082688"/>
    <w:rsid w:val="00082BD6"/>
    <w:rsid w:val="00083168"/>
    <w:rsid w:val="00083487"/>
    <w:rsid w:val="000841CC"/>
    <w:rsid w:val="0008527A"/>
    <w:rsid w:val="000866EB"/>
    <w:rsid w:val="000877E6"/>
    <w:rsid w:val="00087CF2"/>
    <w:rsid w:val="000901E6"/>
    <w:rsid w:val="00090283"/>
    <w:rsid w:val="00091851"/>
    <w:rsid w:val="00091962"/>
    <w:rsid w:val="000934CD"/>
    <w:rsid w:val="000938B9"/>
    <w:rsid w:val="00093C9A"/>
    <w:rsid w:val="0009402E"/>
    <w:rsid w:val="000942DB"/>
    <w:rsid w:val="00094CAD"/>
    <w:rsid w:val="00095AE3"/>
    <w:rsid w:val="00096993"/>
    <w:rsid w:val="000A0D39"/>
    <w:rsid w:val="000A133F"/>
    <w:rsid w:val="000A2445"/>
    <w:rsid w:val="000A24A5"/>
    <w:rsid w:val="000A2EF3"/>
    <w:rsid w:val="000A3768"/>
    <w:rsid w:val="000A3B0A"/>
    <w:rsid w:val="000A3E42"/>
    <w:rsid w:val="000A3FF9"/>
    <w:rsid w:val="000A4C6F"/>
    <w:rsid w:val="000A57BC"/>
    <w:rsid w:val="000A5DED"/>
    <w:rsid w:val="000A6580"/>
    <w:rsid w:val="000A690A"/>
    <w:rsid w:val="000A752B"/>
    <w:rsid w:val="000B075E"/>
    <w:rsid w:val="000B0A68"/>
    <w:rsid w:val="000B1113"/>
    <w:rsid w:val="000B13FA"/>
    <w:rsid w:val="000B1674"/>
    <w:rsid w:val="000B18CF"/>
    <w:rsid w:val="000B2817"/>
    <w:rsid w:val="000B341C"/>
    <w:rsid w:val="000B3719"/>
    <w:rsid w:val="000B3D46"/>
    <w:rsid w:val="000B4180"/>
    <w:rsid w:val="000B4288"/>
    <w:rsid w:val="000B4452"/>
    <w:rsid w:val="000B45A7"/>
    <w:rsid w:val="000B5AFC"/>
    <w:rsid w:val="000B5E60"/>
    <w:rsid w:val="000B6318"/>
    <w:rsid w:val="000B6F35"/>
    <w:rsid w:val="000B7C82"/>
    <w:rsid w:val="000C02C9"/>
    <w:rsid w:val="000C0933"/>
    <w:rsid w:val="000C0CE9"/>
    <w:rsid w:val="000C1271"/>
    <w:rsid w:val="000C155F"/>
    <w:rsid w:val="000C1D23"/>
    <w:rsid w:val="000C1FD7"/>
    <w:rsid w:val="000C2863"/>
    <w:rsid w:val="000C2E2B"/>
    <w:rsid w:val="000C4DDB"/>
    <w:rsid w:val="000C5406"/>
    <w:rsid w:val="000C5933"/>
    <w:rsid w:val="000C631B"/>
    <w:rsid w:val="000C73A5"/>
    <w:rsid w:val="000C7A5F"/>
    <w:rsid w:val="000D0032"/>
    <w:rsid w:val="000D02D3"/>
    <w:rsid w:val="000D04B3"/>
    <w:rsid w:val="000D2077"/>
    <w:rsid w:val="000D2228"/>
    <w:rsid w:val="000D2590"/>
    <w:rsid w:val="000D272B"/>
    <w:rsid w:val="000D2981"/>
    <w:rsid w:val="000D354A"/>
    <w:rsid w:val="000D3780"/>
    <w:rsid w:val="000D3914"/>
    <w:rsid w:val="000D3A04"/>
    <w:rsid w:val="000D4020"/>
    <w:rsid w:val="000D40D2"/>
    <w:rsid w:val="000D4A2D"/>
    <w:rsid w:val="000D5573"/>
    <w:rsid w:val="000D5CB1"/>
    <w:rsid w:val="000D5DA3"/>
    <w:rsid w:val="000D72CB"/>
    <w:rsid w:val="000E0A5B"/>
    <w:rsid w:val="000E0CE9"/>
    <w:rsid w:val="000E0DAA"/>
    <w:rsid w:val="000E1369"/>
    <w:rsid w:val="000E2C1C"/>
    <w:rsid w:val="000E3B2D"/>
    <w:rsid w:val="000E3C0C"/>
    <w:rsid w:val="000E3CDC"/>
    <w:rsid w:val="000E67C7"/>
    <w:rsid w:val="000F1873"/>
    <w:rsid w:val="000F397B"/>
    <w:rsid w:val="000F3F76"/>
    <w:rsid w:val="000F4198"/>
    <w:rsid w:val="000F44B7"/>
    <w:rsid w:val="000F51D4"/>
    <w:rsid w:val="000F547C"/>
    <w:rsid w:val="000F65B0"/>
    <w:rsid w:val="000F67DD"/>
    <w:rsid w:val="000F69F0"/>
    <w:rsid w:val="000F6B0C"/>
    <w:rsid w:val="000F6E80"/>
    <w:rsid w:val="000F6F6D"/>
    <w:rsid w:val="000F76CA"/>
    <w:rsid w:val="000F7840"/>
    <w:rsid w:val="000F79EF"/>
    <w:rsid w:val="000F7E45"/>
    <w:rsid w:val="001000ED"/>
    <w:rsid w:val="001007AF"/>
    <w:rsid w:val="00100C9D"/>
    <w:rsid w:val="0010125F"/>
    <w:rsid w:val="00101887"/>
    <w:rsid w:val="001024C6"/>
    <w:rsid w:val="001068D8"/>
    <w:rsid w:val="00106E72"/>
    <w:rsid w:val="00106ED0"/>
    <w:rsid w:val="00107277"/>
    <w:rsid w:val="0010775A"/>
    <w:rsid w:val="0011005F"/>
    <w:rsid w:val="00110FA2"/>
    <w:rsid w:val="00110FF0"/>
    <w:rsid w:val="00111323"/>
    <w:rsid w:val="00111DAF"/>
    <w:rsid w:val="00112B7D"/>
    <w:rsid w:val="00113D9E"/>
    <w:rsid w:val="00114136"/>
    <w:rsid w:val="0011522B"/>
    <w:rsid w:val="00116180"/>
    <w:rsid w:val="0011684D"/>
    <w:rsid w:val="00116936"/>
    <w:rsid w:val="001171B2"/>
    <w:rsid w:val="00117791"/>
    <w:rsid w:val="00117A50"/>
    <w:rsid w:val="00120983"/>
    <w:rsid w:val="00120CD6"/>
    <w:rsid w:val="00120DF8"/>
    <w:rsid w:val="001210C4"/>
    <w:rsid w:val="001211D6"/>
    <w:rsid w:val="0012138E"/>
    <w:rsid w:val="00122C0A"/>
    <w:rsid w:val="001236F4"/>
    <w:rsid w:val="001244F6"/>
    <w:rsid w:val="00124E42"/>
    <w:rsid w:val="001250E7"/>
    <w:rsid w:val="00125458"/>
    <w:rsid w:val="0012570E"/>
    <w:rsid w:val="00126329"/>
    <w:rsid w:val="00126482"/>
    <w:rsid w:val="001264D0"/>
    <w:rsid w:val="001309C9"/>
    <w:rsid w:val="001309D5"/>
    <w:rsid w:val="00130E5C"/>
    <w:rsid w:val="0013159A"/>
    <w:rsid w:val="00133445"/>
    <w:rsid w:val="00133A15"/>
    <w:rsid w:val="00133F91"/>
    <w:rsid w:val="00134257"/>
    <w:rsid w:val="001351A0"/>
    <w:rsid w:val="001364E9"/>
    <w:rsid w:val="00136FCF"/>
    <w:rsid w:val="001370AC"/>
    <w:rsid w:val="00137F91"/>
    <w:rsid w:val="00140D8E"/>
    <w:rsid w:val="0014271F"/>
    <w:rsid w:val="001430B9"/>
    <w:rsid w:val="0014328E"/>
    <w:rsid w:val="0014346A"/>
    <w:rsid w:val="0014404C"/>
    <w:rsid w:val="00145DC2"/>
    <w:rsid w:val="001466AD"/>
    <w:rsid w:val="00146AF8"/>
    <w:rsid w:val="00147BBB"/>
    <w:rsid w:val="00150D95"/>
    <w:rsid w:val="00150F81"/>
    <w:rsid w:val="00151DD1"/>
    <w:rsid w:val="0015245D"/>
    <w:rsid w:val="001525BF"/>
    <w:rsid w:val="00153648"/>
    <w:rsid w:val="00153843"/>
    <w:rsid w:val="00153ED8"/>
    <w:rsid w:val="001563E2"/>
    <w:rsid w:val="00156F15"/>
    <w:rsid w:val="001570CB"/>
    <w:rsid w:val="001574BA"/>
    <w:rsid w:val="0016082E"/>
    <w:rsid w:val="00161179"/>
    <w:rsid w:val="001614FA"/>
    <w:rsid w:val="001624FE"/>
    <w:rsid w:val="00162602"/>
    <w:rsid w:val="00162DF6"/>
    <w:rsid w:val="00162E83"/>
    <w:rsid w:val="00164733"/>
    <w:rsid w:val="00165836"/>
    <w:rsid w:val="00165B0D"/>
    <w:rsid w:val="0016780B"/>
    <w:rsid w:val="00167DB1"/>
    <w:rsid w:val="0017021D"/>
    <w:rsid w:val="0017057C"/>
    <w:rsid w:val="00170C95"/>
    <w:rsid w:val="001710F7"/>
    <w:rsid w:val="00171979"/>
    <w:rsid w:val="00171C12"/>
    <w:rsid w:val="00172B12"/>
    <w:rsid w:val="00174B71"/>
    <w:rsid w:val="00174DAE"/>
    <w:rsid w:val="00175C38"/>
    <w:rsid w:val="00176176"/>
    <w:rsid w:val="00176ECC"/>
    <w:rsid w:val="00177C2D"/>
    <w:rsid w:val="00180351"/>
    <w:rsid w:val="001804AC"/>
    <w:rsid w:val="00180AB0"/>
    <w:rsid w:val="00181147"/>
    <w:rsid w:val="001822AC"/>
    <w:rsid w:val="00183132"/>
    <w:rsid w:val="00183B3F"/>
    <w:rsid w:val="00183E9F"/>
    <w:rsid w:val="00184402"/>
    <w:rsid w:val="00184A91"/>
    <w:rsid w:val="0018563A"/>
    <w:rsid w:val="0018585A"/>
    <w:rsid w:val="001875BE"/>
    <w:rsid w:val="00187A79"/>
    <w:rsid w:val="00190307"/>
    <w:rsid w:val="001906B8"/>
    <w:rsid w:val="00190968"/>
    <w:rsid w:val="001914E0"/>
    <w:rsid w:val="001915BE"/>
    <w:rsid w:val="00193311"/>
    <w:rsid w:val="00194B80"/>
    <w:rsid w:val="00194C37"/>
    <w:rsid w:val="00194C72"/>
    <w:rsid w:val="00194E5B"/>
    <w:rsid w:val="001959F3"/>
    <w:rsid w:val="001966C3"/>
    <w:rsid w:val="00196858"/>
    <w:rsid w:val="001969EE"/>
    <w:rsid w:val="00196A51"/>
    <w:rsid w:val="001972A6"/>
    <w:rsid w:val="001973CE"/>
    <w:rsid w:val="00197829"/>
    <w:rsid w:val="001A068C"/>
    <w:rsid w:val="001A1619"/>
    <w:rsid w:val="001A18F5"/>
    <w:rsid w:val="001A2AE5"/>
    <w:rsid w:val="001A2C43"/>
    <w:rsid w:val="001A32B4"/>
    <w:rsid w:val="001A3E4C"/>
    <w:rsid w:val="001A43EA"/>
    <w:rsid w:val="001A47B2"/>
    <w:rsid w:val="001A5006"/>
    <w:rsid w:val="001A5040"/>
    <w:rsid w:val="001A52DA"/>
    <w:rsid w:val="001A5954"/>
    <w:rsid w:val="001A5D1B"/>
    <w:rsid w:val="001A6BFF"/>
    <w:rsid w:val="001A73EB"/>
    <w:rsid w:val="001B065B"/>
    <w:rsid w:val="001B0A07"/>
    <w:rsid w:val="001B1095"/>
    <w:rsid w:val="001B1CA5"/>
    <w:rsid w:val="001B2EB7"/>
    <w:rsid w:val="001B349C"/>
    <w:rsid w:val="001B5318"/>
    <w:rsid w:val="001B53C3"/>
    <w:rsid w:val="001B555A"/>
    <w:rsid w:val="001B579C"/>
    <w:rsid w:val="001B5BFD"/>
    <w:rsid w:val="001B67C2"/>
    <w:rsid w:val="001B6A4C"/>
    <w:rsid w:val="001B6B1E"/>
    <w:rsid w:val="001B6EF7"/>
    <w:rsid w:val="001B7B4D"/>
    <w:rsid w:val="001C04EA"/>
    <w:rsid w:val="001C0A3D"/>
    <w:rsid w:val="001C129D"/>
    <w:rsid w:val="001C25D0"/>
    <w:rsid w:val="001C3954"/>
    <w:rsid w:val="001C4464"/>
    <w:rsid w:val="001C498C"/>
    <w:rsid w:val="001C4BC1"/>
    <w:rsid w:val="001C5AFF"/>
    <w:rsid w:val="001C5C2D"/>
    <w:rsid w:val="001C6301"/>
    <w:rsid w:val="001C6CF3"/>
    <w:rsid w:val="001C6FA7"/>
    <w:rsid w:val="001C6FEF"/>
    <w:rsid w:val="001C78E1"/>
    <w:rsid w:val="001C7A20"/>
    <w:rsid w:val="001C7B03"/>
    <w:rsid w:val="001C7B1E"/>
    <w:rsid w:val="001D08BC"/>
    <w:rsid w:val="001D0B04"/>
    <w:rsid w:val="001D1E5C"/>
    <w:rsid w:val="001D2922"/>
    <w:rsid w:val="001D46BB"/>
    <w:rsid w:val="001D4F52"/>
    <w:rsid w:val="001D55DF"/>
    <w:rsid w:val="001D603B"/>
    <w:rsid w:val="001D6733"/>
    <w:rsid w:val="001D6A63"/>
    <w:rsid w:val="001D6C02"/>
    <w:rsid w:val="001D7222"/>
    <w:rsid w:val="001D7574"/>
    <w:rsid w:val="001D7639"/>
    <w:rsid w:val="001D76CF"/>
    <w:rsid w:val="001D780E"/>
    <w:rsid w:val="001D78C5"/>
    <w:rsid w:val="001E0336"/>
    <w:rsid w:val="001E0E3B"/>
    <w:rsid w:val="001E1173"/>
    <w:rsid w:val="001E18EC"/>
    <w:rsid w:val="001E2001"/>
    <w:rsid w:val="001E2586"/>
    <w:rsid w:val="001E2FEF"/>
    <w:rsid w:val="001E3217"/>
    <w:rsid w:val="001E35CA"/>
    <w:rsid w:val="001E384E"/>
    <w:rsid w:val="001E4931"/>
    <w:rsid w:val="001E650D"/>
    <w:rsid w:val="001E6FDD"/>
    <w:rsid w:val="001E749E"/>
    <w:rsid w:val="001E791F"/>
    <w:rsid w:val="001F0292"/>
    <w:rsid w:val="001F02D5"/>
    <w:rsid w:val="001F1101"/>
    <w:rsid w:val="001F2C88"/>
    <w:rsid w:val="001F2D4C"/>
    <w:rsid w:val="001F346E"/>
    <w:rsid w:val="001F421B"/>
    <w:rsid w:val="001F48DD"/>
    <w:rsid w:val="001F519D"/>
    <w:rsid w:val="001F5938"/>
    <w:rsid w:val="00200412"/>
    <w:rsid w:val="00201095"/>
    <w:rsid w:val="0020152F"/>
    <w:rsid w:val="002018E6"/>
    <w:rsid w:val="00201C0E"/>
    <w:rsid w:val="00201EBB"/>
    <w:rsid w:val="002022A8"/>
    <w:rsid w:val="00202DF6"/>
    <w:rsid w:val="0020432E"/>
    <w:rsid w:val="002043E0"/>
    <w:rsid w:val="002047B8"/>
    <w:rsid w:val="0020556D"/>
    <w:rsid w:val="00205832"/>
    <w:rsid w:val="00205AE0"/>
    <w:rsid w:val="00205F6F"/>
    <w:rsid w:val="00205F7A"/>
    <w:rsid w:val="00207223"/>
    <w:rsid w:val="00207DC9"/>
    <w:rsid w:val="00210687"/>
    <w:rsid w:val="00210BCE"/>
    <w:rsid w:val="00212FED"/>
    <w:rsid w:val="002134A1"/>
    <w:rsid w:val="002135D6"/>
    <w:rsid w:val="00214228"/>
    <w:rsid w:val="00214286"/>
    <w:rsid w:val="002163FF"/>
    <w:rsid w:val="0021746B"/>
    <w:rsid w:val="00220927"/>
    <w:rsid w:val="00220A59"/>
    <w:rsid w:val="00220D09"/>
    <w:rsid w:val="00221D91"/>
    <w:rsid w:val="00222856"/>
    <w:rsid w:val="00222A45"/>
    <w:rsid w:val="00222B02"/>
    <w:rsid w:val="002230CA"/>
    <w:rsid w:val="0022338D"/>
    <w:rsid w:val="00223B52"/>
    <w:rsid w:val="00223B98"/>
    <w:rsid w:val="00223D84"/>
    <w:rsid w:val="00224B1E"/>
    <w:rsid w:val="00224E10"/>
    <w:rsid w:val="00225157"/>
    <w:rsid w:val="002265F6"/>
    <w:rsid w:val="00227A37"/>
    <w:rsid w:val="00227EE2"/>
    <w:rsid w:val="00230833"/>
    <w:rsid w:val="00231564"/>
    <w:rsid w:val="00231AFF"/>
    <w:rsid w:val="00231D0C"/>
    <w:rsid w:val="0023215A"/>
    <w:rsid w:val="002324C3"/>
    <w:rsid w:val="002329D1"/>
    <w:rsid w:val="00232DD8"/>
    <w:rsid w:val="00233461"/>
    <w:rsid w:val="00233A6F"/>
    <w:rsid w:val="00233ECF"/>
    <w:rsid w:val="002344F9"/>
    <w:rsid w:val="0023493A"/>
    <w:rsid w:val="00234B1A"/>
    <w:rsid w:val="00235330"/>
    <w:rsid w:val="002361FE"/>
    <w:rsid w:val="00236B51"/>
    <w:rsid w:val="00240471"/>
    <w:rsid w:val="00240D8A"/>
    <w:rsid w:val="002413E1"/>
    <w:rsid w:val="002413FA"/>
    <w:rsid w:val="00242B9E"/>
    <w:rsid w:val="00243BCC"/>
    <w:rsid w:val="002440B9"/>
    <w:rsid w:val="0024479E"/>
    <w:rsid w:val="00244F96"/>
    <w:rsid w:val="00245C97"/>
    <w:rsid w:val="002460D8"/>
    <w:rsid w:val="002461B2"/>
    <w:rsid w:val="00247072"/>
    <w:rsid w:val="002472AE"/>
    <w:rsid w:val="002475AE"/>
    <w:rsid w:val="00247ACA"/>
    <w:rsid w:val="002501F8"/>
    <w:rsid w:val="0025062A"/>
    <w:rsid w:val="0025108D"/>
    <w:rsid w:val="0025147D"/>
    <w:rsid w:val="002515E0"/>
    <w:rsid w:val="0025259C"/>
    <w:rsid w:val="002538F7"/>
    <w:rsid w:val="00255A35"/>
    <w:rsid w:val="00255FF6"/>
    <w:rsid w:val="00256630"/>
    <w:rsid w:val="00257D40"/>
    <w:rsid w:val="00260CFA"/>
    <w:rsid w:val="00261AC4"/>
    <w:rsid w:val="00261BDF"/>
    <w:rsid w:val="00263FC3"/>
    <w:rsid w:val="00265337"/>
    <w:rsid w:val="00265550"/>
    <w:rsid w:val="0026607E"/>
    <w:rsid w:val="0026658B"/>
    <w:rsid w:val="002675AB"/>
    <w:rsid w:val="002703FF"/>
    <w:rsid w:val="0027048A"/>
    <w:rsid w:val="00270508"/>
    <w:rsid w:val="00270BE2"/>
    <w:rsid w:val="00270BF7"/>
    <w:rsid w:val="00270D36"/>
    <w:rsid w:val="002713BC"/>
    <w:rsid w:val="002725C1"/>
    <w:rsid w:val="002728D6"/>
    <w:rsid w:val="00273958"/>
    <w:rsid w:val="00273CB3"/>
    <w:rsid w:val="002750F0"/>
    <w:rsid w:val="002758CF"/>
    <w:rsid w:val="00276234"/>
    <w:rsid w:val="00276DF8"/>
    <w:rsid w:val="00277252"/>
    <w:rsid w:val="00280D4D"/>
    <w:rsid w:val="0028107B"/>
    <w:rsid w:val="00281431"/>
    <w:rsid w:val="00281820"/>
    <w:rsid w:val="00282A75"/>
    <w:rsid w:val="00282AC0"/>
    <w:rsid w:val="002841EE"/>
    <w:rsid w:val="00284F8A"/>
    <w:rsid w:val="00287D38"/>
    <w:rsid w:val="00290046"/>
    <w:rsid w:val="002908A3"/>
    <w:rsid w:val="00292D0C"/>
    <w:rsid w:val="002936A4"/>
    <w:rsid w:val="00293B05"/>
    <w:rsid w:val="00293D42"/>
    <w:rsid w:val="0029419E"/>
    <w:rsid w:val="00294807"/>
    <w:rsid w:val="002950E4"/>
    <w:rsid w:val="002952D8"/>
    <w:rsid w:val="002957C8"/>
    <w:rsid w:val="002958D9"/>
    <w:rsid w:val="00295DED"/>
    <w:rsid w:val="00296A7C"/>
    <w:rsid w:val="00296E62"/>
    <w:rsid w:val="002972E7"/>
    <w:rsid w:val="00297340"/>
    <w:rsid w:val="002974CF"/>
    <w:rsid w:val="00297CA8"/>
    <w:rsid w:val="002A007B"/>
    <w:rsid w:val="002A0D50"/>
    <w:rsid w:val="002A1B4F"/>
    <w:rsid w:val="002A249A"/>
    <w:rsid w:val="002A36AE"/>
    <w:rsid w:val="002A3A44"/>
    <w:rsid w:val="002A3EBC"/>
    <w:rsid w:val="002A459E"/>
    <w:rsid w:val="002A5BEB"/>
    <w:rsid w:val="002A5C61"/>
    <w:rsid w:val="002A5D8E"/>
    <w:rsid w:val="002A6674"/>
    <w:rsid w:val="002A6926"/>
    <w:rsid w:val="002A76B3"/>
    <w:rsid w:val="002A7782"/>
    <w:rsid w:val="002A7C00"/>
    <w:rsid w:val="002A7DE9"/>
    <w:rsid w:val="002B02A3"/>
    <w:rsid w:val="002B14BD"/>
    <w:rsid w:val="002B2956"/>
    <w:rsid w:val="002B3379"/>
    <w:rsid w:val="002B3968"/>
    <w:rsid w:val="002B3A0F"/>
    <w:rsid w:val="002B4381"/>
    <w:rsid w:val="002B4A21"/>
    <w:rsid w:val="002B4AFD"/>
    <w:rsid w:val="002B4F79"/>
    <w:rsid w:val="002B78CE"/>
    <w:rsid w:val="002B7E4D"/>
    <w:rsid w:val="002C0A2A"/>
    <w:rsid w:val="002C1A47"/>
    <w:rsid w:val="002C2970"/>
    <w:rsid w:val="002C2D5F"/>
    <w:rsid w:val="002C3072"/>
    <w:rsid w:val="002C3A22"/>
    <w:rsid w:val="002C5BAF"/>
    <w:rsid w:val="002C649B"/>
    <w:rsid w:val="002C64AC"/>
    <w:rsid w:val="002C6AF1"/>
    <w:rsid w:val="002C6DFD"/>
    <w:rsid w:val="002C7782"/>
    <w:rsid w:val="002C7D66"/>
    <w:rsid w:val="002C7DB4"/>
    <w:rsid w:val="002D020A"/>
    <w:rsid w:val="002D070D"/>
    <w:rsid w:val="002D0CDF"/>
    <w:rsid w:val="002D1018"/>
    <w:rsid w:val="002D14FA"/>
    <w:rsid w:val="002D2E28"/>
    <w:rsid w:val="002D2EEB"/>
    <w:rsid w:val="002D3D73"/>
    <w:rsid w:val="002D4268"/>
    <w:rsid w:val="002D46F4"/>
    <w:rsid w:val="002D51C8"/>
    <w:rsid w:val="002D57E7"/>
    <w:rsid w:val="002D639F"/>
    <w:rsid w:val="002D6686"/>
    <w:rsid w:val="002D67AC"/>
    <w:rsid w:val="002D7D63"/>
    <w:rsid w:val="002E183B"/>
    <w:rsid w:val="002E1BB4"/>
    <w:rsid w:val="002E1BFD"/>
    <w:rsid w:val="002E212A"/>
    <w:rsid w:val="002E23BD"/>
    <w:rsid w:val="002E2C80"/>
    <w:rsid w:val="002E3231"/>
    <w:rsid w:val="002E45CD"/>
    <w:rsid w:val="002E4750"/>
    <w:rsid w:val="002E47A3"/>
    <w:rsid w:val="002E4BAD"/>
    <w:rsid w:val="002E4BD4"/>
    <w:rsid w:val="002E512F"/>
    <w:rsid w:val="002E5941"/>
    <w:rsid w:val="002E7D22"/>
    <w:rsid w:val="002E7ECE"/>
    <w:rsid w:val="002F059B"/>
    <w:rsid w:val="002F0E2C"/>
    <w:rsid w:val="002F196C"/>
    <w:rsid w:val="002F20C6"/>
    <w:rsid w:val="002F2C33"/>
    <w:rsid w:val="002F3205"/>
    <w:rsid w:val="002F3578"/>
    <w:rsid w:val="002F3888"/>
    <w:rsid w:val="002F3EB0"/>
    <w:rsid w:val="002F3F40"/>
    <w:rsid w:val="002F4251"/>
    <w:rsid w:val="002F4986"/>
    <w:rsid w:val="002F4ED8"/>
    <w:rsid w:val="002F50DC"/>
    <w:rsid w:val="002F58DA"/>
    <w:rsid w:val="002F5B02"/>
    <w:rsid w:val="002F6813"/>
    <w:rsid w:val="002F6F88"/>
    <w:rsid w:val="002F76E7"/>
    <w:rsid w:val="003001CD"/>
    <w:rsid w:val="00300D86"/>
    <w:rsid w:val="00301D07"/>
    <w:rsid w:val="00302392"/>
    <w:rsid w:val="003026D3"/>
    <w:rsid w:val="00303324"/>
    <w:rsid w:val="0030353E"/>
    <w:rsid w:val="0030494B"/>
    <w:rsid w:val="00304DB0"/>
    <w:rsid w:val="00305060"/>
    <w:rsid w:val="003053E0"/>
    <w:rsid w:val="0030546C"/>
    <w:rsid w:val="00305DC2"/>
    <w:rsid w:val="0030734F"/>
    <w:rsid w:val="00311A59"/>
    <w:rsid w:val="003120DF"/>
    <w:rsid w:val="00312833"/>
    <w:rsid w:val="0031374B"/>
    <w:rsid w:val="003144EF"/>
    <w:rsid w:val="00315962"/>
    <w:rsid w:val="003162EC"/>
    <w:rsid w:val="0031652B"/>
    <w:rsid w:val="00316697"/>
    <w:rsid w:val="003171EB"/>
    <w:rsid w:val="003174CC"/>
    <w:rsid w:val="00317521"/>
    <w:rsid w:val="003177A6"/>
    <w:rsid w:val="00317F42"/>
    <w:rsid w:val="00320C1F"/>
    <w:rsid w:val="003210C9"/>
    <w:rsid w:val="00321574"/>
    <w:rsid w:val="00321C63"/>
    <w:rsid w:val="00321EA1"/>
    <w:rsid w:val="003231C4"/>
    <w:rsid w:val="003235E4"/>
    <w:rsid w:val="00323E90"/>
    <w:rsid w:val="00324270"/>
    <w:rsid w:val="00324AC6"/>
    <w:rsid w:val="00324F15"/>
    <w:rsid w:val="0032541B"/>
    <w:rsid w:val="003268C1"/>
    <w:rsid w:val="00326B0E"/>
    <w:rsid w:val="0032744B"/>
    <w:rsid w:val="003275F6"/>
    <w:rsid w:val="00327C98"/>
    <w:rsid w:val="0033102F"/>
    <w:rsid w:val="00331663"/>
    <w:rsid w:val="00331DE9"/>
    <w:rsid w:val="00331EC0"/>
    <w:rsid w:val="003321A0"/>
    <w:rsid w:val="00332FE2"/>
    <w:rsid w:val="00333A23"/>
    <w:rsid w:val="003344FC"/>
    <w:rsid w:val="00334A84"/>
    <w:rsid w:val="00336559"/>
    <w:rsid w:val="00336EAE"/>
    <w:rsid w:val="00336F9B"/>
    <w:rsid w:val="003372CF"/>
    <w:rsid w:val="0033746B"/>
    <w:rsid w:val="003377D8"/>
    <w:rsid w:val="0034100B"/>
    <w:rsid w:val="00341136"/>
    <w:rsid w:val="00341A1E"/>
    <w:rsid w:val="003420E4"/>
    <w:rsid w:val="003431E8"/>
    <w:rsid w:val="00343849"/>
    <w:rsid w:val="00343FB2"/>
    <w:rsid w:val="0034472C"/>
    <w:rsid w:val="00346A2F"/>
    <w:rsid w:val="00346F31"/>
    <w:rsid w:val="00347264"/>
    <w:rsid w:val="003475CE"/>
    <w:rsid w:val="003501D4"/>
    <w:rsid w:val="0035066F"/>
    <w:rsid w:val="0035191F"/>
    <w:rsid w:val="00351987"/>
    <w:rsid w:val="00351E55"/>
    <w:rsid w:val="0035254B"/>
    <w:rsid w:val="0035345C"/>
    <w:rsid w:val="00353726"/>
    <w:rsid w:val="003548F7"/>
    <w:rsid w:val="00354D76"/>
    <w:rsid w:val="0035519A"/>
    <w:rsid w:val="00355354"/>
    <w:rsid w:val="003553B2"/>
    <w:rsid w:val="00355442"/>
    <w:rsid w:val="0035614B"/>
    <w:rsid w:val="0035625D"/>
    <w:rsid w:val="003600AE"/>
    <w:rsid w:val="0036051C"/>
    <w:rsid w:val="00360E4E"/>
    <w:rsid w:val="003622FE"/>
    <w:rsid w:val="0036304C"/>
    <w:rsid w:val="00363411"/>
    <w:rsid w:val="00363430"/>
    <w:rsid w:val="003636E1"/>
    <w:rsid w:val="00363CE2"/>
    <w:rsid w:val="00363D15"/>
    <w:rsid w:val="00363F99"/>
    <w:rsid w:val="00366154"/>
    <w:rsid w:val="00367779"/>
    <w:rsid w:val="00367ECE"/>
    <w:rsid w:val="0037027E"/>
    <w:rsid w:val="00370A99"/>
    <w:rsid w:val="00370F88"/>
    <w:rsid w:val="0037227E"/>
    <w:rsid w:val="003725A7"/>
    <w:rsid w:val="00372AFA"/>
    <w:rsid w:val="00373FD2"/>
    <w:rsid w:val="00374836"/>
    <w:rsid w:val="00375C2B"/>
    <w:rsid w:val="00375EC4"/>
    <w:rsid w:val="00376242"/>
    <w:rsid w:val="00376541"/>
    <w:rsid w:val="003770CB"/>
    <w:rsid w:val="00380695"/>
    <w:rsid w:val="003806FE"/>
    <w:rsid w:val="00380C70"/>
    <w:rsid w:val="0038153E"/>
    <w:rsid w:val="00381704"/>
    <w:rsid w:val="00381DE1"/>
    <w:rsid w:val="00382239"/>
    <w:rsid w:val="00382B8E"/>
    <w:rsid w:val="003830A6"/>
    <w:rsid w:val="00383A91"/>
    <w:rsid w:val="00383D6D"/>
    <w:rsid w:val="00383E74"/>
    <w:rsid w:val="003855DE"/>
    <w:rsid w:val="00385717"/>
    <w:rsid w:val="0038572A"/>
    <w:rsid w:val="00385D96"/>
    <w:rsid w:val="00385FA1"/>
    <w:rsid w:val="00387B32"/>
    <w:rsid w:val="00387CAD"/>
    <w:rsid w:val="00387DBD"/>
    <w:rsid w:val="0039067B"/>
    <w:rsid w:val="00390A09"/>
    <w:rsid w:val="003912AE"/>
    <w:rsid w:val="003912B1"/>
    <w:rsid w:val="00391362"/>
    <w:rsid w:val="00391A8D"/>
    <w:rsid w:val="003923F6"/>
    <w:rsid w:val="003927E4"/>
    <w:rsid w:val="00393EB3"/>
    <w:rsid w:val="00393F60"/>
    <w:rsid w:val="003947A2"/>
    <w:rsid w:val="00394890"/>
    <w:rsid w:val="00394B5B"/>
    <w:rsid w:val="0039515D"/>
    <w:rsid w:val="00395990"/>
    <w:rsid w:val="00395E54"/>
    <w:rsid w:val="00396480"/>
    <w:rsid w:val="003967BB"/>
    <w:rsid w:val="00396BC5"/>
    <w:rsid w:val="0039745F"/>
    <w:rsid w:val="00397D07"/>
    <w:rsid w:val="003A07B4"/>
    <w:rsid w:val="003A08EC"/>
    <w:rsid w:val="003A0A71"/>
    <w:rsid w:val="003A0CEB"/>
    <w:rsid w:val="003A1E4A"/>
    <w:rsid w:val="003A1EAC"/>
    <w:rsid w:val="003A1F63"/>
    <w:rsid w:val="003A224F"/>
    <w:rsid w:val="003A2267"/>
    <w:rsid w:val="003A32AC"/>
    <w:rsid w:val="003A3E81"/>
    <w:rsid w:val="003A4553"/>
    <w:rsid w:val="003A4960"/>
    <w:rsid w:val="003A4C22"/>
    <w:rsid w:val="003A5910"/>
    <w:rsid w:val="003A5DD8"/>
    <w:rsid w:val="003A5E5C"/>
    <w:rsid w:val="003B0086"/>
    <w:rsid w:val="003B1559"/>
    <w:rsid w:val="003B1A44"/>
    <w:rsid w:val="003B2C94"/>
    <w:rsid w:val="003B4058"/>
    <w:rsid w:val="003B40CD"/>
    <w:rsid w:val="003B4227"/>
    <w:rsid w:val="003B4D31"/>
    <w:rsid w:val="003B5431"/>
    <w:rsid w:val="003B5FA6"/>
    <w:rsid w:val="003B658E"/>
    <w:rsid w:val="003B6816"/>
    <w:rsid w:val="003B68EA"/>
    <w:rsid w:val="003B6D5F"/>
    <w:rsid w:val="003B722F"/>
    <w:rsid w:val="003B7231"/>
    <w:rsid w:val="003B7692"/>
    <w:rsid w:val="003B7A61"/>
    <w:rsid w:val="003B7BDB"/>
    <w:rsid w:val="003C14FD"/>
    <w:rsid w:val="003C1DEF"/>
    <w:rsid w:val="003C35BD"/>
    <w:rsid w:val="003C394C"/>
    <w:rsid w:val="003C3C20"/>
    <w:rsid w:val="003C41BA"/>
    <w:rsid w:val="003C58B4"/>
    <w:rsid w:val="003C5A91"/>
    <w:rsid w:val="003C6587"/>
    <w:rsid w:val="003C65FF"/>
    <w:rsid w:val="003C6866"/>
    <w:rsid w:val="003C70B8"/>
    <w:rsid w:val="003D0A52"/>
    <w:rsid w:val="003D1B86"/>
    <w:rsid w:val="003D1FF7"/>
    <w:rsid w:val="003D2B2E"/>
    <w:rsid w:val="003D2E0E"/>
    <w:rsid w:val="003D3377"/>
    <w:rsid w:val="003D3AE8"/>
    <w:rsid w:val="003D4490"/>
    <w:rsid w:val="003D4C49"/>
    <w:rsid w:val="003D511D"/>
    <w:rsid w:val="003D6031"/>
    <w:rsid w:val="003D6337"/>
    <w:rsid w:val="003D68F1"/>
    <w:rsid w:val="003D75BF"/>
    <w:rsid w:val="003D75CF"/>
    <w:rsid w:val="003E001D"/>
    <w:rsid w:val="003E02A7"/>
    <w:rsid w:val="003E0D13"/>
    <w:rsid w:val="003E11CA"/>
    <w:rsid w:val="003E134E"/>
    <w:rsid w:val="003E1734"/>
    <w:rsid w:val="003E254D"/>
    <w:rsid w:val="003E335C"/>
    <w:rsid w:val="003E58A7"/>
    <w:rsid w:val="003E691F"/>
    <w:rsid w:val="003E6CAB"/>
    <w:rsid w:val="003F03BC"/>
    <w:rsid w:val="003F05B2"/>
    <w:rsid w:val="003F0FAC"/>
    <w:rsid w:val="003F10C2"/>
    <w:rsid w:val="003F1553"/>
    <w:rsid w:val="003F2C0E"/>
    <w:rsid w:val="003F300D"/>
    <w:rsid w:val="003F3710"/>
    <w:rsid w:val="003F44CE"/>
    <w:rsid w:val="003F4580"/>
    <w:rsid w:val="003F4C8D"/>
    <w:rsid w:val="003F4E9C"/>
    <w:rsid w:val="003F7E13"/>
    <w:rsid w:val="00400247"/>
    <w:rsid w:val="004006EF"/>
    <w:rsid w:val="00400858"/>
    <w:rsid w:val="00400C82"/>
    <w:rsid w:val="00401A04"/>
    <w:rsid w:val="004027FA"/>
    <w:rsid w:val="00403DA5"/>
    <w:rsid w:val="0040459D"/>
    <w:rsid w:val="00405674"/>
    <w:rsid w:val="00405777"/>
    <w:rsid w:val="0040579C"/>
    <w:rsid w:val="00405BFD"/>
    <w:rsid w:val="00406F50"/>
    <w:rsid w:val="00406FFB"/>
    <w:rsid w:val="004071BD"/>
    <w:rsid w:val="00407E86"/>
    <w:rsid w:val="00411D6E"/>
    <w:rsid w:val="004128F6"/>
    <w:rsid w:val="00413D5C"/>
    <w:rsid w:val="00413FF0"/>
    <w:rsid w:val="0041493D"/>
    <w:rsid w:val="00414C96"/>
    <w:rsid w:val="004157D7"/>
    <w:rsid w:val="004162AC"/>
    <w:rsid w:val="00416805"/>
    <w:rsid w:val="00416ADB"/>
    <w:rsid w:val="00416B42"/>
    <w:rsid w:val="00416E38"/>
    <w:rsid w:val="00416F5C"/>
    <w:rsid w:val="00417EDC"/>
    <w:rsid w:val="00420737"/>
    <w:rsid w:val="00420883"/>
    <w:rsid w:val="00420EE9"/>
    <w:rsid w:val="004225E3"/>
    <w:rsid w:val="004233E0"/>
    <w:rsid w:val="0042584F"/>
    <w:rsid w:val="00425AC2"/>
    <w:rsid w:val="0042642B"/>
    <w:rsid w:val="004266C3"/>
    <w:rsid w:val="00426B09"/>
    <w:rsid w:val="004276E9"/>
    <w:rsid w:val="00430E9B"/>
    <w:rsid w:val="00431004"/>
    <w:rsid w:val="004314C0"/>
    <w:rsid w:val="00431A1D"/>
    <w:rsid w:val="004323E2"/>
    <w:rsid w:val="004338F5"/>
    <w:rsid w:val="00434081"/>
    <w:rsid w:val="0043414D"/>
    <w:rsid w:val="00434D96"/>
    <w:rsid w:val="004359B4"/>
    <w:rsid w:val="00435B02"/>
    <w:rsid w:val="00437B57"/>
    <w:rsid w:val="004416D9"/>
    <w:rsid w:val="004423F0"/>
    <w:rsid w:val="004425BC"/>
    <w:rsid w:val="004430C0"/>
    <w:rsid w:val="004435B3"/>
    <w:rsid w:val="004435E9"/>
    <w:rsid w:val="00445A25"/>
    <w:rsid w:val="00446D07"/>
    <w:rsid w:val="004477C8"/>
    <w:rsid w:val="00447DF5"/>
    <w:rsid w:val="0045158D"/>
    <w:rsid w:val="00452854"/>
    <w:rsid w:val="0045309B"/>
    <w:rsid w:val="0045357A"/>
    <w:rsid w:val="00453C40"/>
    <w:rsid w:val="00453E92"/>
    <w:rsid w:val="0045482F"/>
    <w:rsid w:val="00454CC9"/>
    <w:rsid w:val="004557E3"/>
    <w:rsid w:val="0045624F"/>
    <w:rsid w:val="00456396"/>
    <w:rsid w:val="00456793"/>
    <w:rsid w:val="00456C7B"/>
    <w:rsid w:val="00462238"/>
    <w:rsid w:val="00462F8E"/>
    <w:rsid w:val="00464513"/>
    <w:rsid w:val="00464DFC"/>
    <w:rsid w:val="0046616F"/>
    <w:rsid w:val="0046650C"/>
    <w:rsid w:val="00467587"/>
    <w:rsid w:val="00470ECE"/>
    <w:rsid w:val="00471B23"/>
    <w:rsid w:val="00472074"/>
    <w:rsid w:val="0047271C"/>
    <w:rsid w:val="004727E8"/>
    <w:rsid w:val="0047356D"/>
    <w:rsid w:val="004765FF"/>
    <w:rsid w:val="004768A3"/>
    <w:rsid w:val="0047762B"/>
    <w:rsid w:val="00477B43"/>
    <w:rsid w:val="00477BC4"/>
    <w:rsid w:val="00480F00"/>
    <w:rsid w:val="00481078"/>
    <w:rsid w:val="004811FE"/>
    <w:rsid w:val="0048135A"/>
    <w:rsid w:val="00481C1E"/>
    <w:rsid w:val="00481E3E"/>
    <w:rsid w:val="00481E81"/>
    <w:rsid w:val="00481FA1"/>
    <w:rsid w:val="0048282D"/>
    <w:rsid w:val="00482CBE"/>
    <w:rsid w:val="004841BD"/>
    <w:rsid w:val="00484FCB"/>
    <w:rsid w:val="00485B63"/>
    <w:rsid w:val="0048640D"/>
    <w:rsid w:val="0048656B"/>
    <w:rsid w:val="00487533"/>
    <w:rsid w:val="0048790C"/>
    <w:rsid w:val="0048798E"/>
    <w:rsid w:val="00487D43"/>
    <w:rsid w:val="0049016E"/>
    <w:rsid w:val="00490AC7"/>
    <w:rsid w:val="00491967"/>
    <w:rsid w:val="0049258B"/>
    <w:rsid w:val="00492723"/>
    <w:rsid w:val="00492AF6"/>
    <w:rsid w:val="004939E1"/>
    <w:rsid w:val="004941B5"/>
    <w:rsid w:val="004947D0"/>
    <w:rsid w:val="0049504E"/>
    <w:rsid w:val="00495999"/>
    <w:rsid w:val="00495A64"/>
    <w:rsid w:val="004967CE"/>
    <w:rsid w:val="00496B11"/>
    <w:rsid w:val="004970B7"/>
    <w:rsid w:val="00497E46"/>
    <w:rsid w:val="004A037E"/>
    <w:rsid w:val="004A21F1"/>
    <w:rsid w:val="004A24C3"/>
    <w:rsid w:val="004A26E7"/>
    <w:rsid w:val="004A292F"/>
    <w:rsid w:val="004A2BF6"/>
    <w:rsid w:val="004A3315"/>
    <w:rsid w:val="004A3367"/>
    <w:rsid w:val="004A361A"/>
    <w:rsid w:val="004A365C"/>
    <w:rsid w:val="004A3BCB"/>
    <w:rsid w:val="004A5627"/>
    <w:rsid w:val="004A5857"/>
    <w:rsid w:val="004A5AED"/>
    <w:rsid w:val="004A62AD"/>
    <w:rsid w:val="004B088A"/>
    <w:rsid w:val="004B1039"/>
    <w:rsid w:val="004B24BB"/>
    <w:rsid w:val="004B279A"/>
    <w:rsid w:val="004B281D"/>
    <w:rsid w:val="004B2C0C"/>
    <w:rsid w:val="004B383E"/>
    <w:rsid w:val="004B4040"/>
    <w:rsid w:val="004B46B3"/>
    <w:rsid w:val="004B4C05"/>
    <w:rsid w:val="004B59CA"/>
    <w:rsid w:val="004B5DC1"/>
    <w:rsid w:val="004B624F"/>
    <w:rsid w:val="004B66CC"/>
    <w:rsid w:val="004B7131"/>
    <w:rsid w:val="004B7407"/>
    <w:rsid w:val="004B7537"/>
    <w:rsid w:val="004B7A79"/>
    <w:rsid w:val="004C082F"/>
    <w:rsid w:val="004C2647"/>
    <w:rsid w:val="004C27B3"/>
    <w:rsid w:val="004C33C9"/>
    <w:rsid w:val="004C4220"/>
    <w:rsid w:val="004C5535"/>
    <w:rsid w:val="004C583A"/>
    <w:rsid w:val="004C768C"/>
    <w:rsid w:val="004C7D5D"/>
    <w:rsid w:val="004D058A"/>
    <w:rsid w:val="004D0AD8"/>
    <w:rsid w:val="004D173D"/>
    <w:rsid w:val="004D1869"/>
    <w:rsid w:val="004D25BE"/>
    <w:rsid w:val="004D3136"/>
    <w:rsid w:val="004D3B26"/>
    <w:rsid w:val="004D48D3"/>
    <w:rsid w:val="004D4EFF"/>
    <w:rsid w:val="004D56E8"/>
    <w:rsid w:val="004D63FE"/>
    <w:rsid w:val="004D6D90"/>
    <w:rsid w:val="004D7122"/>
    <w:rsid w:val="004E25EA"/>
    <w:rsid w:val="004E2DC3"/>
    <w:rsid w:val="004E3241"/>
    <w:rsid w:val="004E6B70"/>
    <w:rsid w:val="004E6CE4"/>
    <w:rsid w:val="004E718C"/>
    <w:rsid w:val="004E7A9C"/>
    <w:rsid w:val="004F18DB"/>
    <w:rsid w:val="004F1B2C"/>
    <w:rsid w:val="004F1D54"/>
    <w:rsid w:val="004F215E"/>
    <w:rsid w:val="004F26F2"/>
    <w:rsid w:val="004F2FA9"/>
    <w:rsid w:val="004F390B"/>
    <w:rsid w:val="004F3C23"/>
    <w:rsid w:val="004F51C6"/>
    <w:rsid w:val="004F5B92"/>
    <w:rsid w:val="004F5FEC"/>
    <w:rsid w:val="004F67FE"/>
    <w:rsid w:val="004F7810"/>
    <w:rsid w:val="004F7DC8"/>
    <w:rsid w:val="0050065F"/>
    <w:rsid w:val="005007E8"/>
    <w:rsid w:val="00500B1D"/>
    <w:rsid w:val="0050117C"/>
    <w:rsid w:val="00501226"/>
    <w:rsid w:val="00502928"/>
    <w:rsid w:val="00502ADD"/>
    <w:rsid w:val="00502DD5"/>
    <w:rsid w:val="0050310D"/>
    <w:rsid w:val="00503494"/>
    <w:rsid w:val="00504800"/>
    <w:rsid w:val="005049AF"/>
    <w:rsid w:val="00504CC4"/>
    <w:rsid w:val="00505AFC"/>
    <w:rsid w:val="0050656C"/>
    <w:rsid w:val="0050705C"/>
    <w:rsid w:val="00507B29"/>
    <w:rsid w:val="00510365"/>
    <w:rsid w:val="00510E67"/>
    <w:rsid w:val="005110F6"/>
    <w:rsid w:val="005112EC"/>
    <w:rsid w:val="00511760"/>
    <w:rsid w:val="00511C8F"/>
    <w:rsid w:val="0051214B"/>
    <w:rsid w:val="00512D31"/>
    <w:rsid w:val="00513239"/>
    <w:rsid w:val="00513727"/>
    <w:rsid w:val="00513A7A"/>
    <w:rsid w:val="00513D20"/>
    <w:rsid w:val="00514A01"/>
    <w:rsid w:val="00514BDD"/>
    <w:rsid w:val="00515D7C"/>
    <w:rsid w:val="00515FA5"/>
    <w:rsid w:val="00516020"/>
    <w:rsid w:val="00516073"/>
    <w:rsid w:val="0051642A"/>
    <w:rsid w:val="005168C2"/>
    <w:rsid w:val="00516C30"/>
    <w:rsid w:val="00517D7C"/>
    <w:rsid w:val="005205F6"/>
    <w:rsid w:val="0052076D"/>
    <w:rsid w:val="00520A1A"/>
    <w:rsid w:val="00520DE2"/>
    <w:rsid w:val="00520EE4"/>
    <w:rsid w:val="005214D0"/>
    <w:rsid w:val="0052151A"/>
    <w:rsid w:val="005219BA"/>
    <w:rsid w:val="00521D81"/>
    <w:rsid w:val="005229BD"/>
    <w:rsid w:val="00523D72"/>
    <w:rsid w:val="0052482B"/>
    <w:rsid w:val="005252E6"/>
    <w:rsid w:val="00525585"/>
    <w:rsid w:val="00525CBD"/>
    <w:rsid w:val="00526538"/>
    <w:rsid w:val="005265F7"/>
    <w:rsid w:val="005271EB"/>
    <w:rsid w:val="005272E1"/>
    <w:rsid w:val="005279E8"/>
    <w:rsid w:val="00527FBE"/>
    <w:rsid w:val="00530CC2"/>
    <w:rsid w:val="00530F34"/>
    <w:rsid w:val="005310A4"/>
    <w:rsid w:val="0053133C"/>
    <w:rsid w:val="00531995"/>
    <w:rsid w:val="00532BB1"/>
    <w:rsid w:val="00532F42"/>
    <w:rsid w:val="005339E1"/>
    <w:rsid w:val="005342B9"/>
    <w:rsid w:val="005344EC"/>
    <w:rsid w:val="005352E3"/>
    <w:rsid w:val="00536116"/>
    <w:rsid w:val="0053620A"/>
    <w:rsid w:val="00536590"/>
    <w:rsid w:val="00536C1F"/>
    <w:rsid w:val="0053706B"/>
    <w:rsid w:val="0053732D"/>
    <w:rsid w:val="005419B8"/>
    <w:rsid w:val="005427A9"/>
    <w:rsid w:val="00543C80"/>
    <w:rsid w:val="00544B86"/>
    <w:rsid w:val="005454B8"/>
    <w:rsid w:val="00546330"/>
    <w:rsid w:val="00546757"/>
    <w:rsid w:val="00546D98"/>
    <w:rsid w:val="00546FE9"/>
    <w:rsid w:val="005475D0"/>
    <w:rsid w:val="00547901"/>
    <w:rsid w:val="0055049F"/>
    <w:rsid w:val="005522EE"/>
    <w:rsid w:val="00552C4B"/>
    <w:rsid w:val="00554558"/>
    <w:rsid w:val="00554822"/>
    <w:rsid w:val="005549EB"/>
    <w:rsid w:val="00555312"/>
    <w:rsid w:val="005566BC"/>
    <w:rsid w:val="00556797"/>
    <w:rsid w:val="00556F1B"/>
    <w:rsid w:val="00560948"/>
    <w:rsid w:val="0056119E"/>
    <w:rsid w:val="005612EC"/>
    <w:rsid w:val="00564619"/>
    <w:rsid w:val="0056553F"/>
    <w:rsid w:val="00565CB0"/>
    <w:rsid w:val="005660BC"/>
    <w:rsid w:val="005661C6"/>
    <w:rsid w:val="0056667D"/>
    <w:rsid w:val="00567794"/>
    <w:rsid w:val="005709B5"/>
    <w:rsid w:val="00570E27"/>
    <w:rsid w:val="005710D1"/>
    <w:rsid w:val="00572C17"/>
    <w:rsid w:val="0057308D"/>
    <w:rsid w:val="005734B4"/>
    <w:rsid w:val="00573E60"/>
    <w:rsid w:val="00574153"/>
    <w:rsid w:val="0057442D"/>
    <w:rsid w:val="00575389"/>
    <w:rsid w:val="0057759E"/>
    <w:rsid w:val="00580DE2"/>
    <w:rsid w:val="00581596"/>
    <w:rsid w:val="00581995"/>
    <w:rsid w:val="00581F79"/>
    <w:rsid w:val="00582450"/>
    <w:rsid w:val="00582AAD"/>
    <w:rsid w:val="00582BD8"/>
    <w:rsid w:val="00583B58"/>
    <w:rsid w:val="00583F62"/>
    <w:rsid w:val="0058416A"/>
    <w:rsid w:val="005843ED"/>
    <w:rsid w:val="00584513"/>
    <w:rsid w:val="0058501A"/>
    <w:rsid w:val="00585C01"/>
    <w:rsid w:val="00585EA6"/>
    <w:rsid w:val="00585F10"/>
    <w:rsid w:val="00586561"/>
    <w:rsid w:val="00591B62"/>
    <w:rsid w:val="005934A8"/>
    <w:rsid w:val="00593A84"/>
    <w:rsid w:val="00593D09"/>
    <w:rsid w:val="00594842"/>
    <w:rsid w:val="00595A86"/>
    <w:rsid w:val="0059664D"/>
    <w:rsid w:val="00596A7C"/>
    <w:rsid w:val="00596E7B"/>
    <w:rsid w:val="00597121"/>
    <w:rsid w:val="00597B9F"/>
    <w:rsid w:val="005A1E4C"/>
    <w:rsid w:val="005A239C"/>
    <w:rsid w:val="005A2735"/>
    <w:rsid w:val="005A4361"/>
    <w:rsid w:val="005A47AF"/>
    <w:rsid w:val="005A5790"/>
    <w:rsid w:val="005A6AD9"/>
    <w:rsid w:val="005A7BBC"/>
    <w:rsid w:val="005A7D6B"/>
    <w:rsid w:val="005B081A"/>
    <w:rsid w:val="005B1205"/>
    <w:rsid w:val="005B1375"/>
    <w:rsid w:val="005B1723"/>
    <w:rsid w:val="005B1A20"/>
    <w:rsid w:val="005B1EFE"/>
    <w:rsid w:val="005B1F22"/>
    <w:rsid w:val="005B438A"/>
    <w:rsid w:val="005B4427"/>
    <w:rsid w:val="005B66A0"/>
    <w:rsid w:val="005B6D78"/>
    <w:rsid w:val="005B75C2"/>
    <w:rsid w:val="005C0185"/>
    <w:rsid w:val="005C07F4"/>
    <w:rsid w:val="005C08AD"/>
    <w:rsid w:val="005C110F"/>
    <w:rsid w:val="005C11D7"/>
    <w:rsid w:val="005C14D3"/>
    <w:rsid w:val="005C15A0"/>
    <w:rsid w:val="005C17A1"/>
    <w:rsid w:val="005C20D9"/>
    <w:rsid w:val="005C3DB3"/>
    <w:rsid w:val="005C50D7"/>
    <w:rsid w:val="005C5173"/>
    <w:rsid w:val="005C5D02"/>
    <w:rsid w:val="005C5E93"/>
    <w:rsid w:val="005C61FC"/>
    <w:rsid w:val="005D010C"/>
    <w:rsid w:val="005D0B2F"/>
    <w:rsid w:val="005D1244"/>
    <w:rsid w:val="005D1D8F"/>
    <w:rsid w:val="005D2C9C"/>
    <w:rsid w:val="005D3366"/>
    <w:rsid w:val="005D4131"/>
    <w:rsid w:val="005D4494"/>
    <w:rsid w:val="005D49FB"/>
    <w:rsid w:val="005D4F12"/>
    <w:rsid w:val="005D4F13"/>
    <w:rsid w:val="005D50AA"/>
    <w:rsid w:val="005D50D6"/>
    <w:rsid w:val="005D5757"/>
    <w:rsid w:val="005D5E7E"/>
    <w:rsid w:val="005D6FF0"/>
    <w:rsid w:val="005E0886"/>
    <w:rsid w:val="005E08E6"/>
    <w:rsid w:val="005E0F40"/>
    <w:rsid w:val="005E13F5"/>
    <w:rsid w:val="005E1846"/>
    <w:rsid w:val="005E2670"/>
    <w:rsid w:val="005E2A14"/>
    <w:rsid w:val="005E376F"/>
    <w:rsid w:val="005E3B25"/>
    <w:rsid w:val="005E4CD0"/>
    <w:rsid w:val="005E4DE3"/>
    <w:rsid w:val="005E71AA"/>
    <w:rsid w:val="005F0BBA"/>
    <w:rsid w:val="005F14F5"/>
    <w:rsid w:val="005F17F7"/>
    <w:rsid w:val="005F1DF5"/>
    <w:rsid w:val="005F1FBA"/>
    <w:rsid w:val="005F3C46"/>
    <w:rsid w:val="005F3ED9"/>
    <w:rsid w:val="005F4EAF"/>
    <w:rsid w:val="005F515D"/>
    <w:rsid w:val="005F6BBA"/>
    <w:rsid w:val="005F6E5E"/>
    <w:rsid w:val="005F795F"/>
    <w:rsid w:val="00600EAF"/>
    <w:rsid w:val="00601EEF"/>
    <w:rsid w:val="00602C4A"/>
    <w:rsid w:val="00602D23"/>
    <w:rsid w:val="00603277"/>
    <w:rsid w:val="006033E1"/>
    <w:rsid w:val="00603916"/>
    <w:rsid w:val="00603A32"/>
    <w:rsid w:val="00603B94"/>
    <w:rsid w:val="00603BDE"/>
    <w:rsid w:val="00603C62"/>
    <w:rsid w:val="00603DA4"/>
    <w:rsid w:val="00604506"/>
    <w:rsid w:val="00604B86"/>
    <w:rsid w:val="00604C38"/>
    <w:rsid w:val="00604D66"/>
    <w:rsid w:val="00605011"/>
    <w:rsid w:val="006055C9"/>
    <w:rsid w:val="0060573C"/>
    <w:rsid w:val="00606145"/>
    <w:rsid w:val="00606670"/>
    <w:rsid w:val="00606770"/>
    <w:rsid w:val="00606E59"/>
    <w:rsid w:val="006106F9"/>
    <w:rsid w:val="00610ECB"/>
    <w:rsid w:val="00611F85"/>
    <w:rsid w:val="00614079"/>
    <w:rsid w:val="00614313"/>
    <w:rsid w:val="00616EDA"/>
    <w:rsid w:val="006218FD"/>
    <w:rsid w:val="00621FDD"/>
    <w:rsid w:val="006226EB"/>
    <w:rsid w:val="0062273D"/>
    <w:rsid w:val="00623239"/>
    <w:rsid w:val="006232FE"/>
    <w:rsid w:val="00623821"/>
    <w:rsid w:val="00623A33"/>
    <w:rsid w:val="00623BC5"/>
    <w:rsid w:val="00624142"/>
    <w:rsid w:val="00624767"/>
    <w:rsid w:val="0062618C"/>
    <w:rsid w:val="00626F50"/>
    <w:rsid w:val="0062738C"/>
    <w:rsid w:val="00630038"/>
    <w:rsid w:val="00630198"/>
    <w:rsid w:val="00630DFE"/>
    <w:rsid w:val="0063170C"/>
    <w:rsid w:val="0063206A"/>
    <w:rsid w:val="00632170"/>
    <w:rsid w:val="006323E8"/>
    <w:rsid w:val="00633B0C"/>
    <w:rsid w:val="006343D4"/>
    <w:rsid w:val="0063472D"/>
    <w:rsid w:val="00634929"/>
    <w:rsid w:val="006351B3"/>
    <w:rsid w:val="006353A8"/>
    <w:rsid w:val="00635658"/>
    <w:rsid w:val="00636883"/>
    <w:rsid w:val="0063693E"/>
    <w:rsid w:val="00637EFD"/>
    <w:rsid w:val="0064010D"/>
    <w:rsid w:val="00640237"/>
    <w:rsid w:val="006406F7"/>
    <w:rsid w:val="006415CA"/>
    <w:rsid w:val="00642764"/>
    <w:rsid w:val="0064322B"/>
    <w:rsid w:val="00643899"/>
    <w:rsid w:val="00643DBD"/>
    <w:rsid w:val="00644B08"/>
    <w:rsid w:val="00644DEC"/>
    <w:rsid w:val="006452BF"/>
    <w:rsid w:val="00645545"/>
    <w:rsid w:val="00645ECF"/>
    <w:rsid w:val="006472B6"/>
    <w:rsid w:val="00647AA7"/>
    <w:rsid w:val="00650B31"/>
    <w:rsid w:val="00650CB0"/>
    <w:rsid w:val="0065166D"/>
    <w:rsid w:val="0065186A"/>
    <w:rsid w:val="00652D2D"/>
    <w:rsid w:val="006535BA"/>
    <w:rsid w:val="00653801"/>
    <w:rsid w:val="006541F5"/>
    <w:rsid w:val="006543A9"/>
    <w:rsid w:val="006552F4"/>
    <w:rsid w:val="00657667"/>
    <w:rsid w:val="0066172E"/>
    <w:rsid w:val="00661880"/>
    <w:rsid w:val="00661F72"/>
    <w:rsid w:val="00662000"/>
    <w:rsid w:val="00662067"/>
    <w:rsid w:val="006625EE"/>
    <w:rsid w:val="00663E86"/>
    <w:rsid w:val="00664619"/>
    <w:rsid w:val="0066556B"/>
    <w:rsid w:val="00665709"/>
    <w:rsid w:val="00665B9A"/>
    <w:rsid w:val="00665F9F"/>
    <w:rsid w:val="0066600C"/>
    <w:rsid w:val="00667521"/>
    <w:rsid w:val="0067051E"/>
    <w:rsid w:val="00670F07"/>
    <w:rsid w:val="0067153C"/>
    <w:rsid w:val="00671804"/>
    <w:rsid w:val="00671DBE"/>
    <w:rsid w:val="00671F75"/>
    <w:rsid w:val="00671FD4"/>
    <w:rsid w:val="006722CA"/>
    <w:rsid w:val="006722FC"/>
    <w:rsid w:val="0067292C"/>
    <w:rsid w:val="00672B4C"/>
    <w:rsid w:val="0067314F"/>
    <w:rsid w:val="006737BF"/>
    <w:rsid w:val="00674DA8"/>
    <w:rsid w:val="00674F01"/>
    <w:rsid w:val="00675EFF"/>
    <w:rsid w:val="006760EA"/>
    <w:rsid w:val="00676F44"/>
    <w:rsid w:val="006772CE"/>
    <w:rsid w:val="00677604"/>
    <w:rsid w:val="00677BCA"/>
    <w:rsid w:val="0068094F"/>
    <w:rsid w:val="0068159C"/>
    <w:rsid w:val="006819CF"/>
    <w:rsid w:val="00681B50"/>
    <w:rsid w:val="006825B9"/>
    <w:rsid w:val="00683F86"/>
    <w:rsid w:val="00684287"/>
    <w:rsid w:val="00684B38"/>
    <w:rsid w:val="006855AF"/>
    <w:rsid w:val="0068659C"/>
    <w:rsid w:val="006868A9"/>
    <w:rsid w:val="00687D3C"/>
    <w:rsid w:val="00690053"/>
    <w:rsid w:val="00690BEC"/>
    <w:rsid w:val="006914B3"/>
    <w:rsid w:val="00692669"/>
    <w:rsid w:val="006927B0"/>
    <w:rsid w:val="00692D81"/>
    <w:rsid w:val="006940AF"/>
    <w:rsid w:val="006940C3"/>
    <w:rsid w:val="00694617"/>
    <w:rsid w:val="0069482B"/>
    <w:rsid w:val="00694ABB"/>
    <w:rsid w:val="00694B7D"/>
    <w:rsid w:val="00694E52"/>
    <w:rsid w:val="006955FB"/>
    <w:rsid w:val="0069585F"/>
    <w:rsid w:val="00695D22"/>
    <w:rsid w:val="00695E45"/>
    <w:rsid w:val="006963C7"/>
    <w:rsid w:val="00696849"/>
    <w:rsid w:val="00696EE9"/>
    <w:rsid w:val="006A0A57"/>
    <w:rsid w:val="006A0CFC"/>
    <w:rsid w:val="006A0DD0"/>
    <w:rsid w:val="006A21D0"/>
    <w:rsid w:val="006A24CB"/>
    <w:rsid w:val="006A3206"/>
    <w:rsid w:val="006A3CB1"/>
    <w:rsid w:val="006A43C3"/>
    <w:rsid w:val="006A51FE"/>
    <w:rsid w:val="006A555F"/>
    <w:rsid w:val="006A5562"/>
    <w:rsid w:val="006A5639"/>
    <w:rsid w:val="006A584F"/>
    <w:rsid w:val="006A6F83"/>
    <w:rsid w:val="006A7BCE"/>
    <w:rsid w:val="006A7F4E"/>
    <w:rsid w:val="006B0712"/>
    <w:rsid w:val="006B114C"/>
    <w:rsid w:val="006B1EA8"/>
    <w:rsid w:val="006B24E4"/>
    <w:rsid w:val="006B3119"/>
    <w:rsid w:val="006B3D7C"/>
    <w:rsid w:val="006B406B"/>
    <w:rsid w:val="006B412E"/>
    <w:rsid w:val="006B4943"/>
    <w:rsid w:val="006B5473"/>
    <w:rsid w:val="006B75FA"/>
    <w:rsid w:val="006C0ABE"/>
    <w:rsid w:val="006C11CA"/>
    <w:rsid w:val="006C1475"/>
    <w:rsid w:val="006C1E2C"/>
    <w:rsid w:val="006C2F22"/>
    <w:rsid w:val="006C3C8D"/>
    <w:rsid w:val="006C468B"/>
    <w:rsid w:val="006C4B0C"/>
    <w:rsid w:val="006C4B8C"/>
    <w:rsid w:val="006C50FC"/>
    <w:rsid w:val="006C5308"/>
    <w:rsid w:val="006C5F4A"/>
    <w:rsid w:val="006C62F8"/>
    <w:rsid w:val="006C6480"/>
    <w:rsid w:val="006C6A54"/>
    <w:rsid w:val="006C6CE2"/>
    <w:rsid w:val="006C7841"/>
    <w:rsid w:val="006C79CF"/>
    <w:rsid w:val="006C7A3D"/>
    <w:rsid w:val="006D1411"/>
    <w:rsid w:val="006D191A"/>
    <w:rsid w:val="006D32B8"/>
    <w:rsid w:val="006D53E9"/>
    <w:rsid w:val="006D5625"/>
    <w:rsid w:val="006D6594"/>
    <w:rsid w:val="006D791A"/>
    <w:rsid w:val="006D7A5D"/>
    <w:rsid w:val="006E0181"/>
    <w:rsid w:val="006E1427"/>
    <w:rsid w:val="006E175E"/>
    <w:rsid w:val="006E1CDF"/>
    <w:rsid w:val="006E3F96"/>
    <w:rsid w:val="006E4DB8"/>
    <w:rsid w:val="006E53D7"/>
    <w:rsid w:val="006E5762"/>
    <w:rsid w:val="006E5C69"/>
    <w:rsid w:val="006E6FCB"/>
    <w:rsid w:val="006E7F31"/>
    <w:rsid w:val="006F04A5"/>
    <w:rsid w:val="006F053C"/>
    <w:rsid w:val="006F0C4E"/>
    <w:rsid w:val="006F2BB3"/>
    <w:rsid w:val="006F2EED"/>
    <w:rsid w:val="006F2F55"/>
    <w:rsid w:val="006F31D7"/>
    <w:rsid w:val="006F324E"/>
    <w:rsid w:val="006F35C9"/>
    <w:rsid w:val="006F500F"/>
    <w:rsid w:val="006F5E58"/>
    <w:rsid w:val="006F61C9"/>
    <w:rsid w:val="006F631C"/>
    <w:rsid w:val="006F6332"/>
    <w:rsid w:val="006F76C6"/>
    <w:rsid w:val="006F789F"/>
    <w:rsid w:val="006F7CAF"/>
    <w:rsid w:val="00700721"/>
    <w:rsid w:val="00702355"/>
    <w:rsid w:val="007042DB"/>
    <w:rsid w:val="00704A87"/>
    <w:rsid w:val="00704B8D"/>
    <w:rsid w:val="00705DFF"/>
    <w:rsid w:val="007060C9"/>
    <w:rsid w:val="00706353"/>
    <w:rsid w:val="00706E25"/>
    <w:rsid w:val="007119FA"/>
    <w:rsid w:val="00711B57"/>
    <w:rsid w:val="00711B5C"/>
    <w:rsid w:val="007120E9"/>
    <w:rsid w:val="0071247E"/>
    <w:rsid w:val="00712BCC"/>
    <w:rsid w:val="00712F3E"/>
    <w:rsid w:val="007133C2"/>
    <w:rsid w:val="00713993"/>
    <w:rsid w:val="00713F89"/>
    <w:rsid w:val="00715E4A"/>
    <w:rsid w:val="00715F9C"/>
    <w:rsid w:val="00716775"/>
    <w:rsid w:val="007169C5"/>
    <w:rsid w:val="00716E6A"/>
    <w:rsid w:val="00717FCA"/>
    <w:rsid w:val="00720610"/>
    <w:rsid w:val="007209C4"/>
    <w:rsid w:val="00721AF1"/>
    <w:rsid w:val="00721E90"/>
    <w:rsid w:val="0072214C"/>
    <w:rsid w:val="00723620"/>
    <w:rsid w:val="00723A9A"/>
    <w:rsid w:val="00724094"/>
    <w:rsid w:val="007247F5"/>
    <w:rsid w:val="0072548A"/>
    <w:rsid w:val="0072591D"/>
    <w:rsid w:val="00725EED"/>
    <w:rsid w:val="00725F29"/>
    <w:rsid w:val="007266E4"/>
    <w:rsid w:val="0072728C"/>
    <w:rsid w:val="007274C4"/>
    <w:rsid w:val="00727B3D"/>
    <w:rsid w:val="00727F9C"/>
    <w:rsid w:val="007305BB"/>
    <w:rsid w:val="007306D1"/>
    <w:rsid w:val="00731826"/>
    <w:rsid w:val="00731955"/>
    <w:rsid w:val="00731C9E"/>
    <w:rsid w:val="00731F7C"/>
    <w:rsid w:val="00732047"/>
    <w:rsid w:val="0073210D"/>
    <w:rsid w:val="007322E8"/>
    <w:rsid w:val="00732374"/>
    <w:rsid w:val="007339D3"/>
    <w:rsid w:val="0073489A"/>
    <w:rsid w:val="00734BA7"/>
    <w:rsid w:val="0073541C"/>
    <w:rsid w:val="00735705"/>
    <w:rsid w:val="00736620"/>
    <w:rsid w:val="00736726"/>
    <w:rsid w:val="0073672A"/>
    <w:rsid w:val="00736BB1"/>
    <w:rsid w:val="007370A7"/>
    <w:rsid w:val="007376B3"/>
    <w:rsid w:val="00737BF6"/>
    <w:rsid w:val="007402B3"/>
    <w:rsid w:val="007409CC"/>
    <w:rsid w:val="00741462"/>
    <w:rsid w:val="0074174D"/>
    <w:rsid w:val="007429C2"/>
    <w:rsid w:val="00742A63"/>
    <w:rsid w:val="00743555"/>
    <w:rsid w:val="0074363C"/>
    <w:rsid w:val="007437E2"/>
    <w:rsid w:val="00743C5E"/>
    <w:rsid w:val="007443A8"/>
    <w:rsid w:val="007443EE"/>
    <w:rsid w:val="00744588"/>
    <w:rsid w:val="00744BCF"/>
    <w:rsid w:val="0074521E"/>
    <w:rsid w:val="007457EB"/>
    <w:rsid w:val="00746508"/>
    <w:rsid w:val="00746CB6"/>
    <w:rsid w:val="00747C02"/>
    <w:rsid w:val="0075014C"/>
    <w:rsid w:val="007504AA"/>
    <w:rsid w:val="007514E5"/>
    <w:rsid w:val="00751D63"/>
    <w:rsid w:val="00753CD7"/>
    <w:rsid w:val="00753FC8"/>
    <w:rsid w:val="00754DC7"/>
    <w:rsid w:val="00756296"/>
    <w:rsid w:val="007568D9"/>
    <w:rsid w:val="00756977"/>
    <w:rsid w:val="00756DA5"/>
    <w:rsid w:val="0075775E"/>
    <w:rsid w:val="00760549"/>
    <w:rsid w:val="00761704"/>
    <w:rsid w:val="00761925"/>
    <w:rsid w:val="00761CE6"/>
    <w:rsid w:val="0076224C"/>
    <w:rsid w:val="00762D0C"/>
    <w:rsid w:val="00762FD7"/>
    <w:rsid w:val="00763879"/>
    <w:rsid w:val="00763D07"/>
    <w:rsid w:val="00764774"/>
    <w:rsid w:val="007647A9"/>
    <w:rsid w:val="00765056"/>
    <w:rsid w:val="00765479"/>
    <w:rsid w:val="007655DB"/>
    <w:rsid w:val="007660DB"/>
    <w:rsid w:val="00766217"/>
    <w:rsid w:val="00766339"/>
    <w:rsid w:val="00766555"/>
    <w:rsid w:val="00766626"/>
    <w:rsid w:val="00766ED4"/>
    <w:rsid w:val="00767742"/>
    <w:rsid w:val="00767D2A"/>
    <w:rsid w:val="007701CA"/>
    <w:rsid w:val="007706E5"/>
    <w:rsid w:val="007709B3"/>
    <w:rsid w:val="00771149"/>
    <w:rsid w:val="00771321"/>
    <w:rsid w:val="00771545"/>
    <w:rsid w:val="00772660"/>
    <w:rsid w:val="007730CE"/>
    <w:rsid w:val="00773583"/>
    <w:rsid w:val="00773814"/>
    <w:rsid w:val="0077396D"/>
    <w:rsid w:val="00773B53"/>
    <w:rsid w:val="007743C2"/>
    <w:rsid w:val="0077484D"/>
    <w:rsid w:val="0077535A"/>
    <w:rsid w:val="00777C9A"/>
    <w:rsid w:val="007805EA"/>
    <w:rsid w:val="007805EE"/>
    <w:rsid w:val="00780673"/>
    <w:rsid w:val="007808D3"/>
    <w:rsid w:val="007808D9"/>
    <w:rsid w:val="00780A32"/>
    <w:rsid w:val="00781F0C"/>
    <w:rsid w:val="0078277D"/>
    <w:rsid w:val="00782ECB"/>
    <w:rsid w:val="00783708"/>
    <w:rsid w:val="00784C28"/>
    <w:rsid w:val="0078571E"/>
    <w:rsid w:val="00786CF2"/>
    <w:rsid w:val="00787F71"/>
    <w:rsid w:val="00790019"/>
    <w:rsid w:val="00792171"/>
    <w:rsid w:val="00792BD5"/>
    <w:rsid w:val="00793E94"/>
    <w:rsid w:val="007957CC"/>
    <w:rsid w:val="00795DEB"/>
    <w:rsid w:val="00796806"/>
    <w:rsid w:val="00796E17"/>
    <w:rsid w:val="00797A4A"/>
    <w:rsid w:val="007A02A1"/>
    <w:rsid w:val="007A08E7"/>
    <w:rsid w:val="007A15D7"/>
    <w:rsid w:val="007A1779"/>
    <w:rsid w:val="007A17C6"/>
    <w:rsid w:val="007A298A"/>
    <w:rsid w:val="007A2AB8"/>
    <w:rsid w:val="007A2F38"/>
    <w:rsid w:val="007A3EF5"/>
    <w:rsid w:val="007A41CE"/>
    <w:rsid w:val="007A4DE9"/>
    <w:rsid w:val="007A5412"/>
    <w:rsid w:val="007A5D8A"/>
    <w:rsid w:val="007A6448"/>
    <w:rsid w:val="007A6964"/>
    <w:rsid w:val="007B0950"/>
    <w:rsid w:val="007B10DD"/>
    <w:rsid w:val="007B1460"/>
    <w:rsid w:val="007B3158"/>
    <w:rsid w:val="007B47F2"/>
    <w:rsid w:val="007B4C7D"/>
    <w:rsid w:val="007B56C9"/>
    <w:rsid w:val="007B7432"/>
    <w:rsid w:val="007C1038"/>
    <w:rsid w:val="007C1220"/>
    <w:rsid w:val="007C126A"/>
    <w:rsid w:val="007C20FE"/>
    <w:rsid w:val="007C2C64"/>
    <w:rsid w:val="007C3384"/>
    <w:rsid w:val="007C33CF"/>
    <w:rsid w:val="007C3D05"/>
    <w:rsid w:val="007C43DD"/>
    <w:rsid w:val="007C5239"/>
    <w:rsid w:val="007C5E28"/>
    <w:rsid w:val="007C6011"/>
    <w:rsid w:val="007C7FFE"/>
    <w:rsid w:val="007D08C2"/>
    <w:rsid w:val="007D0A90"/>
    <w:rsid w:val="007D1392"/>
    <w:rsid w:val="007D2F79"/>
    <w:rsid w:val="007D4932"/>
    <w:rsid w:val="007D4B37"/>
    <w:rsid w:val="007D4EEE"/>
    <w:rsid w:val="007D5394"/>
    <w:rsid w:val="007D6048"/>
    <w:rsid w:val="007D60CB"/>
    <w:rsid w:val="007D6854"/>
    <w:rsid w:val="007D70A0"/>
    <w:rsid w:val="007D75DC"/>
    <w:rsid w:val="007E0506"/>
    <w:rsid w:val="007E0555"/>
    <w:rsid w:val="007E05F4"/>
    <w:rsid w:val="007E086D"/>
    <w:rsid w:val="007E0A51"/>
    <w:rsid w:val="007E1785"/>
    <w:rsid w:val="007E1CDD"/>
    <w:rsid w:val="007E2906"/>
    <w:rsid w:val="007E2D4E"/>
    <w:rsid w:val="007E3EE1"/>
    <w:rsid w:val="007E41ED"/>
    <w:rsid w:val="007E439C"/>
    <w:rsid w:val="007E63DA"/>
    <w:rsid w:val="007E69C7"/>
    <w:rsid w:val="007E6D82"/>
    <w:rsid w:val="007E6F04"/>
    <w:rsid w:val="007E762D"/>
    <w:rsid w:val="007E7A4A"/>
    <w:rsid w:val="007E7B84"/>
    <w:rsid w:val="007F0E37"/>
    <w:rsid w:val="007F14A7"/>
    <w:rsid w:val="007F1AE4"/>
    <w:rsid w:val="007F2DD5"/>
    <w:rsid w:val="007F38F7"/>
    <w:rsid w:val="007F39A7"/>
    <w:rsid w:val="007F3EB4"/>
    <w:rsid w:val="007F4BF2"/>
    <w:rsid w:val="007F59ED"/>
    <w:rsid w:val="007F6A96"/>
    <w:rsid w:val="00800272"/>
    <w:rsid w:val="008014B4"/>
    <w:rsid w:val="008015E8"/>
    <w:rsid w:val="00801823"/>
    <w:rsid w:val="00801FB6"/>
    <w:rsid w:val="0080255C"/>
    <w:rsid w:val="00802D07"/>
    <w:rsid w:val="00803160"/>
    <w:rsid w:val="00803574"/>
    <w:rsid w:val="0080417B"/>
    <w:rsid w:val="008041D1"/>
    <w:rsid w:val="008047F6"/>
    <w:rsid w:val="00805074"/>
    <w:rsid w:val="00805090"/>
    <w:rsid w:val="00805DE7"/>
    <w:rsid w:val="00805FEB"/>
    <w:rsid w:val="00810909"/>
    <w:rsid w:val="00811D5E"/>
    <w:rsid w:val="00811FF9"/>
    <w:rsid w:val="008122C0"/>
    <w:rsid w:val="008132D6"/>
    <w:rsid w:val="0081346B"/>
    <w:rsid w:val="00813AF9"/>
    <w:rsid w:val="00814062"/>
    <w:rsid w:val="00815F27"/>
    <w:rsid w:val="00816043"/>
    <w:rsid w:val="00816819"/>
    <w:rsid w:val="00816CB5"/>
    <w:rsid w:val="00817933"/>
    <w:rsid w:val="0082001E"/>
    <w:rsid w:val="00820546"/>
    <w:rsid w:val="0082081C"/>
    <w:rsid w:val="00820EA8"/>
    <w:rsid w:val="0082185B"/>
    <w:rsid w:val="00821A60"/>
    <w:rsid w:val="008234FD"/>
    <w:rsid w:val="00823D26"/>
    <w:rsid w:val="008248EF"/>
    <w:rsid w:val="00830B4F"/>
    <w:rsid w:val="00831425"/>
    <w:rsid w:val="008317B8"/>
    <w:rsid w:val="00832661"/>
    <w:rsid w:val="00833347"/>
    <w:rsid w:val="00833796"/>
    <w:rsid w:val="00833A12"/>
    <w:rsid w:val="00833F6A"/>
    <w:rsid w:val="00833FB6"/>
    <w:rsid w:val="00833FBE"/>
    <w:rsid w:val="008343AA"/>
    <w:rsid w:val="008358BB"/>
    <w:rsid w:val="0083616F"/>
    <w:rsid w:val="0083633B"/>
    <w:rsid w:val="008363CF"/>
    <w:rsid w:val="0083748F"/>
    <w:rsid w:val="00837A47"/>
    <w:rsid w:val="00840A54"/>
    <w:rsid w:val="00840C50"/>
    <w:rsid w:val="0084131F"/>
    <w:rsid w:val="00842644"/>
    <w:rsid w:val="00843D79"/>
    <w:rsid w:val="00844844"/>
    <w:rsid w:val="00844DBE"/>
    <w:rsid w:val="00844DF2"/>
    <w:rsid w:val="00845E53"/>
    <w:rsid w:val="00850C4B"/>
    <w:rsid w:val="00851361"/>
    <w:rsid w:val="0085145D"/>
    <w:rsid w:val="00851677"/>
    <w:rsid w:val="008519A1"/>
    <w:rsid w:val="00851A53"/>
    <w:rsid w:val="00851D43"/>
    <w:rsid w:val="00851E97"/>
    <w:rsid w:val="00852BD7"/>
    <w:rsid w:val="00853E74"/>
    <w:rsid w:val="00853EB4"/>
    <w:rsid w:val="00853FF0"/>
    <w:rsid w:val="008552E5"/>
    <w:rsid w:val="008552E7"/>
    <w:rsid w:val="0085591B"/>
    <w:rsid w:val="00855E4B"/>
    <w:rsid w:val="00856954"/>
    <w:rsid w:val="00857088"/>
    <w:rsid w:val="00857333"/>
    <w:rsid w:val="0085761C"/>
    <w:rsid w:val="00857E84"/>
    <w:rsid w:val="00861098"/>
    <w:rsid w:val="00862A2A"/>
    <w:rsid w:val="00862BE6"/>
    <w:rsid w:val="00863192"/>
    <w:rsid w:val="00863466"/>
    <w:rsid w:val="00863AC6"/>
    <w:rsid w:val="008649C3"/>
    <w:rsid w:val="00864F58"/>
    <w:rsid w:val="0086525E"/>
    <w:rsid w:val="00865BA3"/>
    <w:rsid w:val="00865F76"/>
    <w:rsid w:val="00867172"/>
    <w:rsid w:val="00867813"/>
    <w:rsid w:val="0086781E"/>
    <w:rsid w:val="00870404"/>
    <w:rsid w:val="00870C7A"/>
    <w:rsid w:val="00871383"/>
    <w:rsid w:val="00871839"/>
    <w:rsid w:val="00871D07"/>
    <w:rsid w:val="008724A3"/>
    <w:rsid w:val="00872A14"/>
    <w:rsid w:val="00872AE4"/>
    <w:rsid w:val="00872D49"/>
    <w:rsid w:val="008731C8"/>
    <w:rsid w:val="00873422"/>
    <w:rsid w:val="00874315"/>
    <w:rsid w:val="00874A81"/>
    <w:rsid w:val="008759EC"/>
    <w:rsid w:val="00875D6F"/>
    <w:rsid w:val="0087656A"/>
    <w:rsid w:val="008766FF"/>
    <w:rsid w:val="008767E9"/>
    <w:rsid w:val="008769E6"/>
    <w:rsid w:val="00876FE4"/>
    <w:rsid w:val="0088155C"/>
    <w:rsid w:val="00881BC0"/>
    <w:rsid w:val="008823A8"/>
    <w:rsid w:val="0088270C"/>
    <w:rsid w:val="008828CC"/>
    <w:rsid w:val="00882E70"/>
    <w:rsid w:val="00883E1E"/>
    <w:rsid w:val="00884A0A"/>
    <w:rsid w:val="00884E53"/>
    <w:rsid w:val="00884E72"/>
    <w:rsid w:val="00885166"/>
    <w:rsid w:val="0088569C"/>
    <w:rsid w:val="00885847"/>
    <w:rsid w:val="0088692B"/>
    <w:rsid w:val="00886DF9"/>
    <w:rsid w:val="0088743A"/>
    <w:rsid w:val="00887BBF"/>
    <w:rsid w:val="00890068"/>
    <w:rsid w:val="00890BF5"/>
    <w:rsid w:val="00890EC4"/>
    <w:rsid w:val="00891613"/>
    <w:rsid w:val="0089185F"/>
    <w:rsid w:val="00891E64"/>
    <w:rsid w:val="00891F4B"/>
    <w:rsid w:val="0089230B"/>
    <w:rsid w:val="008927DD"/>
    <w:rsid w:val="00892C2F"/>
    <w:rsid w:val="008930C4"/>
    <w:rsid w:val="00893BFC"/>
    <w:rsid w:val="00893F09"/>
    <w:rsid w:val="00893F7E"/>
    <w:rsid w:val="008946D4"/>
    <w:rsid w:val="008961F8"/>
    <w:rsid w:val="00897068"/>
    <w:rsid w:val="0089728B"/>
    <w:rsid w:val="00897978"/>
    <w:rsid w:val="00897D6D"/>
    <w:rsid w:val="00897EBD"/>
    <w:rsid w:val="008A0064"/>
    <w:rsid w:val="008A020B"/>
    <w:rsid w:val="008A073A"/>
    <w:rsid w:val="008A12D7"/>
    <w:rsid w:val="008A15CC"/>
    <w:rsid w:val="008A16DA"/>
    <w:rsid w:val="008A17B7"/>
    <w:rsid w:val="008A25EF"/>
    <w:rsid w:val="008A35A4"/>
    <w:rsid w:val="008A3F85"/>
    <w:rsid w:val="008A4CC3"/>
    <w:rsid w:val="008A52D9"/>
    <w:rsid w:val="008A624A"/>
    <w:rsid w:val="008A633A"/>
    <w:rsid w:val="008A6960"/>
    <w:rsid w:val="008B04E6"/>
    <w:rsid w:val="008B0E6A"/>
    <w:rsid w:val="008B350C"/>
    <w:rsid w:val="008B40AA"/>
    <w:rsid w:val="008B4253"/>
    <w:rsid w:val="008B57A3"/>
    <w:rsid w:val="008B6222"/>
    <w:rsid w:val="008B623A"/>
    <w:rsid w:val="008B7644"/>
    <w:rsid w:val="008C02FB"/>
    <w:rsid w:val="008C17D3"/>
    <w:rsid w:val="008C1813"/>
    <w:rsid w:val="008C2027"/>
    <w:rsid w:val="008C224A"/>
    <w:rsid w:val="008C380A"/>
    <w:rsid w:val="008C5C8A"/>
    <w:rsid w:val="008C6691"/>
    <w:rsid w:val="008D124F"/>
    <w:rsid w:val="008D1535"/>
    <w:rsid w:val="008D16F3"/>
    <w:rsid w:val="008D238A"/>
    <w:rsid w:val="008D2B3F"/>
    <w:rsid w:val="008D358D"/>
    <w:rsid w:val="008D3794"/>
    <w:rsid w:val="008D4A16"/>
    <w:rsid w:val="008D4E13"/>
    <w:rsid w:val="008D6616"/>
    <w:rsid w:val="008D7BAD"/>
    <w:rsid w:val="008D7D70"/>
    <w:rsid w:val="008E065A"/>
    <w:rsid w:val="008E0934"/>
    <w:rsid w:val="008E0BF8"/>
    <w:rsid w:val="008E2B9A"/>
    <w:rsid w:val="008E2E5E"/>
    <w:rsid w:val="008E3724"/>
    <w:rsid w:val="008E454A"/>
    <w:rsid w:val="008E5754"/>
    <w:rsid w:val="008E5EE9"/>
    <w:rsid w:val="008E7664"/>
    <w:rsid w:val="008E7E16"/>
    <w:rsid w:val="008F06D8"/>
    <w:rsid w:val="008F1859"/>
    <w:rsid w:val="008F1D6B"/>
    <w:rsid w:val="008F1F77"/>
    <w:rsid w:val="008F20FB"/>
    <w:rsid w:val="008F2CEA"/>
    <w:rsid w:val="008F2D16"/>
    <w:rsid w:val="008F2FF5"/>
    <w:rsid w:val="008F3E23"/>
    <w:rsid w:val="008F4794"/>
    <w:rsid w:val="008F581A"/>
    <w:rsid w:val="008F5B74"/>
    <w:rsid w:val="008F5DE0"/>
    <w:rsid w:val="008F6B0B"/>
    <w:rsid w:val="008F6EF6"/>
    <w:rsid w:val="008F6F3A"/>
    <w:rsid w:val="008F727B"/>
    <w:rsid w:val="008F7395"/>
    <w:rsid w:val="008F793D"/>
    <w:rsid w:val="008F7B53"/>
    <w:rsid w:val="008F7C46"/>
    <w:rsid w:val="008F7FB7"/>
    <w:rsid w:val="00900C6F"/>
    <w:rsid w:val="00901B1D"/>
    <w:rsid w:val="00902004"/>
    <w:rsid w:val="0090220F"/>
    <w:rsid w:val="00902F7B"/>
    <w:rsid w:val="0090403C"/>
    <w:rsid w:val="00904167"/>
    <w:rsid w:val="00905F0A"/>
    <w:rsid w:val="009061BF"/>
    <w:rsid w:val="00906B95"/>
    <w:rsid w:val="00906FBB"/>
    <w:rsid w:val="00907BBE"/>
    <w:rsid w:val="009114F7"/>
    <w:rsid w:val="00912C2E"/>
    <w:rsid w:val="0091326B"/>
    <w:rsid w:val="00913C92"/>
    <w:rsid w:val="009143E6"/>
    <w:rsid w:val="00914E6E"/>
    <w:rsid w:val="00914F13"/>
    <w:rsid w:val="00915AEB"/>
    <w:rsid w:val="0091700C"/>
    <w:rsid w:val="00917427"/>
    <w:rsid w:val="009178AF"/>
    <w:rsid w:val="00917ED2"/>
    <w:rsid w:val="009202FF"/>
    <w:rsid w:val="0092046F"/>
    <w:rsid w:val="0092055D"/>
    <w:rsid w:val="00920726"/>
    <w:rsid w:val="00920830"/>
    <w:rsid w:val="009209DB"/>
    <w:rsid w:val="00921DBF"/>
    <w:rsid w:val="00921EBC"/>
    <w:rsid w:val="0092226A"/>
    <w:rsid w:val="0092226D"/>
    <w:rsid w:val="0092249C"/>
    <w:rsid w:val="00922654"/>
    <w:rsid w:val="009226E3"/>
    <w:rsid w:val="00922F2D"/>
    <w:rsid w:val="009232B7"/>
    <w:rsid w:val="00923C43"/>
    <w:rsid w:val="00923FF8"/>
    <w:rsid w:val="009268DE"/>
    <w:rsid w:val="0092726F"/>
    <w:rsid w:val="0092779E"/>
    <w:rsid w:val="00927DD7"/>
    <w:rsid w:val="00930356"/>
    <w:rsid w:val="009334E6"/>
    <w:rsid w:val="00933574"/>
    <w:rsid w:val="00933A19"/>
    <w:rsid w:val="00933D43"/>
    <w:rsid w:val="00934833"/>
    <w:rsid w:val="0093492C"/>
    <w:rsid w:val="00934A13"/>
    <w:rsid w:val="0093572D"/>
    <w:rsid w:val="00935DC4"/>
    <w:rsid w:val="0093695D"/>
    <w:rsid w:val="00936E4A"/>
    <w:rsid w:val="00936EEC"/>
    <w:rsid w:val="009400A2"/>
    <w:rsid w:val="00940148"/>
    <w:rsid w:val="00940231"/>
    <w:rsid w:val="00940BB5"/>
    <w:rsid w:val="00940C99"/>
    <w:rsid w:val="00940F34"/>
    <w:rsid w:val="00941FDF"/>
    <w:rsid w:val="009425C3"/>
    <w:rsid w:val="00943B7D"/>
    <w:rsid w:val="00944941"/>
    <w:rsid w:val="00944A8D"/>
    <w:rsid w:val="00945A3B"/>
    <w:rsid w:val="00945E80"/>
    <w:rsid w:val="00945EDA"/>
    <w:rsid w:val="0094659F"/>
    <w:rsid w:val="00946FA7"/>
    <w:rsid w:val="009479F5"/>
    <w:rsid w:val="00950CD8"/>
    <w:rsid w:val="009511AE"/>
    <w:rsid w:val="00951A5A"/>
    <w:rsid w:val="00952E00"/>
    <w:rsid w:val="00953DCD"/>
    <w:rsid w:val="0095455C"/>
    <w:rsid w:val="00954C29"/>
    <w:rsid w:val="0095517E"/>
    <w:rsid w:val="00956251"/>
    <w:rsid w:val="0095665B"/>
    <w:rsid w:val="009578B1"/>
    <w:rsid w:val="00957A9F"/>
    <w:rsid w:val="00960218"/>
    <w:rsid w:val="00960F2C"/>
    <w:rsid w:val="009611FB"/>
    <w:rsid w:val="00961300"/>
    <w:rsid w:val="00961C04"/>
    <w:rsid w:val="0096263A"/>
    <w:rsid w:val="00962E29"/>
    <w:rsid w:val="00963223"/>
    <w:rsid w:val="00963C23"/>
    <w:rsid w:val="0096467A"/>
    <w:rsid w:val="009648B7"/>
    <w:rsid w:val="00964D56"/>
    <w:rsid w:val="00964FC4"/>
    <w:rsid w:val="0096537C"/>
    <w:rsid w:val="00966147"/>
    <w:rsid w:val="009677DA"/>
    <w:rsid w:val="00967B46"/>
    <w:rsid w:val="0097141B"/>
    <w:rsid w:val="00971EE7"/>
    <w:rsid w:val="0097237D"/>
    <w:rsid w:val="0097274C"/>
    <w:rsid w:val="009730D1"/>
    <w:rsid w:val="00973420"/>
    <w:rsid w:val="00973BC3"/>
    <w:rsid w:val="00973E11"/>
    <w:rsid w:val="00974914"/>
    <w:rsid w:val="00974E7E"/>
    <w:rsid w:val="00974EB4"/>
    <w:rsid w:val="009751EB"/>
    <w:rsid w:val="0097550C"/>
    <w:rsid w:val="0097623B"/>
    <w:rsid w:val="00976618"/>
    <w:rsid w:val="009772C5"/>
    <w:rsid w:val="00977C25"/>
    <w:rsid w:val="00977DFC"/>
    <w:rsid w:val="00981015"/>
    <w:rsid w:val="00981407"/>
    <w:rsid w:val="009818B4"/>
    <w:rsid w:val="00982CF6"/>
    <w:rsid w:val="009834B9"/>
    <w:rsid w:val="00983B9C"/>
    <w:rsid w:val="00984089"/>
    <w:rsid w:val="009840AD"/>
    <w:rsid w:val="00984522"/>
    <w:rsid w:val="009847F0"/>
    <w:rsid w:val="00984E48"/>
    <w:rsid w:val="009850C5"/>
    <w:rsid w:val="00985F1D"/>
    <w:rsid w:val="0098603F"/>
    <w:rsid w:val="009877B2"/>
    <w:rsid w:val="009901C1"/>
    <w:rsid w:val="009905CE"/>
    <w:rsid w:val="00990C36"/>
    <w:rsid w:val="009911E1"/>
    <w:rsid w:val="00991245"/>
    <w:rsid w:val="00991BBA"/>
    <w:rsid w:val="00993A64"/>
    <w:rsid w:val="00993B68"/>
    <w:rsid w:val="009941F7"/>
    <w:rsid w:val="00994A89"/>
    <w:rsid w:val="00996029"/>
    <w:rsid w:val="00996103"/>
    <w:rsid w:val="00996757"/>
    <w:rsid w:val="00996BC9"/>
    <w:rsid w:val="00997496"/>
    <w:rsid w:val="0099778E"/>
    <w:rsid w:val="009A00F8"/>
    <w:rsid w:val="009A0CF8"/>
    <w:rsid w:val="009A1AC0"/>
    <w:rsid w:val="009A21F1"/>
    <w:rsid w:val="009A23BE"/>
    <w:rsid w:val="009A288F"/>
    <w:rsid w:val="009A2E03"/>
    <w:rsid w:val="009A5A63"/>
    <w:rsid w:val="009A6170"/>
    <w:rsid w:val="009A6A66"/>
    <w:rsid w:val="009A78FC"/>
    <w:rsid w:val="009A7F21"/>
    <w:rsid w:val="009B179D"/>
    <w:rsid w:val="009B182C"/>
    <w:rsid w:val="009B1DFD"/>
    <w:rsid w:val="009B1EEB"/>
    <w:rsid w:val="009B263E"/>
    <w:rsid w:val="009B3382"/>
    <w:rsid w:val="009B4584"/>
    <w:rsid w:val="009B4CE0"/>
    <w:rsid w:val="009B5243"/>
    <w:rsid w:val="009B5FDA"/>
    <w:rsid w:val="009B649D"/>
    <w:rsid w:val="009B6E5C"/>
    <w:rsid w:val="009B6FD5"/>
    <w:rsid w:val="009B7141"/>
    <w:rsid w:val="009B7A42"/>
    <w:rsid w:val="009B7A59"/>
    <w:rsid w:val="009C0376"/>
    <w:rsid w:val="009C0CE0"/>
    <w:rsid w:val="009C1907"/>
    <w:rsid w:val="009C3312"/>
    <w:rsid w:val="009C3681"/>
    <w:rsid w:val="009C37FE"/>
    <w:rsid w:val="009C3E4E"/>
    <w:rsid w:val="009C55BB"/>
    <w:rsid w:val="009C5619"/>
    <w:rsid w:val="009C5DAE"/>
    <w:rsid w:val="009C64C7"/>
    <w:rsid w:val="009D00C5"/>
    <w:rsid w:val="009D00EA"/>
    <w:rsid w:val="009D09BC"/>
    <w:rsid w:val="009D0ABC"/>
    <w:rsid w:val="009D1B7F"/>
    <w:rsid w:val="009D29EF"/>
    <w:rsid w:val="009D3A2E"/>
    <w:rsid w:val="009D4679"/>
    <w:rsid w:val="009D4AA1"/>
    <w:rsid w:val="009D4AC4"/>
    <w:rsid w:val="009D5644"/>
    <w:rsid w:val="009D5813"/>
    <w:rsid w:val="009D5ACD"/>
    <w:rsid w:val="009D5F03"/>
    <w:rsid w:val="009D5F1E"/>
    <w:rsid w:val="009D6AA8"/>
    <w:rsid w:val="009D706A"/>
    <w:rsid w:val="009D76E3"/>
    <w:rsid w:val="009E0A37"/>
    <w:rsid w:val="009E0D9D"/>
    <w:rsid w:val="009E1363"/>
    <w:rsid w:val="009E1E65"/>
    <w:rsid w:val="009E223D"/>
    <w:rsid w:val="009E2962"/>
    <w:rsid w:val="009E3336"/>
    <w:rsid w:val="009E3816"/>
    <w:rsid w:val="009E3ED8"/>
    <w:rsid w:val="009E4BED"/>
    <w:rsid w:val="009E4E31"/>
    <w:rsid w:val="009E56DF"/>
    <w:rsid w:val="009E5A63"/>
    <w:rsid w:val="009E5AC1"/>
    <w:rsid w:val="009E6C66"/>
    <w:rsid w:val="009E77DB"/>
    <w:rsid w:val="009E7FB0"/>
    <w:rsid w:val="009F1511"/>
    <w:rsid w:val="009F30FE"/>
    <w:rsid w:val="009F4291"/>
    <w:rsid w:val="009F4343"/>
    <w:rsid w:val="009F4695"/>
    <w:rsid w:val="009F4DDB"/>
    <w:rsid w:val="009F52C7"/>
    <w:rsid w:val="009F655D"/>
    <w:rsid w:val="009F6886"/>
    <w:rsid w:val="009F6BBC"/>
    <w:rsid w:val="009F7F02"/>
    <w:rsid w:val="00A00144"/>
    <w:rsid w:val="00A00346"/>
    <w:rsid w:val="00A00B1D"/>
    <w:rsid w:val="00A01FE6"/>
    <w:rsid w:val="00A023AC"/>
    <w:rsid w:val="00A02733"/>
    <w:rsid w:val="00A032DF"/>
    <w:rsid w:val="00A0345D"/>
    <w:rsid w:val="00A04880"/>
    <w:rsid w:val="00A056B1"/>
    <w:rsid w:val="00A05BA2"/>
    <w:rsid w:val="00A063E9"/>
    <w:rsid w:val="00A06812"/>
    <w:rsid w:val="00A06D68"/>
    <w:rsid w:val="00A07B04"/>
    <w:rsid w:val="00A101BF"/>
    <w:rsid w:val="00A104E0"/>
    <w:rsid w:val="00A106E6"/>
    <w:rsid w:val="00A108D2"/>
    <w:rsid w:val="00A11114"/>
    <w:rsid w:val="00A1245D"/>
    <w:rsid w:val="00A1287A"/>
    <w:rsid w:val="00A12C97"/>
    <w:rsid w:val="00A12D88"/>
    <w:rsid w:val="00A133FD"/>
    <w:rsid w:val="00A13CD5"/>
    <w:rsid w:val="00A14003"/>
    <w:rsid w:val="00A14C54"/>
    <w:rsid w:val="00A15A53"/>
    <w:rsid w:val="00A16572"/>
    <w:rsid w:val="00A1702A"/>
    <w:rsid w:val="00A174BD"/>
    <w:rsid w:val="00A17C46"/>
    <w:rsid w:val="00A17D4A"/>
    <w:rsid w:val="00A207BE"/>
    <w:rsid w:val="00A22AF0"/>
    <w:rsid w:val="00A22C0F"/>
    <w:rsid w:val="00A22C5F"/>
    <w:rsid w:val="00A22C7C"/>
    <w:rsid w:val="00A22CD9"/>
    <w:rsid w:val="00A22D5D"/>
    <w:rsid w:val="00A22D76"/>
    <w:rsid w:val="00A22FC0"/>
    <w:rsid w:val="00A23018"/>
    <w:rsid w:val="00A232E3"/>
    <w:rsid w:val="00A237A8"/>
    <w:rsid w:val="00A2567C"/>
    <w:rsid w:val="00A25923"/>
    <w:rsid w:val="00A260A2"/>
    <w:rsid w:val="00A2661E"/>
    <w:rsid w:val="00A26FEB"/>
    <w:rsid w:val="00A275B0"/>
    <w:rsid w:val="00A27E3A"/>
    <w:rsid w:val="00A30431"/>
    <w:rsid w:val="00A3128E"/>
    <w:rsid w:val="00A32011"/>
    <w:rsid w:val="00A330CC"/>
    <w:rsid w:val="00A3312C"/>
    <w:rsid w:val="00A33390"/>
    <w:rsid w:val="00A334E6"/>
    <w:rsid w:val="00A3426E"/>
    <w:rsid w:val="00A35366"/>
    <w:rsid w:val="00A355C1"/>
    <w:rsid w:val="00A35C02"/>
    <w:rsid w:val="00A36037"/>
    <w:rsid w:val="00A36A4A"/>
    <w:rsid w:val="00A375D8"/>
    <w:rsid w:val="00A37F94"/>
    <w:rsid w:val="00A4041D"/>
    <w:rsid w:val="00A4189F"/>
    <w:rsid w:val="00A41BA4"/>
    <w:rsid w:val="00A42760"/>
    <w:rsid w:val="00A42A42"/>
    <w:rsid w:val="00A42C17"/>
    <w:rsid w:val="00A42C28"/>
    <w:rsid w:val="00A430CA"/>
    <w:rsid w:val="00A436C1"/>
    <w:rsid w:val="00A43CE5"/>
    <w:rsid w:val="00A43DA1"/>
    <w:rsid w:val="00A43F7F"/>
    <w:rsid w:val="00A44102"/>
    <w:rsid w:val="00A4446A"/>
    <w:rsid w:val="00A44F01"/>
    <w:rsid w:val="00A46B06"/>
    <w:rsid w:val="00A50950"/>
    <w:rsid w:val="00A50C43"/>
    <w:rsid w:val="00A522F9"/>
    <w:rsid w:val="00A544DA"/>
    <w:rsid w:val="00A54D98"/>
    <w:rsid w:val="00A550E7"/>
    <w:rsid w:val="00A55200"/>
    <w:rsid w:val="00A55619"/>
    <w:rsid w:val="00A564F9"/>
    <w:rsid w:val="00A567E0"/>
    <w:rsid w:val="00A575A5"/>
    <w:rsid w:val="00A57B36"/>
    <w:rsid w:val="00A606FF"/>
    <w:rsid w:val="00A60B60"/>
    <w:rsid w:val="00A62306"/>
    <w:rsid w:val="00A6237F"/>
    <w:rsid w:val="00A627DF"/>
    <w:rsid w:val="00A63410"/>
    <w:rsid w:val="00A635D2"/>
    <w:rsid w:val="00A636E4"/>
    <w:rsid w:val="00A63873"/>
    <w:rsid w:val="00A63A1E"/>
    <w:rsid w:val="00A643A6"/>
    <w:rsid w:val="00A64745"/>
    <w:rsid w:val="00A6550C"/>
    <w:rsid w:val="00A659BC"/>
    <w:rsid w:val="00A66280"/>
    <w:rsid w:val="00A66471"/>
    <w:rsid w:val="00A679D6"/>
    <w:rsid w:val="00A704FD"/>
    <w:rsid w:val="00A71019"/>
    <w:rsid w:val="00A7123B"/>
    <w:rsid w:val="00A732F4"/>
    <w:rsid w:val="00A73B66"/>
    <w:rsid w:val="00A73FCB"/>
    <w:rsid w:val="00A74186"/>
    <w:rsid w:val="00A7599B"/>
    <w:rsid w:val="00A75A59"/>
    <w:rsid w:val="00A76709"/>
    <w:rsid w:val="00A7687F"/>
    <w:rsid w:val="00A77043"/>
    <w:rsid w:val="00A77C09"/>
    <w:rsid w:val="00A77DD5"/>
    <w:rsid w:val="00A80721"/>
    <w:rsid w:val="00A840D4"/>
    <w:rsid w:val="00A841CF"/>
    <w:rsid w:val="00A849FB"/>
    <w:rsid w:val="00A85620"/>
    <w:rsid w:val="00A86AC0"/>
    <w:rsid w:val="00A86F75"/>
    <w:rsid w:val="00A87FDC"/>
    <w:rsid w:val="00A90586"/>
    <w:rsid w:val="00A92108"/>
    <w:rsid w:val="00A921CB"/>
    <w:rsid w:val="00A9220D"/>
    <w:rsid w:val="00A93046"/>
    <w:rsid w:val="00A93607"/>
    <w:rsid w:val="00A93BCC"/>
    <w:rsid w:val="00A942A8"/>
    <w:rsid w:val="00A94840"/>
    <w:rsid w:val="00A94CEA"/>
    <w:rsid w:val="00A95605"/>
    <w:rsid w:val="00A95E5C"/>
    <w:rsid w:val="00A97075"/>
    <w:rsid w:val="00A977D6"/>
    <w:rsid w:val="00A97870"/>
    <w:rsid w:val="00A97D75"/>
    <w:rsid w:val="00A97DB4"/>
    <w:rsid w:val="00AA098F"/>
    <w:rsid w:val="00AA0A8A"/>
    <w:rsid w:val="00AA14CB"/>
    <w:rsid w:val="00AA1561"/>
    <w:rsid w:val="00AA1F54"/>
    <w:rsid w:val="00AA3C01"/>
    <w:rsid w:val="00AA3D77"/>
    <w:rsid w:val="00AA4CA4"/>
    <w:rsid w:val="00AA63EB"/>
    <w:rsid w:val="00AA7160"/>
    <w:rsid w:val="00AB1326"/>
    <w:rsid w:val="00AB1B85"/>
    <w:rsid w:val="00AB1F41"/>
    <w:rsid w:val="00AB2998"/>
    <w:rsid w:val="00AB2A3C"/>
    <w:rsid w:val="00AB37E5"/>
    <w:rsid w:val="00AB37F6"/>
    <w:rsid w:val="00AB4127"/>
    <w:rsid w:val="00AB419E"/>
    <w:rsid w:val="00AB4667"/>
    <w:rsid w:val="00AB528C"/>
    <w:rsid w:val="00AB638F"/>
    <w:rsid w:val="00AB6457"/>
    <w:rsid w:val="00AB798F"/>
    <w:rsid w:val="00AB7DA5"/>
    <w:rsid w:val="00AC0266"/>
    <w:rsid w:val="00AC0C20"/>
    <w:rsid w:val="00AC1D7A"/>
    <w:rsid w:val="00AC3843"/>
    <w:rsid w:val="00AC3C31"/>
    <w:rsid w:val="00AC3CEE"/>
    <w:rsid w:val="00AC4496"/>
    <w:rsid w:val="00AC4702"/>
    <w:rsid w:val="00AC4F0B"/>
    <w:rsid w:val="00AC5B6B"/>
    <w:rsid w:val="00AC5C16"/>
    <w:rsid w:val="00AC5C97"/>
    <w:rsid w:val="00AC5F27"/>
    <w:rsid w:val="00AC613A"/>
    <w:rsid w:val="00AC61C8"/>
    <w:rsid w:val="00AC6C70"/>
    <w:rsid w:val="00AC74AE"/>
    <w:rsid w:val="00AC7655"/>
    <w:rsid w:val="00AD1A5E"/>
    <w:rsid w:val="00AD1F3A"/>
    <w:rsid w:val="00AD28FD"/>
    <w:rsid w:val="00AD2B5E"/>
    <w:rsid w:val="00AD2F9A"/>
    <w:rsid w:val="00AD3BBE"/>
    <w:rsid w:val="00AD4F40"/>
    <w:rsid w:val="00AD5F26"/>
    <w:rsid w:val="00AD6F80"/>
    <w:rsid w:val="00AD7474"/>
    <w:rsid w:val="00AD7981"/>
    <w:rsid w:val="00AE005F"/>
    <w:rsid w:val="00AE062D"/>
    <w:rsid w:val="00AE0665"/>
    <w:rsid w:val="00AE100F"/>
    <w:rsid w:val="00AE219B"/>
    <w:rsid w:val="00AE3D60"/>
    <w:rsid w:val="00AE4EB1"/>
    <w:rsid w:val="00AE52BA"/>
    <w:rsid w:val="00AE59BD"/>
    <w:rsid w:val="00AE5CAB"/>
    <w:rsid w:val="00AE5EDB"/>
    <w:rsid w:val="00AE67EF"/>
    <w:rsid w:val="00AE7BE3"/>
    <w:rsid w:val="00AF0427"/>
    <w:rsid w:val="00AF178C"/>
    <w:rsid w:val="00AF27E3"/>
    <w:rsid w:val="00AF3BD3"/>
    <w:rsid w:val="00AF458C"/>
    <w:rsid w:val="00AF48EF"/>
    <w:rsid w:val="00AF4ABA"/>
    <w:rsid w:val="00AF5B13"/>
    <w:rsid w:val="00AF7106"/>
    <w:rsid w:val="00B000DA"/>
    <w:rsid w:val="00B00392"/>
    <w:rsid w:val="00B010F2"/>
    <w:rsid w:val="00B031A1"/>
    <w:rsid w:val="00B044F5"/>
    <w:rsid w:val="00B0461E"/>
    <w:rsid w:val="00B046F1"/>
    <w:rsid w:val="00B04E37"/>
    <w:rsid w:val="00B0516E"/>
    <w:rsid w:val="00B0638C"/>
    <w:rsid w:val="00B06B82"/>
    <w:rsid w:val="00B07594"/>
    <w:rsid w:val="00B11313"/>
    <w:rsid w:val="00B1200F"/>
    <w:rsid w:val="00B13038"/>
    <w:rsid w:val="00B130F6"/>
    <w:rsid w:val="00B1344D"/>
    <w:rsid w:val="00B13AE8"/>
    <w:rsid w:val="00B151FE"/>
    <w:rsid w:val="00B167B3"/>
    <w:rsid w:val="00B16EFD"/>
    <w:rsid w:val="00B17495"/>
    <w:rsid w:val="00B1776C"/>
    <w:rsid w:val="00B17A39"/>
    <w:rsid w:val="00B204E6"/>
    <w:rsid w:val="00B20864"/>
    <w:rsid w:val="00B20C5D"/>
    <w:rsid w:val="00B21FA8"/>
    <w:rsid w:val="00B22058"/>
    <w:rsid w:val="00B221AB"/>
    <w:rsid w:val="00B230F6"/>
    <w:rsid w:val="00B238FF"/>
    <w:rsid w:val="00B24620"/>
    <w:rsid w:val="00B24835"/>
    <w:rsid w:val="00B24C78"/>
    <w:rsid w:val="00B25644"/>
    <w:rsid w:val="00B25F58"/>
    <w:rsid w:val="00B25F60"/>
    <w:rsid w:val="00B27901"/>
    <w:rsid w:val="00B27AEE"/>
    <w:rsid w:val="00B31217"/>
    <w:rsid w:val="00B31A4C"/>
    <w:rsid w:val="00B33306"/>
    <w:rsid w:val="00B33BB5"/>
    <w:rsid w:val="00B350C2"/>
    <w:rsid w:val="00B357F8"/>
    <w:rsid w:val="00B3595F"/>
    <w:rsid w:val="00B37B57"/>
    <w:rsid w:val="00B40300"/>
    <w:rsid w:val="00B40FEF"/>
    <w:rsid w:val="00B41606"/>
    <w:rsid w:val="00B42936"/>
    <w:rsid w:val="00B44596"/>
    <w:rsid w:val="00B44BC1"/>
    <w:rsid w:val="00B45512"/>
    <w:rsid w:val="00B45765"/>
    <w:rsid w:val="00B45D3D"/>
    <w:rsid w:val="00B461B3"/>
    <w:rsid w:val="00B46B32"/>
    <w:rsid w:val="00B46F1F"/>
    <w:rsid w:val="00B46F92"/>
    <w:rsid w:val="00B471C1"/>
    <w:rsid w:val="00B47425"/>
    <w:rsid w:val="00B47D0E"/>
    <w:rsid w:val="00B5020C"/>
    <w:rsid w:val="00B502A0"/>
    <w:rsid w:val="00B51C00"/>
    <w:rsid w:val="00B5317F"/>
    <w:rsid w:val="00B53378"/>
    <w:rsid w:val="00B53E0E"/>
    <w:rsid w:val="00B543F4"/>
    <w:rsid w:val="00B54C18"/>
    <w:rsid w:val="00B5666B"/>
    <w:rsid w:val="00B56763"/>
    <w:rsid w:val="00B57DE7"/>
    <w:rsid w:val="00B57E68"/>
    <w:rsid w:val="00B604D8"/>
    <w:rsid w:val="00B60E63"/>
    <w:rsid w:val="00B60F62"/>
    <w:rsid w:val="00B621F2"/>
    <w:rsid w:val="00B62A78"/>
    <w:rsid w:val="00B63976"/>
    <w:rsid w:val="00B63C71"/>
    <w:rsid w:val="00B659E8"/>
    <w:rsid w:val="00B65EB4"/>
    <w:rsid w:val="00B663B0"/>
    <w:rsid w:val="00B66FA7"/>
    <w:rsid w:val="00B67858"/>
    <w:rsid w:val="00B70AFC"/>
    <w:rsid w:val="00B70CF6"/>
    <w:rsid w:val="00B70E54"/>
    <w:rsid w:val="00B71398"/>
    <w:rsid w:val="00B71623"/>
    <w:rsid w:val="00B71DB2"/>
    <w:rsid w:val="00B7375C"/>
    <w:rsid w:val="00B74289"/>
    <w:rsid w:val="00B74DF7"/>
    <w:rsid w:val="00B759F2"/>
    <w:rsid w:val="00B75D52"/>
    <w:rsid w:val="00B76503"/>
    <w:rsid w:val="00B779A5"/>
    <w:rsid w:val="00B77A9B"/>
    <w:rsid w:val="00B80EAE"/>
    <w:rsid w:val="00B8142B"/>
    <w:rsid w:val="00B81555"/>
    <w:rsid w:val="00B82A1F"/>
    <w:rsid w:val="00B82C76"/>
    <w:rsid w:val="00B82F5A"/>
    <w:rsid w:val="00B84970"/>
    <w:rsid w:val="00B84C2C"/>
    <w:rsid w:val="00B8550F"/>
    <w:rsid w:val="00B85605"/>
    <w:rsid w:val="00B85747"/>
    <w:rsid w:val="00B85D29"/>
    <w:rsid w:val="00B85F4F"/>
    <w:rsid w:val="00B90BE8"/>
    <w:rsid w:val="00B9188A"/>
    <w:rsid w:val="00B91A5A"/>
    <w:rsid w:val="00B92FD1"/>
    <w:rsid w:val="00B93590"/>
    <w:rsid w:val="00B9382C"/>
    <w:rsid w:val="00B93A41"/>
    <w:rsid w:val="00B93A4A"/>
    <w:rsid w:val="00B93BAE"/>
    <w:rsid w:val="00B949E7"/>
    <w:rsid w:val="00B95102"/>
    <w:rsid w:val="00B95978"/>
    <w:rsid w:val="00B95D6F"/>
    <w:rsid w:val="00B95F6B"/>
    <w:rsid w:val="00B964F3"/>
    <w:rsid w:val="00B97269"/>
    <w:rsid w:val="00B974A4"/>
    <w:rsid w:val="00BA15B1"/>
    <w:rsid w:val="00BA22F1"/>
    <w:rsid w:val="00BA30A9"/>
    <w:rsid w:val="00BA3274"/>
    <w:rsid w:val="00BA3D68"/>
    <w:rsid w:val="00BA3E74"/>
    <w:rsid w:val="00BA4064"/>
    <w:rsid w:val="00BA4700"/>
    <w:rsid w:val="00BA4CC8"/>
    <w:rsid w:val="00BA547A"/>
    <w:rsid w:val="00BA58BB"/>
    <w:rsid w:val="00BA5F77"/>
    <w:rsid w:val="00BA6765"/>
    <w:rsid w:val="00BA6EA5"/>
    <w:rsid w:val="00BA71E0"/>
    <w:rsid w:val="00BA72DF"/>
    <w:rsid w:val="00BA75C4"/>
    <w:rsid w:val="00BA76EA"/>
    <w:rsid w:val="00BB169B"/>
    <w:rsid w:val="00BB1B93"/>
    <w:rsid w:val="00BB29E1"/>
    <w:rsid w:val="00BB2D24"/>
    <w:rsid w:val="00BB322B"/>
    <w:rsid w:val="00BB51E9"/>
    <w:rsid w:val="00BB526D"/>
    <w:rsid w:val="00BB58AD"/>
    <w:rsid w:val="00BB59E2"/>
    <w:rsid w:val="00BB6B82"/>
    <w:rsid w:val="00BB72EB"/>
    <w:rsid w:val="00BB78BF"/>
    <w:rsid w:val="00BC03EA"/>
    <w:rsid w:val="00BC2610"/>
    <w:rsid w:val="00BC26BB"/>
    <w:rsid w:val="00BC2743"/>
    <w:rsid w:val="00BC27FD"/>
    <w:rsid w:val="00BC29F7"/>
    <w:rsid w:val="00BC2BEE"/>
    <w:rsid w:val="00BC317C"/>
    <w:rsid w:val="00BC3A89"/>
    <w:rsid w:val="00BC3C11"/>
    <w:rsid w:val="00BC3E32"/>
    <w:rsid w:val="00BC4B4B"/>
    <w:rsid w:val="00BC5E40"/>
    <w:rsid w:val="00BC6765"/>
    <w:rsid w:val="00BC749D"/>
    <w:rsid w:val="00BC755E"/>
    <w:rsid w:val="00BC76A4"/>
    <w:rsid w:val="00BD0281"/>
    <w:rsid w:val="00BD0460"/>
    <w:rsid w:val="00BD05C4"/>
    <w:rsid w:val="00BD0A0F"/>
    <w:rsid w:val="00BD0ACF"/>
    <w:rsid w:val="00BD15CA"/>
    <w:rsid w:val="00BD18EC"/>
    <w:rsid w:val="00BD235B"/>
    <w:rsid w:val="00BD2741"/>
    <w:rsid w:val="00BD2AD1"/>
    <w:rsid w:val="00BD36E5"/>
    <w:rsid w:val="00BD4DE2"/>
    <w:rsid w:val="00BD630E"/>
    <w:rsid w:val="00BD6991"/>
    <w:rsid w:val="00BD774C"/>
    <w:rsid w:val="00BE056B"/>
    <w:rsid w:val="00BE0BBA"/>
    <w:rsid w:val="00BE0EBC"/>
    <w:rsid w:val="00BE1431"/>
    <w:rsid w:val="00BE1FA4"/>
    <w:rsid w:val="00BE2814"/>
    <w:rsid w:val="00BE29F5"/>
    <w:rsid w:val="00BE2A83"/>
    <w:rsid w:val="00BE303B"/>
    <w:rsid w:val="00BE3274"/>
    <w:rsid w:val="00BE3C47"/>
    <w:rsid w:val="00BE3C6E"/>
    <w:rsid w:val="00BE49C1"/>
    <w:rsid w:val="00BE5783"/>
    <w:rsid w:val="00BE7409"/>
    <w:rsid w:val="00BE7C5A"/>
    <w:rsid w:val="00BF114F"/>
    <w:rsid w:val="00BF12A2"/>
    <w:rsid w:val="00BF17D1"/>
    <w:rsid w:val="00BF1924"/>
    <w:rsid w:val="00BF1F9D"/>
    <w:rsid w:val="00BF3471"/>
    <w:rsid w:val="00BF36B9"/>
    <w:rsid w:val="00BF381A"/>
    <w:rsid w:val="00BF424C"/>
    <w:rsid w:val="00BF505E"/>
    <w:rsid w:val="00BF5A72"/>
    <w:rsid w:val="00BF5A93"/>
    <w:rsid w:val="00BF6111"/>
    <w:rsid w:val="00BF620D"/>
    <w:rsid w:val="00BF683C"/>
    <w:rsid w:val="00BF6BC6"/>
    <w:rsid w:val="00BF7BA1"/>
    <w:rsid w:val="00C0025B"/>
    <w:rsid w:val="00C00CB3"/>
    <w:rsid w:val="00C00DC4"/>
    <w:rsid w:val="00C01726"/>
    <w:rsid w:val="00C01DF2"/>
    <w:rsid w:val="00C02FF3"/>
    <w:rsid w:val="00C03303"/>
    <w:rsid w:val="00C0364C"/>
    <w:rsid w:val="00C0379D"/>
    <w:rsid w:val="00C0382E"/>
    <w:rsid w:val="00C03AA1"/>
    <w:rsid w:val="00C04603"/>
    <w:rsid w:val="00C04A4C"/>
    <w:rsid w:val="00C04C04"/>
    <w:rsid w:val="00C050F6"/>
    <w:rsid w:val="00C05D5B"/>
    <w:rsid w:val="00C06CE4"/>
    <w:rsid w:val="00C070CF"/>
    <w:rsid w:val="00C07834"/>
    <w:rsid w:val="00C10414"/>
    <w:rsid w:val="00C11851"/>
    <w:rsid w:val="00C11B30"/>
    <w:rsid w:val="00C11D95"/>
    <w:rsid w:val="00C11E21"/>
    <w:rsid w:val="00C136A6"/>
    <w:rsid w:val="00C137F4"/>
    <w:rsid w:val="00C13A30"/>
    <w:rsid w:val="00C13B1B"/>
    <w:rsid w:val="00C13C42"/>
    <w:rsid w:val="00C13EF8"/>
    <w:rsid w:val="00C14003"/>
    <w:rsid w:val="00C14028"/>
    <w:rsid w:val="00C1426D"/>
    <w:rsid w:val="00C148C2"/>
    <w:rsid w:val="00C14E7A"/>
    <w:rsid w:val="00C1502D"/>
    <w:rsid w:val="00C15505"/>
    <w:rsid w:val="00C15AE7"/>
    <w:rsid w:val="00C15C58"/>
    <w:rsid w:val="00C15E0C"/>
    <w:rsid w:val="00C1684C"/>
    <w:rsid w:val="00C170F6"/>
    <w:rsid w:val="00C17826"/>
    <w:rsid w:val="00C17A19"/>
    <w:rsid w:val="00C17B73"/>
    <w:rsid w:val="00C17BC6"/>
    <w:rsid w:val="00C207FC"/>
    <w:rsid w:val="00C21299"/>
    <w:rsid w:val="00C21B2A"/>
    <w:rsid w:val="00C22789"/>
    <w:rsid w:val="00C22E4B"/>
    <w:rsid w:val="00C22EBB"/>
    <w:rsid w:val="00C24B05"/>
    <w:rsid w:val="00C24B21"/>
    <w:rsid w:val="00C24F18"/>
    <w:rsid w:val="00C25332"/>
    <w:rsid w:val="00C259DA"/>
    <w:rsid w:val="00C2647F"/>
    <w:rsid w:val="00C266E2"/>
    <w:rsid w:val="00C26F27"/>
    <w:rsid w:val="00C2708A"/>
    <w:rsid w:val="00C271E2"/>
    <w:rsid w:val="00C30BF8"/>
    <w:rsid w:val="00C312DD"/>
    <w:rsid w:val="00C31A39"/>
    <w:rsid w:val="00C331B1"/>
    <w:rsid w:val="00C33C12"/>
    <w:rsid w:val="00C349B0"/>
    <w:rsid w:val="00C34DA8"/>
    <w:rsid w:val="00C358A1"/>
    <w:rsid w:val="00C36246"/>
    <w:rsid w:val="00C36D2E"/>
    <w:rsid w:val="00C3716E"/>
    <w:rsid w:val="00C37C17"/>
    <w:rsid w:val="00C37E4F"/>
    <w:rsid w:val="00C40738"/>
    <w:rsid w:val="00C40997"/>
    <w:rsid w:val="00C41C1C"/>
    <w:rsid w:val="00C421D7"/>
    <w:rsid w:val="00C43542"/>
    <w:rsid w:val="00C443C9"/>
    <w:rsid w:val="00C45260"/>
    <w:rsid w:val="00C45537"/>
    <w:rsid w:val="00C45986"/>
    <w:rsid w:val="00C45A90"/>
    <w:rsid w:val="00C46F12"/>
    <w:rsid w:val="00C47183"/>
    <w:rsid w:val="00C47788"/>
    <w:rsid w:val="00C47A81"/>
    <w:rsid w:val="00C47C02"/>
    <w:rsid w:val="00C47F57"/>
    <w:rsid w:val="00C50011"/>
    <w:rsid w:val="00C50764"/>
    <w:rsid w:val="00C51D88"/>
    <w:rsid w:val="00C521E8"/>
    <w:rsid w:val="00C52351"/>
    <w:rsid w:val="00C52612"/>
    <w:rsid w:val="00C53687"/>
    <w:rsid w:val="00C53CCA"/>
    <w:rsid w:val="00C53DDA"/>
    <w:rsid w:val="00C54217"/>
    <w:rsid w:val="00C5427A"/>
    <w:rsid w:val="00C54995"/>
    <w:rsid w:val="00C54A9A"/>
    <w:rsid w:val="00C55529"/>
    <w:rsid w:val="00C55A54"/>
    <w:rsid w:val="00C56132"/>
    <w:rsid w:val="00C5724D"/>
    <w:rsid w:val="00C57EDD"/>
    <w:rsid w:val="00C60656"/>
    <w:rsid w:val="00C60678"/>
    <w:rsid w:val="00C607FC"/>
    <w:rsid w:val="00C60DCA"/>
    <w:rsid w:val="00C613FE"/>
    <w:rsid w:val="00C627F5"/>
    <w:rsid w:val="00C63C4D"/>
    <w:rsid w:val="00C63D48"/>
    <w:rsid w:val="00C64AF0"/>
    <w:rsid w:val="00C64B75"/>
    <w:rsid w:val="00C64DFD"/>
    <w:rsid w:val="00C65E41"/>
    <w:rsid w:val="00C6611A"/>
    <w:rsid w:val="00C6617F"/>
    <w:rsid w:val="00C665D0"/>
    <w:rsid w:val="00C67AD9"/>
    <w:rsid w:val="00C706E1"/>
    <w:rsid w:val="00C7079E"/>
    <w:rsid w:val="00C70A1A"/>
    <w:rsid w:val="00C72A52"/>
    <w:rsid w:val="00C72CC8"/>
    <w:rsid w:val="00C73630"/>
    <w:rsid w:val="00C7475A"/>
    <w:rsid w:val="00C75053"/>
    <w:rsid w:val="00C7506E"/>
    <w:rsid w:val="00C750DD"/>
    <w:rsid w:val="00C7528E"/>
    <w:rsid w:val="00C752CB"/>
    <w:rsid w:val="00C7583B"/>
    <w:rsid w:val="00C75860"/>
    <w:rsid w:val="00C75D76"/>
    <w:rsid w:val="00C76460"/>
    <w:rsid w:val="00C767CC"/>
    <w:rsid w:val="00C76A25"/>
    <w:rsid w:val="00C77360"/>
    <w:rsid w:val="00C775C0"/>
    <w:rsid w:val="00C77BD3"/>
    <w:rsid w:val="00C8027C"/>
    <w:rsid w:val="00C80936"/>
    <w:rsid w:val="00C80A6C"/>
    <w:rsid w:val="00C80ED0"/>
    <w:rsid w:val="00C82B12"/>
    <w:rsid w:val="00C82FBF"/>
    <w:rsid w:val="00C834C8"/>
    <w:rsid w:val="00C837EE"/>
    <w:rsid w:val="00C83CD4"/>
    <w:rsid w:val="00C847DD"/>
    <w:rsid w:val="00C854A5"/>
    <w:rsid w:val="00C85EF9"/>
    <w:rsid w:val="00C86016"/>
    <w:rsid w:val="00C863AE"/>
    <w:rsid w:val="00C86FE4"/>
    <w:rsid w:val="00C871A7"/>
    <w:rsid w:val="00C873F7"/>
    <w:rsid w:val="00C876FA"/>
    <w:rsid w:val="00C879BD"/>
    <w:rsid w:val="00C905F9"/>
    <w:rsid w:val="00C906DD"/>
    <w:rsid w:val="00C914B6"/>
    <w:rsid w:val="00C9313A"/>
    <w:rsid w:val="00C9341D"/>
    <w:rsid w:val="00C9360C"/>
    <w:rsid w:val="00C93CB2"/>
    <w:rsid w:val="00C93FFB"/>
    <w:rsid w:val="00C94867"/>
    <w:rsid w:val="00C94D61"/>
    <w:rsid w:val="00C960E6"/>
    <w:rsid w:val="00C96611"/>
    <w:rsid w:val="00C96A35"/>
    <w:rsid w:val="00C979D7"/>
    <w:rsid w:val="00C97A1D"/>
    <w:rsid w:val="00CA0646"/>
    <w:rsid w:val="00CA0B54"/>
    <w:rsid w:val="00CA12D8"/>
    <w:rsid w:val="00CA1638"/>
    <w:rsid w:val="00CA2911"/>
    <w:rsid w:val="00CA2972"/>
    <w:rsid w:val="00CA34C4"/>
    <w:rsid w:val="00CA3567"/>
    <w:rsid w:val="00CA3CDF"/>
    <w:rsid w:val="00CA3F16"/>
    <w:rsid w:val="00CA4C0C"/>
    <w:rsid w:val="00CA5DF9"/>
    <w:rsid w:val="00CA702A"/>
    <w:rsid w:val="00CA74CB"/>
    <w:rsid w:val="00CA79F5"/>
    <w:rsid w:val="00CB1B35"/>
    <w:rsid w:val="00CB1F13"/>
    <w:rsid w:val="00CB2100"/>
    <w:rsid w:val="00CB2BEC"/>
    <w:rsid w:val="00CB445F"/>
    <w:rsid w:val="00CB47B5"/>
    <w:rsid w:val="00CB52D0"/>
    <w:rsid w:val="00CB5359"/>
    <w:rsid w:val="00CB53D5"/>
    <w:rsid w:val="00CB6CB5"/>
    <w:rsid w:val="00CB71C8"/>
    <w:rsid w:val="00CB750E"/>
    <w:rsid w:val="00CB76A6"/>
    <w:rsid w:val="00CB7928"/>
    <w:rsid w:val="00CC08EC"/>
    <w:rsid w:val="00CC1BFC"/>
    <w:rsid w:val="00CC2096"/>
    <w:rsid w:val="00CC2976"/>
    <w:rsid w:val="00CC3CED"/>
    <w:rsid w:val="00CC56F8"/>
    <w:rsid w:val="00CC5B3B"/>
    <w:rsid w:val="00CC7085"/>
    <w:rsid w:val="00CD04D0"/>
    <w:rsid w:val="00CD15BA"/>
    <w:rsid w:val="00CD27BD"/>
    <w:rsid w:val="00CD3028"/>
    <w:rsid w:val="00CD354B"/>
    <w:rsid w:val="00CD361F"/>
    <w:rsid w:val="00CD3854"/>
    <w:rsid w:val="00CD3CFE"/>
    <w:rsid w:val="00CD3DA0"/>
    <w:rsid w:val="00CD3FF6"/>
    <w:rsid w:val="00CD4E34"/>
    <w:rsid w:val="00CD597D"/>
    <w:rsid w:val="00CD6460"/>
    <w:rsid w:val="00CD73E2"/>
    <w:rsid w:val="00CD7BB3"/>
    <w:rsid w:val="00CE0DE0"/>
    <w:rsid w:val="00CE0FF5"/>
    <w:rsid w:val="00CE11FC"/>
    <w:rsid w:val="00CE1EC8"/>
    <w:rsid w:val="00CE2B02"/>
    <w:rsid w:val="00CE2DDB"/>
    <w:rsid w:val="00CE3813"/>
    <w:rsid w:val="00CE3DA7"/>
    <w:rsid w:val="00CE41F3"/>
    <w:rsid w:val="00CE5015"/>
    <w:rsid w:val="00CE5204"/>
    <w:rsid w:val="00CE53F8"/>
    <w:rsid w:val="00CE5849"/>
    <w:rsid w:val="00CE6F1F"/>
    <w:rsid w:val="00CE77EF"/>
    <w:rsid w:val="00CF02A5"/>
    <w:rsid w:val="00CF1802"/>
    <w:rsid w:val="00CF1C0C"/>
    <w:rsid w:val="00CF31B3"/>
    <w:rsid w:val="00CF382A"/>
    <w:rsid w:val="00CF41FF"/>
    <w:rsid w:val="00CF535F"/>
    <w:rsid w:val="00CF53D5"/>
    <w:rsid w:val="00CF55E4"/>
    <w:rsid w:val="00CF67E1"/>
    <w:rsid w:val="00CF7083"/>
    <w:rsid w:val="00CF78A2"/>
    <w:rsid w:val="00D0033A"/>
    <w:rsid w:val="00D02DEC"/>
    <w:rsid w:val="00D031E7"/>
    <w:rsid w:val="00D0389D"/>
    <w:rsid w:val="00D040C8"/>
    <w:rsid w:val="00D042F6"/>
    <w:rsid w:val="00D04D88"/>
    <w:rsid w:val="00D0661E"/>
    <w:rsid w:val="00D068C2"/>
    <w:rsid w:val="00D06F94"/>
    <w:rsid w:val="00D10C10"/>
    <w:rsid w:val="00D11719"/>
    <w:rsid w:val="00D1389E"/>
    <w:rsid w:val="00D14236"/>
    <w:rsid w:val="00D1537A"/>
    <w:rsid w:val="00D15FE7"/>
    <w:rsid w:val="00D1673D"/>
    <w:rsid w:val="00D16CF9"/>
    <w:rsid w:val="00D17A14"/>
    <w:rsid w:val="00D17D1F"/>
    <w:rsid w:val="00D17E51"/>
    <w:rsid w:val="00D203CA"/>
    <w:rsid w:val="00D20D04"/>
    <w:rsid w:val="00D20F5C"/>
    <w:rsid w:val="00D211CC"/>
    <w:rsid w:val="00D2291D"/>
    <w:rsid w:val="00D22AA7"/>
    <w:rsid w:val="00D22BFA"/>
    <w:rsid w:val="00D231E6"/>
    <w:rsid w:val="00D23ECC"/>
    <w:rsid w:val="00D24A5F"/>
    <w:rsid w:val="00D25507"/>
    <w:rsid w:val="00D2555A"/>
    <w:rsid w:val="00D26534"/>
    <w:rsid w:val="00D302B6"/>
    <w:rsid w:val="00D30720"/>
    <w:rsid w:val="00D31798"/>
    <w:rsid w:val="00D31A26"/>
    <w:rsid w:val="00D339E3"/>
    <w:rsid w:val="00D3415B"/>
    <w:rsid w:val="00D35724"/>
    <w:rsid w:val="00D35C2C"/>
    <w:rsid w:val="00D35EFD"/>
    <w:rsid w:val="00D360BC"/>
    <w:rsid w:val="00D36556"/>
    <w:rsid w:val="00D370A1"/>
    <w:rsid w:val="00D37741"/>
    <w:rsid w:val="00D37795"/>
    <w:rsid w:val="00D40230"/>
    <w:rsid w:val="00D407F8"/>
    <w:rsid w:val="00D41082"/>
    <w:rsid w:val="00D41F1B"/>
    <w:rsid w:val="00D427BF"/>
    <w:rsid w:val="00D428C6"/>
    <w:rsid w:val="00D430CF"/>
    <w:rsid w:val="00D43457"/>
    <w:rsid w:val="00D45893"/>
    <w:rsid w:val="00D45A48"/>
    <w:rsid w:val="00D45F6C"/>
    <w:rsid w:val="00D46702"/>
    <w:rsid w:val="00D470E3"/>
    <w:rsid w:val="00D50B3B"/>
    <w:rsid w:val="00D526D8"/>
    <w:rsid w:val="00D52B26"/>
    <w:rsid w:val="00D531BA"/>
    <w:rsid w:val="00D53A8E"/>
    <w:rsid w:val="00D54016"/>
    <w:rsid w:val="00D54577"/>
    <w:rsid w:val="00D54972"/>
    <w:rsid w:val="00D54DB1"/>
    <w:rsid w:val="00D550BA"/>
    <w:rsid w:val="00D55B2C"/>
    <w:rsid w:val="00D567A6"/>
    <w:rsid w:val="00D56B57"/>
    <w:rsid w:val="00D56D6E"/>
    <w:rsid w:val="00D579ED"/>
    <w:rsid w:val="00D57C3D"/>
    <w:rsid w:val="00D60229"/>
    <w:rsid w:val="00D60AFC"/>
    <w:rsid w:val="00D611C3"/>
    <w:rsid w:val="00D62B58"/>
    <w:rsid w:val="00D6357A"/>
    <w:rsid w:val="00D64027"/>
    <w:rsid w:val="00D64615"/>
    <w:rsid w:val="00D65375"/>
    <w:rsid w:val="00D65CDA"/>
    <w:rsid w:val="00D65E05"/>
    <w:rsid w:val="00D66506"/>
    <w:rsid w:val="00D67360"/>
    <w:rsid w:val="00D6764C"/>
    <w:rsid w:val="00D67E8D"/>
    <w:rsid w:val="00D704DD"/>
    <w:rsid w:val="00D71118"/>
    <w:rsid w:val="00D71B95"/>
    <w:rsid w:val="00D72094"/>
    <w:rsid w:val="00D74141"/>
    <w:rsid w:val="00D747E1"/>
    <w:rsid w:val="00D74E41"/>
    <w:rsid w:val="00D76379"/>
    <w:rsid w:val="00D76C69"/>
    <w:rsid w:val="00D76DED"/>
    <w:rsid w:val="00D772E0"/>
    <w:rsid w:val="00D77C62"/>
    <w:rsid w:val="00D77CB1"/>
    <w:rsid w:val="00D80151"/>
    <w:rsid w:val="00D80606"/>
    <w:rsid w:val="00D81578"/>
    <w:rsid w:val="00D818CC"/>
    <w:rsid w:val="00D81C1F"/>
    <w:rsid w:val="00D84925"/>
    <w:rsid w:val="00D85C9F"/>
    <w:rsid w:val="00D85F3F"/>
    <w:rsid w:val="00D8652B"/>
    <w:rsid w:val="00D866AA"/>
    <w:rsid w:val="00D87A8B"/>
    <w:rsid w:val="00D90BF2"/>
    <w:rsid w:val="00D910A8"/>
    <w:rsid w:val="00D91434"/>
    <w:rsid w:val="00D9270F"/>
    <w:rsid w:val="00D92B96"/>
    <w:rsid w:val="00D92C60"/>
    <w:rsid w:val="00D92DE1"/>
    <w:rsid w:val="00D934AF"/>
    <w:rsid w:val="00D94B54"/>
    <w:rsid w:val="00D95A33"/>
    <w:rsid w:val="00D9623B"/>
    <w:rsid w:val="00D96D87"/>
    <w:rsid w:val="00D96F22"/>
    <w:rsid w:val="00D97355"/>
    <w:rsid w:val="00D9739A"/>
    <w:rsid w:val="00D97D98"/>
    <w:rsid w:val="00DA0A29"/>
    <w:rsid w:val="00DA35F6"/>
    <w:rsid w:val="00DA3F03"/>
    <w:rsid w:val="00DA55F8"/>
    <w:rsid w:val="00DA5E41"/>
    <w:rsid w:val="00DA67DB"/>
    <w:rsid w:val="00DA68E7"/>
    <w:rsid w:val="00DA6C44"/>
    <w:rsid w:val="00DA6E89"/>
    <w:rsid w:val="00DA7133"/>
    <w:rsid w:val="00DA718B"/>
    <w:rsid w:val="00DB0D40"/>
    <w:rsid w:val="00DB1717"/>
    <w:rsid w:val="00DB1B20"/>
    <w:rsid w:val="00DB24FD"/>
    <w:rsid w:val="00DB2AA5"/>
    <w:rsid w:val="00DB2F8F"/>
    <w:rsid w:val="00DB3B0A"/>
    <w:rsid w:val="00DB4A9A"/>
    <w:rsid w:val="00DB5EDA"/>
    <w:rsid w:val="00DB5F75"/>
    <w:rsid w:val="00DB600A"/>
    <w:rsid w:val="00DB70B8"/>
    <w:rsid w:val="00DC05C8"/>
    <w:rsid w:val="00DC0617"/>
    <w:rsid w:val="00DC2C9B"/>
    <w:rsid w:val="00DC30E8"/>
    <w:rsid w:val="00DC32C3"/>
    <w:rsid w:val="00DC37E3"/>
    <w:rsid w:val="00DC4C6E"/>
    <w:rsid w:val="00DC5444"/>
    <w:rsid w:val="00DC567D"/>
    <w:rsid w:val="00DC5873"/>
    <w:rsid w:val="00DC6F1B"/>
    <w:rsid w:val="00DD091F"/>
    <w:rsid w:val="00DD17DD"/>
    <w:rsid w:val="00DD1A60"/>
    <w:rsid w:val="00DD1BC1"/>
    <w:rsid w:val="00DD2127"/>
    <w:rsid w:val="00DD2140"/>
    <w:rsid w:val="00DD3161"/>
    <w:rsid w:val="00DD3372"/>
    <w:rsid w:val="00DD3A0B"/>
    <w:rsid w:val="00DD4730"/>
    <w:rsid w:val="00DD4C73"/>
    <w:rsid w:val="00DD58E9"/>
    <w:rsid w:val="00DD5AD8"/>
    <w:rsid w:val="00DD5DFE"/>
    <w:rsid w:val="00DD61C0"/>
    <w:rsid w:val="00DD655C"/>
    <w:rsid w:val="00DD69A5"/>
    <w:rsid w:val="00DD75B4"/>
    <w:rsid w:val="00DE03D6"/>
    <w:rsid w:val="00DE0495"/>
    <w:rsid w:val="00DE0551"/>
    <w:rsid w:val="00DE0ACE"/>
    <w:rsid w:val="00DE1D80"/>
    <w:rsid w:val="00DE1F2C"/>
    <w:rsid w:val="00DE2927"/>
    <w:rsid w:val="00DE2B16"/>
    <w:rsid w:val="00DE2DD0"/>
    <w:rsid w:val="00DE2FD5"/>
    <w:rsid w:val="00DE4D11"/>
    <w:rsid w:val="00DE6005"/>
    <w:rsid w:val="00DF0383"/>
    <w:rsid w:val="00DF0AB3"/>
    <w:rsid w:val="00DF10D0"/>
    <w:rsid w:val="00DF15D2"/>
    <w:rsid w:val="00DF1D84"/>
    <w:rsid w:val="00DF2470"/>
    <w:rsid w:val="00DF3821"/>
    <w:rsid w:val="00DF42C7"/>
    <w:rsid w:val="00DF4E56"/>
    <w:rsid w:val="00DF53D4"/>
    <w:rsid w:val="00DF610B"/>
    <w:rsid w:val="00DF647B"/>
    <w:rsid w:val="00DF6817"/>
    <w:rsid w:val="00DF6C66"/>
    <w:rsid w:val="00DF759D"/>
    <w:rsid w:val="00E00639"/>
    <w:rsid w:val="00E00AA6"/>
    <w:rsid w:val="00E03219"/>
    <w:rsid w:val="00E03339"/>
    <w:rsid w:val="00E0361D"/>
    <w:rsid w:val="00E05563"/>
    <w:rsid w:val="00E05800"/>
    <w:rsid w:val="00E061CF"/>
    <w:rsid w:val="00E06554"/>
    <w:rsid w:val="00E06D81"/>
    <w:rsid w:val="00E07134"/>
    <w:rsid w:val="00E0772D"/>
    <w:rsid w:val="00E10EAA"/>
    <w:rsid w:val="00E11BE5"/>
    <w:rsid w:val="00E141C4"/>
    <w:rsid w:val="00E15A5C"/>
    <w:rsid w:val="00E161BF"/>
    <w:rsid w:val="00E16DF4"/>
    <w:rsid w:val="00E179B9"/>
    <w:rsid w:val="00E17C50"/>
    <w:rsid w:val="00E202B5"/>
    <w:rsid w:val="00E20779"/>
    <w:rsid w:val="00E21013"/>
    <w:rsid w:val="00E2152F"/>
    <w:rsid w:val="00E219A5"/>
    <w:rsid w:val="00E21CEC"/>
    <w:rsid w:val="00E21F2C"/>
    <w:rsid w:val="00E22032"/>
    <w:rsid w:val="00E2207F"/>
    <w:rsid w:val="00E223E6"/>
    <w:rsid w:val="00E230AC"/>
    <w:rsid w:val="00E23265"/>
    <w:rsid w:val="00E23B4E"/>
    <w:rsid w:val="00E24410"/>
    <w:rsid w:val="00E25888"/>
    <w:rsid w:val="00E25DF7"/>
    <w:rsid w:val="00E25FF4"/>
    <w:rsid w:val="00E26594"/>
    <w:rsid w:val="00E27535"/>
    <w:rsid w:val="00E276B8"/>
    <w:rsid w:val="00E304E6"/>
    <w:rsid w:val="00E306BE"/>
    <w:rsid w:val="00E30D2F"/>
    <w:rsid w:val="00E31776"/>
    <w:rsid w:val="00E32B59"/>
    <w:rsid w:val="00E32E29"/>
    <w:rsid w:val="00E3339C"/>
    <w:rsid w:val="00E33497"/>
    <w:rsid w:val="00E3365B"/>
    <w:rsid w:val="00E33732"/>
    <w:rsid w:val="00E34858"/>
    <w:rsid w:val="00E3494D"/>
    <w:rsid w:val="00E34ACC"/>
    <w:rsid w:val="00E360AD"/>
    <w:rsid w:val="00E36862"/>
    <w:rsid w:val="00E373A8"/>
    <w:rsid w:val="00E37D24"/>
    <w:rsid w:val="00E40DED"/>
    <w:rsid w:val="00E40E2A"/>
    <w:rsid w:val="00E426EF"/>
    <w:rsid w:val="00E426FD"/>
    <w:rsid w:val="00E42909"/>
    <w:rsid w:val="00E43477"/>
    <w:rsid w:val="00E448E8"/>
    <w:rsid w:val="00E44D5E"/>
    <w:rsid w:val="00E4508F"/>
    <w:rsid w:val="00E45AAA"/>
    <w:rsid w:val="00E46AEB"/>
    <w:rsid w:val="00E47FEC"/>
    <w:rsid w:val="00E508F2"/>
    <w:rsid w:val="00E50C5B"/>
    <w:rsid w:val="00E50E40"/>
    <w:rsid w:val="00E52159"/>
    <w:rsid w:val="00E526F9"/>
    <w:rsid w:val="00E53623"/>
    <w:rsid w:val="00E53E98"/>
    <w:rsid w:val="00E54095"/>
    <w:rsid w:val="00E541F8"/>
    <w:rsid w:val="00E543B7"/>
    <w:rsid w:val="00E543E8"/>
    <w:rsid w:val="00E5465D"/>
    <w:rsid w:val="00E5472B"/>
    <w:rsid w:val="00E54D9A"/>
    <w:rsid w:val="00E55858"/>
    <w:rsid w:val="00E55C0F"/>
    <w:rsid w:val="00E55D59"/>
    <w:rsid w:val="00E56330"/>
    <w:rsid w:val="00E56373"/>
    <w:rsid w:val="00E5637D"/>
    <w:rsid w:val="00E5685B"/>
    <w:rsid w:val="00E5792B"/>
    <w:rsid w:val="00E60A3A"/>
    <w:rsid w:val="00E616B3"/>
    <w:rsid w:val="00E6323C"/>
    <w:rsid w:val="00E63ADF"/>
    <w:rsid w:val="00E646A4"/>
    <w:rsid w:val="00E64B76"/>
    <w:rsid w:val="00E65CBB"/>
    <w:rsid w:val="00E6650D"/>
    <w:rsid w:val="00E66529"/>
    <w:rsid w:val="00E6691C"/>
    <w:rsid w:val="00E7195E"/>
    <w:rsid w:val="00E71E08"/>
    <w:rsid w:val="00E7276F"/>
    <w:rsid w:val="00E73051"/>
    <w:rsid w:val="00E730F1"/>
    <w:rsid w:val="00E73183"/>
    <w:rsid w:val="00E73AFE"/>
    <w:rsid w:val="00E73C1A"/>
    <w:rsid w:val="00E74127"/>
    <w:rsid w:val="00E74D4A"/>
    <w:rsid w:val="00E751BE"/>
    <w:rsid w:val="00E76793"/>
    <w:rsid w:val="00E7699D"/>
    <w:rsid w:val="00E76E34"/>
    <w:rsid w:val="00E777F0"/>
    <w:rsid w:val="00E81057"/>
    <w:rsid w:val="00E813B2"/>
    <w:rsid w:val="00E82266"/>
    <w:rsid w:val="00E82C8B"/>
    <w:rsid w:val="00E843E1"/>
    <w:rsid w:val="00E845E2"/>
    <w:rsid w:val="00E84E07"/>
    <w:rsid w:val="00E84ED5"/>
    <w:rsid w:val="00E8569F"/>
    <w:rsid w:val="00E86817"/>
    <w:rsid w:val="00E86E08"/>
    <w:rsid w:val="00E87B36"/>
    <w:rsid w:val="00E87F60"/>
    <w:rsid w:val="00E90312"/>
    <w:rsid w:val="00E90662"/>
    <w:rsid w:val="00E91C39"/>
    <w:rsid w:val="00E923EC"/>
    <w:rsid w:val="00E92CC1"/>
    <w:rsid w:val="00E9455A"/>
    <w:rsid w:val="00E959C2"/>
    <w:rsid w:val="00E95AE3"/>
    <w:rsid w:val="00E95D22"/>
    <w:rsid w:val="00E95DC0"/>
    <w:rsid w:val="00E96213"/>
    <w:rsid w:val="00E96759"/>
    <w:rsid w:val="00E96AA2"/>
    <w:rsid w:val="00E96BD0"/>
    <w:rsid w:val="00E97006"/>
    <w:rsid w:val="00E97604"/>
    <w:rsid w:val="00E97AA0"/>
    <w:rsid w:val="00EA0FDF"/>
    <w:rsid w:val="00EA1745"/>
    <w:rsid w:val="00EA21F4"/>
    <w:rsid w:val="00EA27AF"/>
    <w:rsid w:val="00EA28B1"/>
    <w:rsid w:val="00EA2AE6"/>
    <w:rsid w:val="00EA3482"/>
    <w:rsid w:val="00EA388A"/>
    <w:rsid w:val="00EA391D"/>
    <w:rsid w:val="00EA3AF8"/>
    <w:rsid w:val="00EA3E2A"/>
    <w:rsid w:val="00EA4386"/>
    <w:rsid w:val="00EA7576"/>
    <w:rsid w:val="00EA7DAB"/>
    <w:rsid w:val="00EB0BAD"/>
    <w:rsid w:val="00EB121C"/>
    <w:rsid w:val="00EB1368"/>
    <w:rsid w:val="00EB2307"/>
    <w:rsid w:val="00EB28F9"/>
    <w:rsid w:val="00EB320A"/>
    <w:rsid w:val="00EB336D"/>
    <w:rsid w:val="00EB3CC9"/>
    <w:rsid w:val="00EB4288"/>
    <w:rsid w:val="00EB45D5"/>
    <w:rsid w:val="00EB4FE3"/>
    <w:rsid w:val="00EB5A98"/>
    <w:rsid w:val="00EB5E60"/>
    <w:rsid w:val="00EB671E"/>
    <w:rsid w:val="00EB6D0E"/>
    <w:rsid w:val="00EB7258"/>
    <w:rsid w:val="00EB7C91"/>
    <w:rsid w:val="00EC02B9"/>
    <w:rsid w:val="00EC1A77"/>
    <w:rsid w:val="00EC1E09"/>
    <w:rsid w:val="00EC20A1"/>
    <w:rsid w:val="00EC3AF9"/>
    <w:rsid w:val="00EC4AC2"/>
    <w:rsid w:val="00EC4CE5"/>
    <w:rsid w:val="00EC5635"/>
    <w:rsid w:val="00EC65F8"/>
    <w:rsid w:val="00EC68D5"/>
    <w:rsid w:val="00EC7FD6"/>
    <w:rsid w:val="00ED0F11"/>
    <w:rsid w:val="00ED18CB"/>
    <w:rsid w:val="00ED22DB"/>
    <w:rsid w:val="00ED2A7B"/>
    <w:rsid w:val="00ED420C"/>
    <w:rsid w:val="00ED44A5"/>
    <w:rsid w:val="00ED499E"/>
    <w:rsid w:val="00ED4E6F"/>
    <w:rsid w:val="00ED4F43"/>
    <w:rsid w:val="00ED5B59"/>
    <w:rsid w:val="00ED5D72"/>
    <w:rsid w:val="00ED5E43"/>
    <w:rsid w:val="00ED65F5"/>
    <w:rsid w:val="00ED6780"/>
    <w:rsid w:val="00ED6EB3"/>
    <w:rsid w:val="00ED7607"/>
    <w:rsid w:val="00ED7841"/>
    <w:rsid w:val="00EE0414"/>
    <w:rsid w:val="00EE1155"/>
    <w:rsid w:val="00EE12C6"/>
    <w:rsid w:val="00EE1D73"/>
    <w:rsid w:val="00EE1E15"/>
    <w:rsid w:val="00EE1F62"/>
    <w:rsid w:val="00EE25AE"/>
    <w:rsid w:val="00EE29EA"/>
    <w:rsid w:val="00EE2DB1"/>
    <w:rsid w:val="00EE34D0"/>
    <w:rsid w:val="00EE4CFC"/>
    <w:rsid w:val="00EE4FFE"/>
    <w:rsid w:val="00EE57B1"/>
    <w:rsid w:val="00EE5B51"/>
    <w:rsid w:val="00EE5CA4"/>
    <w:rsid w:val="00EE6B36"/>
    <w:rsid w:val="00EE6D52"/>
    <w:rsid w:val="00EE6DE7"/>
    <w:rsid w:val="00EE7D1D"/>
    <w:rsid w:val="00EF02EB"/>
    <w:rsid w:val="00EF1A14"/>
    <w:rsid w:val="00EF2C19"/>
    <w:rsid w:val="00EF2F49"/>
    <w:rsid w:val="00EF471E"/>
    <w:rsid w:val="00EF474F"/>
    <w:rsid w:val="00EF4777"/>
    <w:rsid w:val="00EF47D9"/>
    <w:rsid w:val="00EF4B63"/>
    <w:rsid w:val="00EF53D7"/>
    <w:rsid w:val="00EF5A49"/>
    <w:rsid w:val="00EF67FA"/>
    <w:rsid w:val="00F004D7"/>
    <w:rsid w:val="00F00765"/>
    <w:rsid w:val="00F00D28"/>
    <w:rsid w:val="00F01B4B"/>
    <w:rsid w:val="00F01D71"/>
    <w:rsid w:val="00F01E1A"/>
    <w:rsid w:val="00F01FBB"/>
    <w:rsid w:val="00F03487"/>
    <w:rsid w:val="00F03D34"/>
    <w:rsid w:val="00F04063"/>
    <w:rsid w:val="00F04800"/>
    <w:rsid w:val="00F04849"/>
    <w:rsid w:val="00F0655D"/>
    <w:rsid w:val="00F07297"/>
    <w:rsid w:val="00F07986"/>
    <w:rsid w:val="00F07D16"/>
    <w:rsid w:val="00F100FC"/>
    <w:rsid w:val="00F10D2C"/>
    <w:rsid w:val="00F10DF6"/>
    <w:rsid w:val="00F10F8A"/>
    <w:rsid w:val="00F118D0"/>
    <w:rsid w:val="00F11BAF"/>
    <w:rsid w:val="00F11F08"/>
    <w:rsid w:val="00F1349D"/>
    <w:rsid w:val="00F13E52"/>
    <w:rsid w:val="00F143DB"/>
    <w:rsid w:val="00F14FDF"/>
    <w:rsid w:val="00F15B80"/>
    <w:rsid w:val="00F1666A"/>
    <w:rsid w:val="00F178D4"/>
    <w:rsid w:val="00F200A2"/>
    <w:rsid w:val="00F20514"/>
    <w:rsid w:val="00F20F4C"/>
    <w:rsid w:val="00F215CD"/>
    <w:rsid w:val="00F21974"/>
    <w:rsid w:val="00F21AD3"/>
    <w:rsid w:val="00F21B18"/>
    <w:rsid w:val="00F21EBD"/>
    <w:rsid w:val="00F22874"/>
    <w:rsid w:val="00F2357C"/>
    <w:rsid w:val="00F23EF5"/>
    <w:rsid w:val="00F24254"/>
    <w:rsid w:val="00F25AC5"/>
    <w:rsid w:val="00F26F73"/>
    <w:rsid w:val="00F27874"/>
    <w:rsid w:val="00F27F01"/>
    <w:rsid w:val="00F31145"/>
    <w:rsid w:val="00F314E1"/>
    <w:rsid w:val="00F320F3"/>
    <w:rsid w:val="00F3292A"/>
    <w:rsid w:val="00F32E9A"/>
    <w:rsid w:val="00F32FB4"/>
    <w:rsid w:val="00F33606"/>
    <w:rsid w:val="00F33AB9"/>
    <w:rsid w:val="00F33B6D"/>
    <w:rsid w:val="00F33D2A"/>
    <w:rsid w:val="00F349D4"/>
    <w:rsid w:val="00F34A56"/>
    <w:rsid w:val="00F34C2A"/>
    <w:rsid w:val="00F35CD2"/>
    <w:rsid w:val="00F36E29"/>
    <w:rsid w:val="00F37589"/>
    <w:rsid w:val="00F379D7"/>
    <w:rsid w:val="00F408F1"/>
    <w:rsid w:val="00F4093E"/>
    <w:rsid w:val="00F40DAE"/>
    <w:rsid w:val="00F413B7"/>
    <w:rsid w:val="00F415A2"/>
    <w:rsid w:val="00F4175F"/>
    <w:rsid w:val="00F4255C"/>
    <w:rsid w:val="00F436A7"/>
    <w:rsid w:val="00F453D5"/>
    <w:rsid w:val="00F4567E"/>
    <w:rsid w:val="00F457D0"/>
    <w:rsid w:val="00F460EA"/>
    <w:rsid w:val="00F463F6"/>
    <w:rsid w:val="00F47528"/>
    <w:rsid w:val="00F478FC"/>
    <w:rsid w:val="00F4795C"/>
    <w:rsid w:val="00F5060E"/>
    <w:rsid w:val="00F50615"/>
    <w:rsid w:val="00F506B4"/>
    <w:rsid w:val="00F50784"/>
    <w:rsid w:val="00F50C85"/>
    <w:rsid w:val="00F50E83"/>
    <w:rsid w:val="00F514D1"/>
    <w:rsid w:val="00F52003"/>
    <w:rsid w:val="00F52137"/>
    <w:rsid w:val="00F528C9"/>
    <w:rsid w:val="00F528F4"/>
    <w:rsid w:val="00F52A7E"/>
    <w:rsid w:val="00F52B9E"/>
    <w:rsid w:val="00F52FE9"/>
    <w:rsid w:val="00F53343"/>
    <w:rsid w:val="00F5379F"/>
    <w:rsid w:val="00F53DB4"/>
    <w:rsid w:val="00F543D7"/>
    <w:rsid w:val="00F54433"/>
    <w:rsid w:val="00F54DAC"/>
    <w:rsid w:val="00F55A38"/>
    <w:rsid w:val="00F56B80"/>
    <w:rsid w:val="00F570C9"/>
    <w:rsid w:val="00F57429"/>
    <w:rsid w:val="00F575D0"/>
    <w:rsid w:val="00F57695"/>
    <w:rsid w:val="00F5799B"/>
    <w:rsid w:val="00F601D2"/>
    <w:rsid w:val="00F6043C"/>
    <w:rsid w:val="00F60B52"/>
    <w:rsid w:val="00F60DE5"/>
    <w:rsid w:val="00F60F3E"/>
    <w:rsid w:val="00F61439"/>
    <w:rsid w:val="00F62021"/>
    <w:rsid w:val="00F63C2C"/>
    <w:rsid w:val="00F63E6F"/>
    <w:rsid w:val="00F64816"/>
    <w:rsid w:val="00F64AD2"/>
    <w:rsid w:val="00F64CD8"/>
    <w:rsid w:val="00F64D93"/>
    <w:rsid w:val="00F65334"/>
    <w:rsid w:val="00F65A3B"/>
    <w:rsid w:val="00F664D0"/>
    <w:rsid w:val="00F66BC0"/>
    <w:rsid w:val="00F66E80"/>
    <w:rsid w:val="00F67433"/>
    <w:rsid w:val="00F6760A"/>
    <w:rsid w:val="00F67B4A"/>
    <w:rsid w:val="00F67EFD"/>
    <w:rsid w:val="00F70135"/>
    <w:rsid w:val="00F710D2"/>
    <w:rsid w:val="00F721E5"/>
    <w:rsid w:val="00F7298F"/>
    <w:rsid w:val="00F72CD0"/>
    <w:rsid w:val="00F72F71"/>
    <w:rsid w:val="00F73560"/>
    <w:rsid w:val="00F7395E"/>
    <w:rsid w:val="00F74CB0"/>
    <w:rsid w:val="00F7530F"/>
    <w:rsid w:val="00F75457"/>
    <w:rsid w:val="00F75888"/>
    <w:rsid w:val="00F76B37"/>
    <w:rsid w:val="00F77610"/>
    <w:rsid w:val="00F7788E"/>
    <w:rsid w:val="00F77E56"/>
    <w:rsid w:val="00F80BF4"/>
    <w:rsid w:val="00F80C39"/>
    <w:rsid w:val="00F81808"/>
    <w:rsid w:val="00F81D44"/>
    <w:rsid w:val="00F82F11"/>
    <w:rsid w:val="00F8321F"/>
    <w:rsid w:val="00F83564"/>
    <w:rsid w:val="00F83EFB"/>
    <w:rsid w:val="00F8427A"/>
    <w:rsid w:val="00F85584"/>
    <w:rsid w:val="00F85E39"/>
    <w:rsid w:val="00F87724"/>
    <w:rsid w:val="00F87735"/>
    <w:rsid w:val="00F87998"/>
    <w:rsid w:val="00F87AEE"/>
    <w:rsid w:val="00F87DC7"/>
    <w:rsid w:val="00F90494"/>
    <w:rsid w:val="00F90B40"/>
    <w:rsid w:val="00F924CB"/>
    <w:rsid w:val="00F936DB"/>
    <w:rsid w:val="00F936E0"/>
    <w:rsid w:val="00F943EC"/>
    <w:rsid w:val="00F94496"/>
    <w:rsid w:val="00F94688"/>
    <w:rsid w:val="00F949BC"/>
    <w:rsid w:val="00F94CFE"/>
    <w:rsid w:val="00F956C1"/>
    <w:rsid w:val="00F958C4"/>
    <w:rsid w:val="00F9593B"/>
    <w:rsid w:val="00F965A0"/>
    <w:rsid w:val="00F96C5F"/>
    <w:rsid w:val="00F97BA2"/>
    <w:rsid w:val="00F97D10"/>
    <w:rsid w:val="00F97F8F"/>
    <w:rsid w:val="00FA0001"/>
    <w:rsid w:val="00FA0061"/>
    <w:rsid w:val="00FA0D6B"/>
    <w:rsid w:val="00FA1159"/>
    <w:rsid w:val="00FA1305"/>
    <w:rsid w:val="00FA195E"/>
    <w:rsid w:val="00FA1E07"/>
    <w:rsid w:val="00FA235A"/>
    <w:rsid w:val="00FA3616"/>
    <w:rsid w:val="00FA38F0"/>
    <w:rsid w:val="00FA3E90"/>
    <w:rsid w:val="00FA4295"/>
    <w:rsid w:val="00FA43B5"/>
    <w:rsid w:val="00FA4D01"/>
    <w:rsid w:val="00FA5252"/>
    <w:rsid w:val="00FA5EC1"/>
    <w:rsid w:val="00FA691B"/>
    <w:rsid w:val="00FA6BD1"/>
    <w:rsid w:val="00FA6E88"/>
    <w:rsid w:val="00FA77EF"/>
    <w:rsid w:val="00FA799D"/>
    <w:rsid w:val="00FA7E28"/>
    <w:rsid w:val="00FB054C"/>
    <w:rsid w:val="00FB172C"/>
    <w:rsid w:val="00FB24D7"/>
    <w:rsid w:val="00FB24F0"/>
    <w:rsid w:val="00FB260B"/>
    <w:rsid w:val="00FB26FC"/>
    <w:rsid w:val="00FB2D2B"/>
    <w:rsid w:val="00FB2DC3"/>
    <w:rsid w:val="00FB2DE1"/>
    <w:rsid w:val="00FB3DF5"/>
    <w:rsid w:val="00FB457A"/>
    <w:rsid w:val="00FB4AA3"/>
    <w:rsid w:val="00FB4B11"/>
    <w:rsid w:val="00FB50D6"/>
    <w:rsid w:val="00FB5359"/>
    <w:rsid w:val="00FB7236"/>
    <w:rsid w:val="00FB7C6E"/>
    <w:rsid w:val="00FC0004"/>
    <w:rsid w:val="00FC278C"/>
    <w:rsid w:val="00FC2D8F"/>
    <w:rsid w:val="00FC45F5"/>
    <w:rsid w:val="00FC491A"/>
    <w:rsid w:val="00FC4D8E"/>
    <w:rsid w:val="00FC5AF8"/>
    <w:rsid w:val="00FC5C0C"/>
    <w:rsid w:val="00FC6485"/>
    <w:rsid w:val="00FC6562"/>
    <w:rsid w:val="00FC6720"/>
    <w:rsid w:val="00FC7878"/>
    <w:rsid w:val="00FC7D9A"/>
    <w:rsid w:val="00FD0D8E"/>
    <w:rsid w:val="00FD1122"/>
    <w:rsid w:val="00FD1C9C"/>
    <w:rsid w:val="00FD23E6"/>
    <w:rsid w:val="00FD42DB"/>
    <w:rsid w:val="00FD4957"/>
    <w:rsid w:val="00FD4FD2"/>
    <w:rsid w:val="00FD52C8"/>
    <w:rsid w:val="00FD5DBE"/>
    <w:rsid w:val="00FD61C6"/>
    <w:rsid w:val="00FD7B82"/>
    <w:rsid w:val="00FE0049"/>
    <w:rsid w:val="00FE03CE"/>
    <w:rsid w:val="00FE1A0E"/>
    <w:rsid w:val="00FE1D29"/>
    <w:rsid w:val="00FE1E24"/>
    <w:rsid w:val="00FE25E3"/>
    <w:rsid w:val="00FE28E2"/>
    <w:rsid w:val="00FE3C2D"/>
    <w:rsid w:val="00FE402D"/>
    <w:rsid w:val="00FE4125"/>
    <w:rsid w:val="00FE478C"/>
    <w:rsid w:val="00FE47C9"/>
    <w:rsid w:val="00FE4FB5"/>
    <w:rsid w:val="00FE5AE3"/>
    <w:rsid w:val="00FE5CDA"/>
    <w:rsid w:val="00FE7091"/>
    <w:rsid w:val="00FF063D"/>
    <w:rsid w:val="00FF0D80"/>
    <w:rsid w:val="00FF123E"/>
    <w:rsid w:val="00FF408C"/>
    <w:rsid w:val="00FF4242"/>
    <w:rsid w:val="00FF448B"/>
    <w:rsid w:val="00FF5A82"/>
    <w:rsid w:val="00FF6551"/>
    <w:rsid w:val="00FF6617"/>
    <w:rsid w:val="00FF699B"/>
    <w:rsid w:val="00FF70D9"/>
    <w:rsid w:val="00FF7312"/>
    <w:rsid w:val="00FF7639"/>
    <w:rsid w:val="00FF774E"/>
    <w:rsid w:val="00FF79D2"/>
    <w:rsid w:val="00FF7E0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3563EAC"/>
  <w15:docId w15:val="{BA94DB71-82E3-4A6F-9E68-9AAEDF8E2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sz w:val="22"/>
        <w:szCs w:val="22"/>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9"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12DD"/>
    <w:pPr>
      <w:spacing w:after="200" w:line="276" w:lineRule="auto"/>
    </w:pPr>
    <w:rPr>
      <w:rFonts w:ascii="Georgia" w:hAnsi="Georgia"/>
      <w:b/>
      <w:lang w:val="en-US" w:eastAsia="en-US"/>
    </w:rPr>
  </w:style>
  <w:style w:type="paragraph" w:styleId="Heading2">
    <w:name w:val="heading 2"/>
    <w:basedOn w:val="Normal"/>
    <w:next w:val="Normal"/>
    <w:link w:val="Heading2Char"/>
    <w:uiPriority w:val="9"/>
    <w:qFormat/>
    <w:locked/>
    <w:rsid w:val="00735705"/>
    <w:pPr>
      <w:spacing w:before="200" w:after="0"/>
      <w:outlineLvl w:val="1"/>
    </w:pPr>
    <w:rPr>
      <w:rFonts w:ascii="Arial" w:eastAsia="Times New Roman" w:hAnsi="Arial" w:cs="Times New Roman"/>
      <w:bCs/>
      <w:sz w:val="26"/>
      <w:szCs w:val="26"/>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F59ED"/>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ferences,Grille claire - Accent 31,Liste couleur - Accent 111,List Paragraph1,Liste couleur - Accent 11,Liste couleur - Accent 112,Bullets,List Paragraph nowy,Numbered List Paragraph,List Paragraph (numbered (a))"/>
    <w:basedOn w:val="Normal"/>
    <w:link w:val="ListParagraphChar"/>
    <w:uiPriority w:val="34"/>
    <w:qFormat/>
    <w:rsid w:val="00536116"/>
    <w:pPr>
      <w:ind w:left="720"/>
      <w:contextualSpacing/>
    </w:pPr>
  </w:style>
  <w:style w:type="paragraph" w:styleId="Header">
    <w:name w:val="header"/>
    <w:basedOn w:val="Normal"/>
    <w:link w:val="HeaderChar"/>
    <w:uiPriority w:val="99"/>
    <w:rsid w:val="005D49FB"/>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5D49FB"/>
    <w:rPr>
      <w:rFonts w:ascii="Georgia" w:hAnsi="Georgia" w:cs="Arial"/>
      <w:b/>
    </w:rPr>
  </w:style>
  <w:style w:type="paragraph" w:styleId="Footer">
    <w:name w:val="footer"/>
    <w:basedOn w:val="Normal"/>
    <w:link w:val="FooterChar"/>
    <w:rsid w:val="005D49FB"/>
    <w:pPr>
      <w:tabs>
        <w:tab w:val="center" w:pos="4513"/>
        <w:tab w:val="right" w:pos="9026"/>
      </w:tabs>
      <w:spacing w:after="0" w:line="240" w:lineRule="auto"/>
    </w:pPr>
  </w:style>
  <w:style w:type="character" w:customStyle="1" w:styleId="FooterChar">
    <w:name w:val="Footer Char"/>
    <w:basedOn w:val="DefaultParagraphFont"/>
    <w:link w:val="Footer"/>
    <w:locked/>
    <w:rsid w:val="005D49FB"/>
    <w:rPr>
      <w:rFonts w:ascii="Georgia" w:hAnsi="Georgia" w:cs="Arial"/>
      <w:b/>
    </w:rPr>
  </w:style>
  <w:style w:type="character" w:styleId="PlaceholderText">
    <w:name w:val="Placeholder Text"/>
    <w:basedOn w:val="DefaultParagraphFont"/>
    <w:uiPriority w:val="99"/>
    <w:semiHidden/>
    <w:rsid w:val="007B10DD"/>
    <w:rPr>
      <w:rFonts w:cs="Times New Roman"/>
      <w:color w:val="808080"/>
    </w:rPr>
  </w:style>
  <w:style w:type="paragraph" w:styleId="BalloonText">
    <w:name w:val="Balloon Text"/>
    <w:basedOn w:val="Normal"/>
    <w:link w:val="BalloonTextChar"/>
    <w:uiPriority w:val="99"/>
    <w:semiHidden/>
    <w:rsid w:val="007B10D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10DD"/>
    <w:rPr>
      <w:rFonts w:ascii="Tahoma" w:hAnsi="Tahoma" w:cs="Tahoma"/>
      <w:b/>
      <w:sz w:val="16"/>
      <w:szCs w:val="16"/>
    </w:rPr>
  </w:style>
  <w:style w:type="character" w:styleId="Hyperlink">
    <w:name w:val="Hyperlink"/>
    <w:basedOn w:val="DefaultParagraphFont"/>
    <w:uiPriority w:val="99"/>
    <w:rsid w:val="004F26F2"/>
    <w:rPr>
      <w:rFonts w:cs="Times New Roman"/>
      <w:color w:val="0000FF"/>
      <w:u w:val="single"/>
    </w:rPr>
  </w:style>
  <w:style w:type="character" w:styleId="FollowedHyperlink">
    <w:name w:val="FollowedHyperlink"/>
    <w:basedOn w:val="DefaultParagraphFont"/>
    <w:uiPriority w:val="99"/>
    <w:semiHidden/>
    <w:rsid w:val="00E6691C"/>
    <w:rPr>
      <w:rFonts w:cs="Times New Roman"/>
      <w:color w:val="800080"/>
      <w:u w:val="single"/>
    </w:rPr>
  </w:style>
  <w:style w:type="character" w:styleId="CommentReference">
    <w:name w:val="annotation reference"/>
    <w:basedOn w:val="DefaultParagraphFont"/>
    <w:uiPriority w:val="99"/>
    <w:semiHidden/>
    <w:rsid w:val="00E9455A"/>
    <w:rPr>
      <w:rFonts w:cs="Times New Roman"/>
      <w:sz w:val="16"/>
      <w:szCs w:val="16"/>
    </w:rPr>
  </w:style>
  <w:style w:type="paragraph" w:styleId="CommentText">
    <w:name w:val="annotation text"/>
    <w:basedOn w:val="Normal"/>
    <w:link w:val="CommentTextChar"/>
    <w:uiPriority w:val="99"/>
    <w:rsid w:val="00E9455A"/>
    <w:pPr>
      <w:spacing w:line="240" w:lineRule="auto"/>
    </w:pPr>
    <w:rPr>
      <w:sz w:val="20"/>
      <w:szCs w:val="20"/>
    </w:rPr>
  </w:style>
  <w:style w:type="character" w:customStyle="1" w:styleId="CommentTextChar">
    <w:name w:val="Comment Text Char"/>
    <w:basedOn w:val="DefaultParagraphFont"/>
    <w:link w:val="CommentText"/>
    <w:uiPriority w:val="99"/>
    <w:locked/>
    <w:rsid w:val="00E9455A"/>
    <w:rPr>
      <w:rFonts w:ascii="Georgia" w:hAnsi="Georgia" w:cs="Arial"/>
      <w:b/>
      <w:sz w:val="20"/>
      <w:szCs w:val="20"/>
    </w:rPr>
  </w:style>
  <w:style w:type="paragraph" w:styleId="CommentSubject">
    <w:name w:val="annotation subject"/>
    <w:basedOn w:val="CommentText"/>
    <w:next w:val="CommentText"/>
    <w:link w:val="CommentSubjectChar"/>
    <w:uiPriority w:val="99"/>
    <w:semiHidden/>
    <w:rsid w:val="00E9455A"/>
    <w:rPr>
      <w:bCs/>
    </w:rPr>
  </w:style>
  <w:style w:type="character" w:customStyle="1" w:styleId="CommentSubjectChar">
    <w:name w:val="Comment Subject Char"/>
    <w:basedOn w:val="CommentTextChar"/>
    <w:link w:val="CommentSubject"/>
    <w:uiPriority w:val="99"/>
    <w:semiHidden/>
    <w:locked/>
    <w:rsid w:val="00E9455A"/>
    <w:rPr>
      <w:rFonts w:ascii="Georgia" w:hAnsi="Georgia" w:cs="Arial"/>
      <w:b/>
      <w:bCs/>
      <w:sz w:val="20"/>
      <w:szCs w:val="20"/>
    </w:rPr>
  </w:style>
  <w:style w:type="paragraph" w:styleId="Revision">
    <w:name w:val="Revision"/>
    <w:hidden/>
    <w:uiPriority w:val="99"/>
    <w:semiHidden/>
    <w:rsid w:val="00C54995"/>
    <w:rPr>
      <w:rFonts w:ascii="Georgia" w:hAnsi="Georgia"/>
      <w:b/>
      <w:lang w:eastAsia="en-US"/>
    </w:rPr>
  </w:style>
  <w:style w:type="paragraph" w:styleId="FootnoteText">
    <w:name w:val="footnote text"/>
    <w:aliases w:val="fn,Footnote ak,fn Char,footnote text Char,Footnotes Char,Footnote ak Char,ft,fn cafc,Footnotes Char Char,Footnote Text Char Char,fn Char Char,footnote text Char Char Char Ch,footnote text,Footnote Text English,single space"/>
    <w:basedOn w:val="Normal"/>
    <w:link w:val="FootnoteTextChar1"/>
    <w:uiPriority w:val="99"/>
    <w:rsid w:val="000A690A"/>
    <w:pPr>
      <w:spacing w:after="0" w:line="240" w:lineRule="auto"/>
    </w:pPr>
    <w:rPr>
      <w:rFonts w:ascii="Arial" w:eastAsia="SimSun" w:hAnsi="Arial" w:cs="Times New Roman"/>
      <w:b w:val="0"/>
      <w:sz w:val="20"/>
      <w:szCs w:val="20"/>
      <w:lang w:eastAsia="zh-CN"/>
    </w:rPr>
  </w:style>
  <w:style w:type="character" w:customStyle="1" w:styleId="FootnoteTextChar">
    <w:name w:val="Footnote Text Char"/>
    <w:aliases w:val="fn Char1,Footnote ak Char1,fn Char Char1,footnote text Char Char,Footnotes Char Char1,Footnote ak Char Char,ft Char,fn cafc Char,Footnotes Char Char Char,Footnote Text Char Char Char,fn Char Char Char,footnote text Char1"/>
    <w:basedOn w:val="DefaultParagraphFont"/>
    <w:uiPriority w:val="99"/>
    <w:locked/>
    <w:rPr>
      <w:rFonts w:ascii="Georgia" w:hAnsi="Georgia" w:cs="Times New Roman"/>
      <w:b/>
      <w:sz w:val="20"/>
      <w:szCs w:val="20"/>
      <w:lang w:eastAsia="en-US"/>
    </w:rPr>
  </w:style>
  <w:style w:type="character" w:customStyle="1" w:styleId="FootnoteTextChar1">
    <w:name w:val="Footnote Text Char1"/>
    <w:aliases w:val="fn Char2,Footnote ak Char2,fn Char Char2,footnote text Char Char1,Footnotes Char Char2,Footnote ak Char Char1,ft Char1,fn cafc Char1,Footnotes Char Char Char1,Footnote Text Char Char Char1,fn Char Char Char1,footnote text Char2"/>
    <w:basedOn w:val="DefaultParagraphFont"/>
    <w:link w:val="FootnoteText"/>
    <w:uiPriority w:val="99"/>
    <w:semiHidden/>
    <w:locked/>
    <w:rsid w:val="000A690A"/>
    <w:rPr>
      <w:rFonts w:ascii="Arial" w:eastAsia="SimSun" w:hAnsi="Arial" w:cs="Times New Roman"/>
      <w:sz w:val="20"/>
      <w:szCs w:val="20"/>
      <w:lang w:val="en-US" w:eastAsia="zh-CN"/>
    </w:rPr>
  </w:style>
  <w:style w:type="character" w:styleId="FootnoteReference">
    <w:name w:val="footnote reference"/>
    <w:aliases w:val="ftref,Endnote Text1,Rimando nota a pièdi pagina1,Footnote symbol,Знак сноски 1,16 Point,Superscript 6 Point,4_G"/>
    <w:basedOn w:val="DefaultParagraphFont"/>
    <w:uiPriority w:val="99"/>
    <w:rsid w:val="000A690A"/>
    <w:rPr>
      <w:rFonts w:cs="Times New Roman"/>
      <w:vertAlign w:val="superscript"/>
    </w:rPr>
  </w:style>
  <w:style w:type="paragraph" w:styleId="EndnoteText">
    <w:name w:val="endnote text"/>
    <w:basedOn w:val="Normal"/>
    <w:link w:val="EndnoteTextChar"/>
    <w:uiPriority w:val="99"/>
    <w:semiHidden/>
    <w:rsid w:val="003B722F"/>
    <w:pPr>
      <w:spacing w:after="0" w:line="240" w:lineRule="auto"/>
    </w:pPr>
    <w:rPr>
      <w:sz w:val="20"/>
      <w:szCs w:val="20"/>
    </w:rPr>
  </w:style>
  <w:style w:type="character" w:customStyle="1" w:styleId="EndnoteTextChar">
    <w:name w:val="Endnote Text Char"/>
    <w:basedOn w:val="DefaultParagraphFont"/>
    <w:link w:val="EndnoteText"/>
    <w:uiPriority w:val="99"/>
    <w:semiHidden/>
    <w:locked/>
    <w:rsid w:val="003B722F"/>
    <w:rPr>
      <w:rFonts w:ascii="Georgia" w:hAnsi="Georgia" w:cs="Arial"/>
      <w:b/>
      <w:sz w:val="20"/>
      <w:szCs w:val="20"/>
    </w:rPr>
  </w:style>
  <w:style w:type="character" w:styleId="EndnoteReference">
    <w:name w:val="endnote reference"/>
    <w:basedOn w:val="DefaultParagraphFont"/>
    <w:uiPriority w:val="99"/>
    <w:semiHidden/>
    <w:rsid w:val="003B722F"/>
    <w:rPr>
      <w:rFonts w:cs="Times New Roman"/>
      <w:vertAlign w:val="superscript"/>
    </w:rPr>
  </w:style>
  <w:style w:type="paragraph" w:styleId="z-TopofForm">
    <w:name w:val="HTML Top of Form"/>
    <w:basedOn w:val="Normal"/>
    <w:next w:val="Normal"/>
    <w:link w:val="z-TopofFormChar"/>
    <w:hidden/>
    <w:uiPriority w:val="99"/>
    <w:semiHidden/>
    <w:rsid w:val="0012138E"/>
    <w:pPr>
      <w:pBdr>
        <w:bottom w:val="single" w:sz="6" w:space="1" w:color="auto"/>
      </w:pBdr>
      <w:spacing w:after="0"/>
      <w:jc w:val="center"/>
    </w:pPr>
    <w:rPr>
      <w:rFonts w:ascii="Arial" w:hAnsi="Arial"/>
      <w:vanish/>
      <w:sz w:val="16"/>
      <w:szCs w:val="16"/>
    </w:rPr>
  </w:style>
  <w:style w:type="character" w:customStyle="1" w:styleId="z-TopofFormChar">
    <w:name w:val="z-Top of Form Char"/>
    <w:basedOn w:val="DefaultParagraphFont"/>
    <w:link w:val="z-TopofForm"/>
    <w:uiPriority w:val="99"/>
    <w:semiHidden/>
    <w:locked/>
    <w:rsid w:val="0012138E"/>
    <w:rPr>
      <w:rFonts w:ascii="Arial" w:hAnsi="Arial" w:cs="Arial"/>
      <w:b/>
      <w:vanish/>
      <w:sz w:val="16"/>
      <w:szCs w:val="16"/>
    </w:rPr>
  </w:style>
  <w:style w:type="paragraph" w:styleId="z-BottomofForm">
    <w:name w:val="HTML Bottom of Form"/>
    <w:basedOn w:val="Normal"/>
    <w:next w:val="Normal"/>
    <w:link w:val="z-BottomofFormChar"/>
    <w:hidden/>
    <w:uiPriority w:val="99"/>
    <w:semiHidden/>
    <w:rsid w:val="0012138E"/>
    <w:pPr>
      <w:pBdr>
        <w:top w:val="single" w:sz="6" w:space="1" w:color="auto"/>
      </w:pBdr>
      <w:spacing w:after="0"/>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locked/>
    <w:rsid w:val="0012138E"/>
    <w:rPr>
      <w:rFonts w:ascii="Arial" w:hAnsi="Arial" w:cs="Arial"/>
      <w:b/>
      <w:vanish/>
      <w:sz w:val="16"/>
      <w:szCs w:val="16"/>
    </w:rPr>
  </w:style>
  <w:style w:type="paragraph" w:customStyle="1" w:styleId="Default">
    <w:name w:val="Default"/>
    <w:rsid w:val="00174B71"/>
    <w:pPr>
      <w:autoSpaceDE w:val="0"/>
      <w:autoSpaceDN w:val="0"/>
      <w:adjustRightInd w:val="0"/>
    </w:pPr>
    <w:rPr>
      <w:rFonts w:ascii="Trebuchet MS" w:hAnsi="Trebuchet MS" w:cs="Trebuchet MS"/>
      <w:color w:val="000000"/>
      <w:sz w:val="24"/>
      <w:szCs w:val="24"/>
    </w:rPr>
  </w:style>
  <w:style w:type="character" w:customStyle="1" w:styleId="ListParagraphChar">
    <w:name w:val="List Paragraph Char"/>
    <w:aliases w:val="References Char,Grille claire - Accent 31 Char,Liste couleur - Accent 111 Char,List Paragraph1 Char,Liste couleur - Accent 11 Char,Liste couleur - Accent 112 Char,Bullets Char,List Paragraph nowy Char,Numbered List Paragraph Char"/>
    <w:basedOn w:val="DefaultParagraphFont"/>
    <w:link w:val="ListParagraph"/>
    <w:uiPriority w:val="34"/>
    <w:locked/>
    <w:rsid w:val="00367779"/>
    <w:rPr>
      <w:rFonts w:ascii="Georgia" w:hAnsi="Georgia"/>
      <w:b/>
      <w:lang w:eastAsia="en-US"/>
    </w:rPr>
  </w:style>
  <w:style w:type="paragraph" w:customStyle="1" w:styleId="Bullet2">
    <w:name w:val="Bullet 2"/>
    <w:basedOn w:val="Normal"/>
    <w:qFormat/>
    <w:rsid w:val="00367779"/>
    <w:pPr>
      <w:numPr>
        <w:numId w:val="1"/>
      </w:numPr>
      <w:tabs>
        <w:tab w:val="left" w:pos="1701"/>
        <w:tab w:val="left" w:pos="2693"/>
      </w:tabs>
      <w:spacing w:before="60" w:after="60" w:line="240" w:lineRule="auto"/>
      <w:ind w:left="1701"/>
    </w:pPr>
    <w:rPr>
      <w:rFonts w:eastAsia="Times New Roman" w:cs="Times New Roman"/>
      <w:b w:val="0"/>
      <w:szCs w:val="24"/>
      <w:lang w:eastAsia="fr-FR"/>
    </w:rPr>
  </w:style>
  <w:style w:type="paragraph" w:styleId="NormalWeb">
    <w:name w:val="Normal (Web)"/>
    <w:basedOn w:val="Normal"/>
    <w:uiPriority w:val="99"/>
    <w:unhideWhenUsed/>
    <w:rsid w:val="001A5954"/>
    <w:pPr>
      <w:spacing w:before="100" w:beforeAutospacing="1" w:after="100" w:afterAutospacing="1" w:line="240" w:lineRule="auto"/>
    </w:pPr>
    <w:rPr>
      <w:rFonts w:ascii="Times New Roman" w:eastAsiaTheme="minorHAnsi" w:hAnsi="Times New Roman" w:cs="Times New Roman"/>
      <w:b w:val="0"/>
      <w:sz w:val="24"/>
      <w:szCs w:val="24"/>
      <w:lang w:eastAsia="en-GB"/>
    </w:rPr>
  </w:style>
  <w:style w:type="table" w:customStyle="1" w:styleId="TableGrid1">
    <w:name w:val="Table Grid1"/>
    <w:basedOn w:val="TableNormal"/>
    <w:next w:val="TableGrid"/>
    <w:uiPriority w:val="39"/>
    <w:rsid w:val="008014B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7A5D8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AD6F80"/>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735705"/>
    <w:rPr>
      <w:rFonts w:ascii="Arial" w:eastAsia="Times New Roman" w:hAnsi="Arial" w:cs="Times New Roman"/>
      <w:b/>
      <w:bCs/>
      <w:sz w:val="26"/>
      <w:szCs w:val="26"/>
      <w:lang w:val="ru-RU" w:eastAsia="ru-RU"/>
    </w:rPr>
  </w:style>
  <w:style w:type="paragraph" w:customStyle="1" w:styleId="3">
    <w:name w:val="Знак Знак3"/>
    <w:basedOn w:val="Normal"/>
    <w:rsid w:val="00B93BAE"/>
    <w:pPr>
      <w:spacing w:after="0" w:line="240" w:lineRule="auto"/>
    </w:pPr>
    <w:rPr>
      <w:rFonts w:ascii="Times New Roman" w:eastAsia="Times New Roman" w:hAnsi="Times New Roman" w:cs="Times New Roman"/>
      <w:b w:val="0"/>
      <w:sz w:val="24"/>
      <w:szCs w:val="24"/>
      <w:lang w:val="pl-PL" w:eastAsia="pl-PL"/>
    </w:rPr>
  </w:style>
  <w:style w:type="paragraph" w:customStyle="1" w:styleId="p2">
    <w:name w:val="p2"/>
    <w:basedOn w:val="Normal"/>
    <w:rsid w:val="003026D3"/>
    <w:pPr>
      <w:spacing w:after="0" w:line="240" w:lineRule="auto"/>
    </w:pPr>
    <w:rPr>
      <w:rFonts w:cs="Times New Roman"/>
      <w:b w:val="0"/>
      <w:sz w:val="17"/>
      <w:szCs w:val="17"/>
    </w:rPr>
  </w:style>
  <w:style w:type="character" w:customStyle="1" w:styleId="apple-converted-space">
    <w:name w:val="apple-converted-space"/>
    <w:basedOn w:val="DefaultParagraphFont"/>
    <w:rsid w:val="003026D3"/>
  </w:style>
  <w:style w:type="character" w:styleId="Strong">
    <w:name w:val="Strong"/>
    <w:basedOn w:val="DefaultParagraphFont"/>
    <w:uiPriority w:val="22"/>
    <w:qFormat/>
    <w:locked/>
    <w:rsid w:val="00BC31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9003">
      <w:bodyDiv w:val="1"/>
      <w:marLeft w:val="0"/>
      <w:marRight w:val="0"/>
      <w:marTop w:val="0"/>
      <w:marBottom w:val="0"/>
      <w:divBdr>
        <w:top w:val="none" w:sz="0" w:space="0" w:color="auto"/>
        <w:left w:val="none" w:sz="0" w:space="0" w:color="auto"/>
        <w:bottom w:val="none" w:sz="0" w:space="0" w:color="auto"/>
        <w:right w:val="none" w:sz="0" w:space="0" w:color="auto"/>
      </w:divBdr>
    </w:div>
    <w:div w:id="33771803">
      <w:bodyDiv w:val="1"/>
      <w:marLeft w:val="0"/>
      <w:marRight w:val="0"/>
      <w:marTop w:val="0"/>
      <w:marBottom w:val="0"/>
      <w:divBdr>
        <w:top w:val="none" w:sz="0" w:space="0" w:color="auto"/>
        <w:left w:val="none" w:sz="0" w:space="0" w:color="auto"/>
        <w:bottom w:val="none" w:sz="0" w:space="0" w:color="auto"/>
        <w:right w:val="none" w:sz="0" w:space="0" w:color="auto"/>
      </w:divBdr>
    </w:div>
    <w:div w:id="47146100">
      <w:bodyDiv w:val="1"/>
      <w:marLeft w:val="0"/>
      <w:marRight w:val="0"/>
      <w:marTop w:val="0"/>
      <w:marBottom w:val="0"/>
      <w:divBdr>
        <w:top w:val="none" w:sz="0" w:space="0" w:color="auto"/>
        <w:left w:val="none" w:sz="0" w:space="0" w:color="auto"/>
        <w:bottom w:val="none" w:sz="0" w:space="0" w:color="auto"/>
        <w:right w:val="none" w:sz="0" w:space="0" w:color="auto"/>
      </w:divBdr>
    </w:div>
    <w:div w:id="73549194">
      <w:bodyDiv w:val="1"/>
      <w:marLeft w:val="0"/>
      <w:marRight w:val="0"/>
      <w:marTop w:val="0"/>
      <w:marBottom w:val="0"/>
      <w:divBdr>
        <w:top w:val="none" w:sz="0" w:space="0" w:color="auto"/>
        <w:left w:val="none" w:sz="0" w:space="0" w:color="auto"/>
        <w:bottom w:val="none" w:sz="0" w:space="0" w:color="auto"/>
        <w:right w:val="none" w:sz="0" w:space="0" w:color="auto"/>
      </w:divBdr>
    </w:div>
    <w:div w:id="152600528">
      <w:bodyDiv w:val="1"/>
      <w:marLeft w:val="0"/>
      <w:marRight w:val="0"/>
      <w:marTop w:val="0"/>
      <w:marBottom w:val="0"/>
      <w:divBdr>
        <w:top w:val="none" w:sz="0" w:space="0" w:color="auto"/>
        <w:left w:val="none" w:sz="0" w:space="0" w:color="auto"/>
        <w:bottom w:val="none" w:sz="0" w:space="0" w:color="auto"/>
        <w:right w:val="none" w:sz="0" w:space="0" w:color="auto"/>
      </w:divBdr>
    </w:div>
    <w:div w:id="155531833">
      <w:bodyDiv w:val="1"/>
      <w:marLeft w:val="0"/>
      <w:marRight w:val="0"/>
      <w:marTop w:val="0"/>
      <w:marBottom w:val="0"/>
      <w:divBdr>
        <w:top w:val="none" w:sz="0" w:space="0" w:color="auto"/>
        <w:left w:val="none" w:sz="0" w:space="0" w:color="auto"/>
        <w:bottom w:val="none" w:sz="0" w:space="0" w:color="auto"/>
        <w:right w:val="none" w:sz="0" w:space="0" w:color="auto"/>
      </w:divBdr>
    </w:div>
    <w:div w:id="159784360">
      <w:bodyDiv w:val="1"/>
      <w:marLeft w:val="0"/>
      <w:marRight w:val="0"/>
      <w:marTop w:val="0"/>
      <w:marBottom w:val="0"/>
      <w:divBdr>
        <w:top w:val="none" w:sz="0" w:space="0" w:color="auto"/>
        <w:left w:val="none" w:sz="0" w:space="0" w:color="auto"/>
        <w:bottom w:val="none" w:sz="0" w:space="0" w:color="auto"/>
        <w:right w:val="none" w:sz="0" w:space="0" w:color="auto"/>
      </w:divBdr>
    </w:div>
    <w:div w:id="160049131">
      <w:bodyDiv w:val="1"/>
      <w:marLeft w:val="0"/>
      <w:marRight w:val="0"/>
      <w:marTop w:val="0"/>
      <w:marBottom w:val="0"/>
      <w:divBdr>
        <w:top w:val="none" w:sz="0" w:space="0" w:color="auto"/>
        <w:left w:val="none" w:sz="0" w:space="0" w:color="auto"/>
        <w:bottom w:val="none" w:sz="0" w:space="0" w:color="auto"/>
        <w:right w:val="none" w:sz="0" w:space="0" w:color="auto"/>
      </w:divBdr>
    </w:div>
    <w:div w:id="242689868">
      <w:bodyDiv w:val="1"/>
      <w:marLeft w:val="0"/>
      <w:marRight w:val="0"/>
      <w:marTop w:val="0"/>
      <w:marBottom w:val="0"/>
      <w:divBdr>
        <w:top w:val="none" w:sz="0" w:space="0" w:color="auto"/>
        <w:left w:val="none" w:sz="0" w:space="0" w:color="auto"/>
        <w:bottom w:val="none" w:sz="0" w:space="0" w:color="auto"/>
        <w:right w:val="none" w:sz="0" w:space="0" w:color="auto"/>
      </w:divBdr>
    </w:div>
    <w:div w:id="287055758">
      <w:bodyDiv w:val="1"/>
      <w:marLeft w:val="0"/>
      <w:marRight w:val="0"/>
      <w:marTop w:val="0"/>
      <w:marBottom w:val="0"/>
      <w:divBdr>
        <w:top w:val="none" w:sz="0" w:space="0" w:color="auto"/>
        <w:left w:val="none" w:sz="0" w:space="0" w:color="auto"/>
        <w:bottom w:val="none" w:sz="0" w:space="0" w:color="auto"/>
        <w:right w:val="none" w:sz="0" w:space="0" w:color="auto"/>
      </w:divBdr>
    </w:div>
    <w:div w:id="301886013">
      <w:marLeft w:val="0"/>
      <w:marRight w:val="0"/>
      <w:marTop w:val="0"/>
      <w:marBottom w:val="0"/>
      <w:divBdr>
        <w:top w:val="none" w:sz="0" w:space="0" w:color="auto"/>
        <w:left w:val="none" w:sz="0" w:space="0" w:color="auto"/>
        <w:bottom w:val="none" w:sz="0" w:space="0" w:color="auto"/>
        <w:right w:val="none" w:sz="0" w:space="0" w:color="auto"/>
      </w:divBdr>
    </w:div>
    <w:div w:id="301886014">
      <w:marLeft w:val="0"/>
      <w:marRight w:val="0"/>
      <w:marTop w:val="0"/>
      <w:marBottom w:val="0"/>
      <w:divBdr>
        <w:top w:val="none" w:sz="0" w:space="0" w:color="auto"/>
        <w:left w:val="none" w:sz="0" w:space="0" w:color="auto"/>
        <w:bottom w:val="none" w:sz="0" w:space="0" w:color="auto"/>
        <w:right w:val="none" w:sz="0" w:space="0" w:color="auto"/>
      </w:divBdr>
      <w:divsChild>
        <w:div w:id="301886040">
          <w:marLeft w:val="446"/>
          <w:marRight w:val="0"/>
          <w:marTop w:val="120"/>
          <w:marBottom w:val="0"/>
          <w:divBdr>
            <w:top w:val="none" w:sz="0" w:space="0" w:color="auto"/>
            <w:left w:val="none" w:sz="0" w:space="0" w:color="auto"/>
            <w:bottom w:val="none" w:sz="0" w:space="0" w:color="auto"/>
            <w:right w:val="none" w:sz="0" w:space="0" w:color="auto"/>
          </w:divBdr>
        </w:div>
      </w:divsChild>
    </w:div>
    <w:div w:id="301886015">
      <w:marLeft w:val="0"/>
      <w:marRight w:val="0"/>
      <w:marTop w:val="0"/>
      <w:marBottom w:val="0"/>
      <w:divBdr>
        <w:top w:val="none" w:sz="0" w:space="0" w:color="auto"/>
        <w:left w:val="none" w:sz="0" w:space="0" w:color="auto"/>
        <w:bottom w:val="none" w:sz="0" w:space="0" w:color="auto"/>
        <w:right w:val="none" w:sz="0" w:space="0" w:color="auto"/>
      </w:divBdr>
    </w:div>
    <w:div w:id="301886016">
      <w:marLeft w:val="0"/>
      <w:marRight w:val="0"/>
      <w:marTop w:val="0"/>
      <w:marBottom w:val="0"/>
      <w:divBdr>
        <w:top w:val="none" w:sz="0" w:space="0" w:color="auto"/>
        <w:left w:val="none" w:sz="0" w:space="0" w:color="auto"/>
        <w:bottom w:val="none" w:sz="0" w:space="0" w:color="auto"/>
        <w:right w:val="none" w:sz="0" w:space="0" w:color="auto"/>
      </w:divBdr>
    </w:div>
    <w:div w:id="301886017">
      <w:marLeft w:val="0"/>
      <w:marRight w:val="0"/>
      <w:marTop w:val="0"/>
      <w:marBottom w:val="0"/>
      <w:divBdr>
        <w:top w:val="none" w:sz="0" w:space="0" w:color="auto"/>
        <w:left w:val="none" w:sz="0" w:space="0" w:color="auto"/>
        <w:bottom w:val="none" w:sz="0" w:space="0" w:color="auto"/>
        <w:right w:val="none" w:sz="0" w:space="0" w:color="auto"/>
      </w:divBdr>
    </w:div>
    <w:div w:id="301886018">
      <w:marLeft w:val="0"/>
      <w:marRight w:val="0"/>
      <w:marTop w:val="0"/>
      <w:marBottom w:val="0"/>
      <w:divBdr>
        <w:top w:val="none" w:sz="0" w:space="0" w:color="auto"/>
        <w:left w:val="none" w:sz="0" w:space="0" w:color="auto"/>
        <w:bottom w:val="none" w:sz="0" w:space="0" w:color="auto"/>
        <w:right w:val="none" w:sz="0" w:space="0" w:color="auto"/>
      </w:divBdr>
    </w:div>
    <w:div w:id="301886019">
      <w:marLeft w:val="0"/>
      <w:marRight w:val="0"/>
      <w:marTop w:val="0"/>
      <w:marBottom w:val="0"/>
      <w:divBdr>
        <w:top w:val="none" w:sz="0" w:space="0" w:color="auto"/>
        <w:left w:val="none" w:sz="0" w:space="0" w:color="auto"/>
        <w:bottom w:val="none" w:sz="0" w:space="0" w:color="auto"/>
        <w:right w:val="none" w:sz="0" w:space="0" w:color="auto"/>
      </w:divBdr>
    </w:div>
    <w:div w:id="301886020">
      <w:marLeft w:val="0"/>
      <w:marRight w:val="0"/>
      <w:marTop w:val="0"/>
      <w:marBottom w:val="0"/>
      <w:divBdr>
        <w:top w:val="none" w:sz="0" w:space="0" w:color="auto"/>
        <w:left w:val="none" w:sz="0" w:space="0" w:color="auto"/>
        <w:bottom w:val="none" w:sz="0" w:space="0" w:color="auto"/>
        <w:right w:val="none" w:sz="0" w:space="0" w:color="auto"/>
      </w:divBdr>
    </w:div>
    <w:div w:id="301886021">
      <w:marLeft w:val="0"/>
      <w:marRight w:val="0"/>
      <w:marTop w:val="0"/>
      <w:marBottom w:val="0"/>
      <w:divBdr>
        <w:top w:val="none" w:sz="0" w:space="0" w:color="auto"/>
        <w:left w:val="none" w:sz="0" w:space="0" w:color="auto"/>
        <w:bottom w:val="none" w:sz="0" w:space="0" w:color="auto"/>
        <w:right w:val="none" w:sz="0" w:space="0" w:color="auto"/>
      </w:divBdr>
    </w:div>
    <w:div w:id="301886022">
      <w:marLeft w:val="0"/>
      <w:marRight w:val="0"/>
      <w:marTop w:val="0"/>
      <w:marBottom w:val="0"/>
      <w:divBdr>
        <w:top w:val="none" w:sz="0" w:space="0" w:color="auto"/>
        <w:left w:val="none" w:sz="0" w:space="0" w:color="auto"/>
        <w:bottom w:val="none" w:sz="0" w:space="0" w:color="auto"/>
        <w:right w:val="none" w:sz="0" w:space="0" w:color="auto"/>
      </w:divBdr>
    </w:div>
    <w:div w:id="301886023">
      <w:marLeft w:val="0"/>
      <w:marRight w:val="0"/>
      <w:marTop w:val="0"/>
      <w:marBottom w:val="0"/>
      <w:divBdr>
        <w:top w:val="none" w:sz="0" w:space="0" w:color="auto"/>
        <w:left w:val="none" w:sz="0" w:space="0" w:color="auto"/>
        <w:bottom w:val="none" w:sz="0" w:space="0" w:color="auto"/>
        <w:right w:val="none" w:sz="0" w:space="0" w:color="auto"/>
      </w:divBdr>
    </w:div>
    <w:div w:id="301886024">
      <w:marLeft w:val="0"/>
      <w:marRight w:val="0"/>
      <w:marTop w:val="0"/>
      <w:marBottom w:val="0"/>
      <w:divBdr>
        <w:top w:val="none" w:sz="0" w:space="0" w:color="auto"/>
        <w:left w:val="none" w:sz="0" w:space="0" w:color="auto"/>
        <w:bottom w:val="none" w:sz="0" w:space="0" w:color="auto"/>
        <w:right w:val="none" w:sz="0" w:space="0" w:color="auto"/>
      </w:divBdr>
    </w:div>
    <w:div w:id="301886025">
      <w:marLeft w:val="0"/>
      <w:marRight w:val="0"/>
      <w:marTop w:val="0"/>
      <w:marBottom w:val="0"/>
      <w:divBdr>
        <w:top w:val="none" w:sz="0" w:space="0" w:color="auto"/>
        <w:left w:val="none" w:sz="0" w:space="0" w:color="auto"/>
        <w:bottom w:val="none" w:sz="0" w:space="0" w:color="auto"/>
        <w:right w:val="none" w:sz="0" w:space="0" w:color="auto"/>
      </w:divBdr>
    </w:div>
    <w:div w:id="301886026">
      <w:marLeft w:val="0"/>
      <w:marRight w:val="0"/>
      <w:marTop w:val="0"/>
      <w:marBottom w:val="0"/>
      <w:divBdr>
        <w:top w:val="none" w:sz="0" w:space="0" w:color="auto"/>
        <w:left w:val="none" w:sz="0" w:space="0" w:color="auto"/>
        <w:bottom w:val="none" w:sz="0" w:space="0" w:color="auto"/>
        <w:right w:val="none" w:sz="0" w:space="0" w:color="auto"/>
      </w:divBdr>
    </w:div>
    <w:div w:id="301886027">
      <w:marLeft w:val="0"/>
      <w:marRight w:val="0"/>
      <w:marTop w:val="0"/>
      <w:marBottom w:val="0"/>
      <w:divBdr>
        <w:top w:val="none" w:sz="0" w:space="0" w:color="auto"/>
        <w:left w:val="none" w:sz="0" w:space="0" w:color="auto"/>
        <w:bottom w:val="none" w:sz="0" w:space="0" w:color="auto"/>
        <w:right w:val="none" w:sz="0" w:space="0" w:color="auto"/>
      </w:divBdr>
    </w:div>
    <w:div w:id="301886028">
      <w:marLeft w:val="0"/>
      <w:marRight w:val="0"/>
      <w:marTop w:val="0"/>
      <w:marBottom w:val="0"/>
      <w:divBdr>
        <w:top w:val="none" w:sz="0" w:space="0" w:color="auto"/>
        <w:left w:val="none" w:sz="0" w:space="0" w:color="auto"/>
        <w:bottom w:val="none" w:sz="0" w:space="0" w:color="auto"/>
        <w:right w:val="none" w:sz="0" w:space="0" w:color="auto"/>
      </w:divBdr>
    </w:div>
    <w:div w:id="301886029">
      <w:marLeft w:val="0"/>
      <w:marRight w:val="0"/>
      <w:marTop w:val="0"/>
      <w:marBottom w:val="0"/>
      <w:divBdr>
        <w:top w:val="none" w:sz="0" w:space="0" w:color="auto"/>
        <w:left w:val="none" w:sz="0" w:space="0" w:color="auto"/>
        <w:bottom w:val="none" w:sz="0" w:space="0" w:color="auto"/>
        <w:right w:val="none" w:sz="0" w:space="0" w:color="auto"/>
      </w:divBdr>
    </w:div>
    <w:div w:id="301886030">
      <w:marLeft w:val="0"/>
      <w:marRight w:val="0"/>
      <w:marTop w:val="0"/>
      <w:marBottom w:val="0"/>
      <w:divBdr>
        <w:top w:val="none" w:sz="0" w:space="0" w:color="auto"/>
        <w:left w:val="none" w:sz="0" w:space="0" w:color="auto"/>
        <w:bottom w:val="none" w:sz="0" w:space="0" w:color="auto"/>
        <w:right w:val="none" w:sz="0" w:space="0" w:color="auto"/>
      </w:divBdr>
    </w:div>
    <w:div w:id="301886031">
      <w:marLeft w:val="0"/>
      <w:marRight w:val="0"/>
      <w:marTop w:val="0"/>
      <w:marBottom w:val="0"/>
      <w:divBdr>
        <w:top w:val="none" w:sz="0" w:space="0" w:color="auto"/>
        <w:left w:val="none" w:sz="0" w:space="0" w:color="auto"/>
        <w:bottom w:val="none" w:sz="0" w:space="0" w:color="auto"/>
        <w:right w:val="none" w:sz="0" w:space="0" w:color="auto"/>
      </w:divBdr>
    </w:div>
    <w:div w:id="301886032">
      <w:marLeft w:val="0"/>
      <w:marRight w:val="0"/>
      <w:marTop w:val="0"/>
      <w:marBottom w:val="0"/>
      <w:divBdr>
        <w:top w:val="none" w:sz="0" w:space="0" w:color="auto"/>
        <w:left w:val="none" w:sz="0" w:space="0" w:color="auto"/>
        <w:bottom w:val="none" w:sz="0" w:space="0" w:color="auto"/>
        <w:right w:val="none" w:sz="0" w:space="0" w:color="auto"/>
      </w:divBdr>
    </w:div>
    <w:div w:id="301886033">
      <w:marLeft w:val="0"/>
      <w:marRight w:val="0"/>
      <w:marTop w:val="0"/>
      <w:marBottom w:val="0"/>
      <w:divBdr>
        <w:top w:val="none" w:sz="0" w:space="0" w:color="auto"/>
        <w:left w:val="none" w:sz="0" w:space="0" w:color="auto"/>
        <w:bottom w:val="none" w:sz="0" w:space="0" w:color="auto"/>
        <w:right w:val="none" w:sz="0" w:space="0" w:color="auto"/>
      </w:divBdr>
    </w:div>
    <w:div w:id="301886034">
      <w:marLeft w:val="0"/>
      <w:marRight w:val="0"/>
      <w:marTop w:val="0"/>
      <w:marBottom w:val="0"/>
      <w:divBdr>
        <w:top w:val="none" w:sz="0" w:space="0" w:color="auto"/>
        <w:left w:val="none" w:sz="0" w:space="0" w:color="auto"/>
        <w:bottom w:val="none" w:sz="0" w:space="0" w:color="auto"/>
        <w:right w:val="none" w:sz="0" w:space="0" w:color="auto"/>
      </w:divBdr>
    </w:div>
    <w:div w:id="301886035">
      <w:marLeft w:val="0"/>
      <w:marRight w:val="0"/>
      <w:marTop w:val="0"/>
      <w:marBottom w:val="0"/>
      <w:divBdr>
        <w:top w:val="none" w:sz="0" w:space="0" w:color="auto"/>
        <w:left w:val="none" w:sz="0" w:space="0" w:color="auto"/>
        <w:bottom w:val="none" w:sz="0" w:space="0" w:color="auto"/>
        <w:right w:val="none" w:sz="0" w:space="0" w:color="auto"/>
      </w:divBdr>
    </w:div>
    <w:div w:id="301886036">
      <w:marLeft w:val="0"/>
      <w:marRight w:val="0"/>
      <w:marTop w:val="0"/>
      <w:marBottom w:val="0"/>
      <w:divBdr>
        <w:top w:val="none" w:sz="0" w:space="0" w:color="auto"/>
        <w:left w:val="none" w:sz="0" w:space="0" w:color="auto"/>
        <w:bottom w:val="none" w:sz="0" w:space="0" w:color="auto"/>
        <w:right w:val="none" w:sz="0" w:space="0" w:color="auto"/>
      </w:divBdr>
    </w:div>
    <w:div w:id="301886037">
      <w:marLeft w:val="0"/>
      <w:marRight w:val="0"/>
      <w:marTop w:val="0"/>
      <w:marBottom w:val="0"/>
      <w:divBdr>
        <w:top w:val="none" w:sz="0" w:space="0" w:color="auto"/>
        <w:left w:val="none" w:sz="0" w:space="0" w:color="auto"/>
        <w:bottom w:val="none" w:sz="0" w:space="0" w:color="auto"/>
        <w:right w:val="none" w:sz="0" w:space="0" w:color="auto"/>
      </w:divBdr>
    </w:div>
    <w:div w:id="301886038">
      <w:marLeft w:val="0"/>
      <w:marRight w:val="0"/>
      <w:marTop w:val="0"/>
      <w:marBottom w:val="0"/>
      <w:divBdr>
        <w:top w:val="none" w:sz="0" w:space="0" w:color="auto"/>
        <w:left w:val="none" w:sz="0" w:space="0" w:color="auto"/>
        <w:bottom w:val="none" w:sz="0" w:space="0" w:color="auto"/>
        <w:right w:val="none" w:sz="0" w:space="0" w:color="auto"/>
      </w:divBdr>
      <w:divsChild>
        <w:div w:id="301886012">
          <w:marLeft w:val="0"/>
          <w:marRight w:val="0"/>
          <w:marTop w:val="0"/>
          <w:marBottom w:val="0"/>
          <w:divBdr>
            <w:top w:val="none" w:sz="0" w:space="0" w:color="auto"/>
            <w:left w:val="none" w:sz="0" w:space="0" w:color="auto"/>
            <w:bottom w:val="none" w:sz="0" w:space="0" w:color="auto"/>
            <w:right w:val="none" w:sz="0" w:space="0" w:color="auto"/>
          </w:divBdr>
        </w:div>
      </w:divsChild>
    </w:div>
    <w:div w:id="301886039">
      <w:marLeft w:val="0"/>
      <w:marRight w:val="0"/>
      <w:marTop w:val="0"/>
      <w:marBottom w:val="0"/>
      <w:divBdr>
        <w:top w:val="none" w:sz="0" w:space="0" w:color="auto"/>
        <w:left w:val="none" w:sz="0" w:space="0" w:color="auto"/>
        <w:bottom w:val="none" w:sz="0" w:space="0" w:color="auto"/>
        <w:right w:val="none" w:sz="0" w:space="0" w:color="auto"/>
      </w:divBdr>
    </w:div>
    <w:div w:id="301886041">
      <w:marLeft w:val="0"/>
      <w:marRight w:val="0"/>
      <w:marTop w:val="0"/>
      <w:marBottom w:val="0"/>
      <w:divBdr>
        <w:top w:val="none" w:sz="0" w:space="0" w:color="auto"/>
        <w:left w:val="none" w:sz="0" w:space="0" w:color="auto"/>
        <w:bottom w:val="none" w:sz="0" w:space="0" w:color="auto"/>
        <w:right w:val="none" w:sz="0" w:space="0" w:color="auto"/>
      </w:divBdr>
    </w:div>
    <w:div w:id="301886042">
      <w:marLeft w:val="0"/>
      <w:marRight w:val="0"/>
      <w:marTop w:val="0"/>
      <w:marBottom w:val="0"/>
      <w:divBdr>
        <w:top w:val="none" w:sz="0" w:space="0" w:color="auto"/>
        <w:left w:val="none" w:sz="0" w:space="0" w:color="auto"/>
        <w:bottom w:val="none" w:sz="0" w:space="0" w:color="auto"/>
        <w:right w:val="none" w:sz="0" w:space="0" w:color="auto"/>
      </w:divBdr>
    </w:div>
    <w:div w:id="301886043">
      <w:marLeft w:val="0"/>
      <w:marRight w:val="0"/>
      <w:marTop w:val="0"/>
      <w:marBottom w:val="0"/>
      <w:divBdr>
        <w:top w:val="none" w:sz="0" w:space="0" w:color="auto"/>
        <w:left w:val="none" w:sz="0" w:space="0" w:color="auto"/>
        <w:bottom w:val="none" w:sz="0" w:space="0" w:color="auto"/>
        <w:right w:val="none" w:sz="0" w:space="0" w:color="auto"/>
      </w:divBdr>
    </w:div>
    <w:div w:id="301886044">
      <w:marLeft w:val="0"/>
      <w:marRight w:val="0"/>
      <w:marTop w:val="0"/>
      <w:marBottom w:val="0"/>
      <w:divBdr>
        <w:top w:val="none" w:sz="0" w:space="0" w:color="auto"/>
        <w:left w:val="none" w:sz="0" w:space="0" w:color="auto"/>
        <w:bottom w:val="none" w:sz="0" w:space="0" w:color="auto"/>
        <w:right w:val="none" w:sz="0" w:space="0" w:color="auto"/>
      </w:divBdr>
    </w:div>
    <w:div w:id="301886045">
      <w:marLeft w:val="0"/>
      <w:marRight w:val="0"/>
      <w:marTop w:val="0"/>
      <w:marBottom w:val="0"/>
      <w:divBdr>
        <w:top w:val="none" w:sz="0" w:space="0" w:color="auto"/>
        <w:left w:val="none" w:sz="0" w:space="0" w:color="auto"/>
        <w:bottom w:val="none" w:sz="0" w:space="0" w:color="auto"/>
        <w:right w:val="none" w:sz="0" w:space="0" w:color="auto"/>
      </w:divBdr>
    </w:div>
    <w:div w:id="301886046">
      <w:marLeft w:val="0"/>
      <w:marRight w:val="0"/>
      <w:marTop w:val="0"/>
      <w:marBottom w:val="0"/>
      <w:divBdr>
        <w:top w:val="none" w:sz="0" w:space="0" w:color="auto"/>
        <w:left w:val="none" w:sz="0" w:space="0" w:color="auto"/>
        <w:bottom w:val="none" w:sz="0" w:space="0" w:color="auto"/>
        <w:right w:val="none" w:sz="0" w:space="0" w:color="auto"/>
      </w:divBdr>
    </w:div>
    <w:div w:id="349986430">
      <w:bodyDiv w:val="1"/>
      <w:marLeft w:val="0"/>
      <w:marRight w:val="0"/>
      <w:marTop w:val="0"/>
      <w:marBottom w:val="0"/>
      <w:divBdr>
        <w:top w:val="none" w:sz="0" w:space="0" w:color="auto"/>
        <w:left w:val="none" w:sz="0" w:space="0" w:color="auto"/>
        <w:bottom w:val="none" w:sz="0" w:space="0" w:color="auto"/>
        <w:right w:val="none" w:sz="0" w:space="0" w:color="auto"/>
      </w:divBdr>
    </w:div>
    <w:div w:id="350567188">
      <w:bodyDiv w:val="1"/>
      <w:marLeft w:val="0"/>
      <w:marRight w:val="0"/>
      <w:marTop w:val="0"/>
      <w:marBottom w:val="0"/>
      <w:divBdr>
        <w:top w:val="none" w:sz="0" w:space="0" w:color="auto"/>
        <w:left w:val="none" w:sz="0" w:space="0" w:color="auto"/>
        <w:bottom w:val="none" w:sz="0" w:space="0" w:color="auto"/>
        <w:right w:val="none" w:sz="0" w:space="0" w:color="auto"/>
      </w:divBdr>
      <w:divsChild>
        <w:div w:id="1247107652">
          <w:marLeft w:val="0"/>
          <w:marRight w:val="0"/>
          <w:marTop w:val="0"/>
          <w:marBottom w:val="0"/>
          <w:divBdr>
            <w:top w:val="none" w:sz="0" w:space="0" w:color="auto"/>
            <w:left w:val="none" w:sz="0" w:space="0" w:color="auto"/>
            <w:bottom w:val="none" w:sz="0" w:space="0" w:color="auto"/>
            <w:right w:val="none" w:sz="0" w:space="0" w:color="auto"/>
          </w:divBdr>
        </w:div>
      </w:divsChild>
    </w:div>
    <w:div w:id="371535789">
      <w:bodyDiv w:val="1"/>
      <w:marLeft w:val="0"/>
      <w:marRight w:val="0"/>
      <w:marTop w:val="0"/>
      <w:marBottom w:val="0"/>
      <w:divBdr>
        <w:top w:val="none" w:sz="0" w:space="0" w:color="auto"/>
        <w:left w:val="none" w:sz="0" w:space="0" w:color="auto"/>
        <w:bottom w:val="none" w:sz="0" w:space="0" w:color="auto"/>
        <w:right w:val="none" w:sz="0" w:space="0" w:color="auto"/>
      </w:divBdr>
    </w:div>
    <w:div w:id="371729775">
      <w:bodyDiv w:val="1"/>
      <w:marLeft w:val="0"/>
      <w:marRight w:val="0"/>
      <w:marTop w:val="0"/>
      <w:marBottom w:val="0"/>
      <w:divBdr>
        <w:top w:val="none" w:sz="0" w:space="0" w:color="auto"/>
        <w:left w:val="none" w:sz="0" w:space="0" w:color="auto"/>
        <w:bottom w:val="none" w:sz="0" w:space="0" w:color="auto"/>
        <w:right w:val="none" w:sz="0" w:space="0" w:color="auto"/>
      </w:divBdr>
    </w:div>
    <w:div w:id="379745586">
      <w:bodyDiv w:val="1"/>
      <w:marLeft w:val="0"/>
      <w:marRight w:val="0"/>
      <w:marTop w:val="0"/>
      <w:marBottom w:val="0"/>
      <w:divBdr>
        <w:top w:val="none" w:sz="0" w:space="0" w:color="auto"/>
        <w:left w:val="none" w:sz="0" w:space="0" w:color="auto"/>
        <w:bottom w:val="none" w:sz="0" w:space="0" w:color="auto"/>
        <w:right w:val="none" w:sz="0" w:space="0" w:color="auto"/>
      </w:divBdr>
    </w:div>
    <w:div w:id="404257979">
      <w:bodyDiv w:val="1"/>
      <w:marLeft w:val="0"/>
      <w:marRight w:val="0"/>
      <w:marTop w:val="0"/>
      <w:marBottom w:val="0"/>
      <w:divBdr>
        <w:top w:val="none" w:sz="0" w:space="0" w:color="auto"/>
        <w:left w:val="none" w:sz="0" w:space="0" w:color="auto"/>
        <w:bottom w:val="none" w:sz="0" w:space="0" w:color="auto"/>
        <w:right w:val="none" w:sz="0" w:space="0" w:color="auto"/>
      </w:divBdr>
    </w:div>
    <w:div w:id="434442396">
      <w:bodyDiv w:val="1"/>
      <w:marLeft w:val="0"/>
      <w:marRight w:val="0"/>
      <w:marTop w:val="0"/>
      <w:marBottom w:val="0"/>
      <w:divBdr>
        <w:top w:val="none" w:sz="0" w:space="0" w:color="auto"/>
        <w:left w:val="none" w:sz="0" w:space="0" w:color="auto"/>
        <w:bottom w:val="none" w:sz="0" w:space="0" w:color="auto"/>
        <w:right w:val="none" w:sz="0" w:space="0" w:color="auto"/>
      </w:divBdr>
    </w:div>
    <w:div w:id="456947682">
      <w:bodyDiv w:val="1"/>
      <w:marLeft w:val="0"/>
      <w:marRight w:val="0"/>
      <w:marTop w:val="0"/>
      <w:marBottom w:val="0"/>
      <w:divBdr>
        <w:top w:val="none" w:sz="0" w:space="0" w:color="auto"/>
        <w:left w:val="none" w:sz="0" w:space="0" w:color="auto"/>
        <w:bottom w:val="none" w:sz="0" w:space="0" w:color="auto"/>
        <w:right w:val="none" w:sz="0" w:space="0" w:color="auto"/>
      </w:divBdr>
    </w:div>
    <w:div w:id="500513257">
      <w:bodyDiv w:val="1"/>
      <w:marLeft w:val="0"/>
      <w:marRight w:val="0"/>
      <w:marTop w:val="0"/>
      <w:marBottom w:val="0"/>
      <w:divBdr>
        <w:top w:val="none" w:sz="0" w:space="0" w:color="auto"/>
        <w:left w:val="none" w:sz="0" w:space="0" w:color="auto"/>
        <w:bottom w:val="none" w:sz="0" w:space="0" w:color="auto"/>
        <w:right w:val="none" w:sz="0" w:space="0" w:color="auto"/>
      </w:divBdr>
    </w:div>
    <w:div w:id="515465561">
      <w:bodyDiv w:val="1"/>
      <w:marLeft w:val="0"/>
      <w:marRight w:val="0"/>
      <w:marTop w:val="0"/>
      <w:marBottom w:val="0"/>
      <w:divBdr>
        <w:top w:val="none" w:sz="0" w:space="0" w:color="auto"/>
        <w:left w:val="none" w:sz="0" w:space="0" w:color="auto"/>
        <w:bottom w:val="none" w:sz="0" w:space="0" w:color="auto"/>
        <w:right w:val="none" w:sz="0" w:space="0" w:color="auto"/>
      </w:divBdr>
    </w:div>
    <w:div w:id="538319979">
      <w:bodyDiv w:val="1"/>
      <w:marLeft w:val="0"/>
      <w:marRight w:val="0"/>
      <w:marTop w:val="0"/>
      <w:marBottom w:val="0"/>
      <w:divBdr>
        <w:top w:val="none" w:sz="0" w:space="0" w:color="auto"/>
        <w:left w:val="none" w:sz="0" w:space="0" w:color="auto"/>
        <w:bottom w:val="none" w:sz="0" w:space="0" w:color="auto"/>
        <w:right w:val="none" w:sz="0" w:space="0" w:color="auto"/>
      </w:divBdr>
    </w:div>
    <w:div w:id="553467772">
      <w:bodyDiv w:val="1"/>
      <w:marLeft w:val="0"/>
      <w:marRight w:val="0"/>
      <w:marTop w:val="0"/>
      <w:marBottom w:val="0"/>
      <w:divBdr>
        <w:top w:val="none" w:sz="0" w:space="0" w:color="auto"/>
        <w:left w:val="none" w:sz="0" w:space="0" w:color="auto"/>
        <w:bottom w:val="none" w:sz="0" w:space="0" w:color="auto"/>
        <w:right w:val="none" w:sz="0" w:space="0" w:color="auto"/>
      </w:divBdr>
    </w:div>
    <w:div w:id="572854519">
      <w:bodyDiv w:val="1"/>
      <w:marLeft w:val="0"/>
      <w:marRight w:val="0"/>
      <w:marTop w:val="0"/>
      <w:marBottom w:val="0"/>
      <w:divBdr>
        <w:top w:val="none" w:sz="0" w:space="0" w:color="auto"/>
        <w:left w:val="none" w:sz="0" w:space="0" w:color="auto"/>
        <w:bottom w:val="none" w:sz="0" w:space="0" w:color="auto"/>
        <w:right w:val="none" w:sz="0" w:space="0" w:color="auto"/>
      </w:divBdr>
    </w:div>
    <w:div w:id="573857543">
      <w:bodyDiv w:val="1"/>
      <w:marLeft w:val="0"/>
      <w:marRight w:val="0"/>
      <w:marTop w:val="0"/>
      <w:marBottom w:val="0"/>
      <w:divBdr>
        <w:top w:val="none" w:sz="0" w:space="0" w:color="auto"/>
        <w:left w:val="none" w:sz="0" w:space="0" w:color="auto"/>
        <w:bottom w:val="none" w:sz="0" w:space="0" w:color="auto"/>
        <w:right w:val="none" w:sz="0" w:space="0" w:color="auto"/>
      </w:divBdr>
    </w:div>
    <w:div w:id="586305474">
      <w:bodyDiv w:val="1"/>
      <w:marLeft w:val="0"/>
      <w:marRight w:val="0"/>
      <w:marTop w:val="0"/>
      <w:marBottom w:val="0"/>
      <w:divBdr>
        <w:top w:val="none" w:sz="0" w:space="0" w:color="auto"/>
        <w:left w:val="none" w:sz="0" w:space="0" w:color="auto"/>
        <w:bottom w:val="none" w:sz="0" w:space="0" w:color="auto"/>
        <w:right w:val="none" w:sz="0" w:space="0" w:color="auto"/>
      </w:divBdr>
    </w:div>
    <w:div w:id="594557898">
      <w:bodyDiv w:val="1"/>
      <w:marLeft w:val="0"/>
      <w:marRight w:val="0"/>
      <w:marTop w:val="0"/>
      <w:marBottom w:val="0"/>
      <w:divBdr>
        <w:top w:val="none" w:sz="0" w:space="0" w:color="auto"/>
        <w:left w:val="none" w:sz="0" w:space="0" w:color="auto"/>
        <w:bottom w:val="none" w:sz="0" w:space="0" w:color="auto"/>
        <w:right w:val="none" w:sz="0" w:space="0" w:color="auto"/>
      </w:divBdr>
      <w:divsChild>
        <w:div w:id="939527433">
          <w:marLeft w:val="0"/>
          <w:marRight w:val="0"/>
          <w:marTop w:val="0"/>
          <w:marBottom w:val="0"/>
          <w:divBdr>
            <w:top w:val="none" w:sz="0" w:space="0" w:color="auto"/>
            <w:left w:val="none" w:sz="0" w:space="0" w:color="auto"/>
            <w:bottom w:val="none" w:sz="0" w:space="0" w:color="auto"/>
            <w:right w:val="none" w:sz="0" w:space="0" w:color="auto"/>
          </w:divBdr>
        </w:div>
      </w:divsChild>
    </w:div>
    <w:div w:id="603460378">
      <w:bodyDiv w:val="1"/>
      <w:marLeft w:val="0"/>
      <w:marRight w:val="0"/>
      <w:marTop w:val="0"/>
      <w:marBottom w:val="0"/>
      <w:divBdr>
        <w:top w:val="none" w:sz="0" w:space="0" w:color="auto"/>
        <w:left w:val="none" w:sz="0" w:space="0" w:color="auto"/>
        <w:bottom w:val="none" w:sz="0" w:space="0" w:color="auto"/>
        <w:right w:val="none" w:sz="0" w:space="0" w:color="auto"/>
      </w:divBdr>
    </w:div>
    <w:div w:id="618225896">
      <w:bodyDiv w:val="1"/>
      <w:marLeft w:val="0"/>
      <w:marRight w:val="0"/>
      <w:marTop w:val="0"/>
      <w:marBottom w:val="0"/>
      <w:divBdr>
        <w:top w:val="none" w:sz="0" w:space="0" w:color="auto"/>
        <w:left w:val="none" w:sz="0" w:space="0" w:color="auto"/>
        <w:bottom w:val="none" w:sz="0" w:space="0" w:color="auto"/>
        <w:right w:val="none" w:sz="0" w:space="0" w:color="auto"/>
      </w:divBdr>
    </w:div>
    <w:div w:id="628512216">
      <w:bodyDiv w:val="1"/>
      <w:marLeft w:val="0"/>
      <w:marRight w:val="0"/>
      <w:marTop w:val="0"/>
      <w:marBottom w:val="0"/>
      <w:divBdr>
        <w:top w:val="none" w:sz="0" w:space="0" w:color="auto"/>
        <w:left w:val="none" w:sz="0" w:space="0" w:color="auto"/>
        <w:bottom w:val="none" w:sz="0" w:space="0" w:color="auto"/>
        <w:right w:val="none" w:sz="0" w:space="0" w:color="auto"/>
      </w:divBdr>
      <w:divsChild>
        <w:div w:id="808202768">
          <w:marLeft w:val="0"/>
          <w:marRight w:val="0"/>
          <w:marTop w:val="0"/>
          <w:marBottom w:val="0"/>
          <w:divBdr>
            <w:top w:val="none" w:sz="0" w:space="0" w:color="auto"/>
            <w:left w:val="none" w:sz="0" w:space="0" w:color="auto"/>
            <w:bottom w:val="none" w:sz="0" w:space="0" w:color="auto"/>
            <w:right w:val="none" w:sz="0" w:space="0" w:color="auto"/>
          </w:divBdr>
        </w:div>
      </w:divsChild>
    </w:div>
    <w:div w:id="658341090">
      <w:bodyDiv w:val="1"/>
      <w:marLeft w:val="0"/>
      <w:marRight w:val="0"/>
      <w:marTop w:val="0"/>
      <w:marBottom w:val="0"/>
      <w:divBdr>
        <w:top w:val="none" w:sz="0" w:space="0" w:color="auto"/>
        <w:left w:val="none" w:sz="0" w:space="0" w:color="auto"/>
        <w:bottom w:val="none" w:sz="0" w:space="0" w:color="auto"/>
        <w:right w:val="none" w:sz="0" w:space="0" w:color="auto"/>
      </w:divBdr>
    </w:div>
    <w:div w:id="693120327">
      <w:bodyDiv w:val="1"/>
      <w:marLeft w:val="0"/>
      <w:marRight w:val="0"/>
      <w:marTop w:val="0"/>
      <w:marBottom w:val="0"/>
      <w:divBdr>
        <w:top w:val="none" w:sz="0" w:space="0" w:color="auto"/>
        <w:left w:val="none" w:sz="0" w:space="0" w:color="auto"/>
        <w:bottom w:val="none" w:sz="0" w:space="0" w:color="auto"/>
        <w:right w:val="none" w:sz="0" w:space="0" w:color="auto"/>
      </w:divBdr>
    </w:div>
    <w:div w:id="735126186">
      <w:bodyDiv w:val="1"/>
      <w:marLeft w:val="0"/>
      <w:marRight w:val="0"/>
      <w:marTop w:val="0"/>
      <w:marBottom w:val="0"/>
      <w:divBdr>
        <w:top w:val="none" w:sz="0" w:space="0" w:color="auto"/>
        <w:left w:val="none" w:sz="0" w:space="0" w:color="auto"/>
        <w:bottom w:val="none" w:sz="0" w:space="0" w:color="auto"/>
        <w:right w:val="none" w:sz="0" w:space="0" w:color="auto"/>
      </w:divBdr>
    </w:div>
    <w:div w:id="738669326">
      <w:bodyDiv w:val="1"/>
      <w:marLeft w:val="0"/>
      <w:marRight w:val="0"/>
      <w:marTop w:val="0"/>
      <w:marBottom w:val="0"/>
      <w:divBdr>
        <w:top w:val="none" w:sz="0" w:space="0" w:color="auto"/>
        <w:left w:val="none" w:sz="0" w:space="0" w:color="auto"/>
        <w:bottom w:val="none" w:sz="0" w:space="0" w:color="auto"/>
        <w:right w:val="none" w:sz="0" w:space="0" w:color="auto"/>
      </w:divBdr>
    </w:div>
    <w:div w:id="740249444">
      <w:bodyDiv w:val="1"/>
      <w:marLeft w:val="0"/>
      <w:marRight w:val="0"/>
      <w:marTop w:val="0"/>
      <w:marBottom w:val="0"/>
      <w:divBdr>
        <w:top w:val="none" w:sz="0" w:space="0" w:color="auto"/>
        <w:left w:val="none" w:sz="0" w:space="0" w:color="auto"/>
        <w:bottom w:val="none" w:sz="0" w:space="0" w:color="auto"/>
        <w:right w:val="none" w:sz="0" w:space="0" w:color="auto"/>
      </w:divBdr>
    </w:div>
    <w:div w:id="826819820">
      <w:bodyDiv w:val="1"/>
      <w:marLeft w:val="0"/>
      <w:marRight w:val="0"/>
      <w:marTop w:val="0"/>
      <w:marBottom w:val="0"/>
      <w:divBdr>
        <w:top w:val="none" w:sz="0" w:space="0" w:color="auto"/>
        <w:left w:val="none" w:sz="0" w:space="0" w:color="auto"/>
        <w:bottom w:val="none" w:sz="0" w:space="0" w:color="auto"/>
        <w:right w:val="none" w:sz="0" w:space="0" w:color="auto"/>
      </w:divBdr>
    </w:div>
    <w:div w:id="829716073">
      <w:bodyDiv w:val="1"/>
      <w:marLeft w:val="0"/>
      <w:marRight w:val="0"/>
      <w:marTop w:val="0"/>
      <w:marBottom w:val="0"/>
      <w:divBdr>
        <w:top w:val="none" w:sz="0" w:space="0" w:color="auto"/>
        <w:left w:val="none" w:sz="0" w:space="0" w:color="auto"/>
        <w:bottom w:val="none" w:sz="0" w:space="0" w:color="auto"/>
        <w:right w:val="none" w:sz="0" w:space="0" w:color="auto"/>
      </w:divBdr>
      <w:divsChild>
        <w:div w:id="2129544635">
          <w:marLeft w:val="0"/>
          <w:marRight w:val="0"/>
          <w:marTop w:val="0"/>
          <w:marBottom w:val="0"/>
          <w:divBdr>
            <w:top w:val="none" w:sz="0" w:space="0" w:color="auto"/>
            <w:left w:val="none" w:sz="0" w:space="0" w:color="auto"/>
            <w:bottom w:val="none" w:sz="0" w:space="0" w:color="auto"/>
            <w:right w:val="none" w:sz="0" w:space="0" w:color="auto"/>
          </w:divBdr>
        </w:div>
      </w:divsChild>
    </w:div>
    <w:div w:id="908539276">
      <w:bodyDiv w:val="1"/>
      <w:marLeft w:val="0"/>
      <w:marRight w:val="0"/>
      <w:marTop w:val="0"/>
      <w:marBottom w:val="0"/>
      <w:divBdr>
        <w:top w:val="none" w:sz="0" w:space="0" w:color="auto"/>
        <w:left w:val="none" w:sz="0" w:space="0" w:color="auto"/>
        <w:bottom w:val="none" w:sz="0" w:space="0" w:color="auto"/>
        <w:right w:val="none" w:sz="0" w:space="0" w:color="auto"/>
      </w:divBdr>
    </w:div>
    <w:div w:id="918948389">
      <w:bodyDiv w:val="1"/>
      <w:marLeft w:val="0"/>
      <w:marRight w:val="0"/>
      <w:marTop w:val="0"/>
      <w:marBottom w:val="0"/>
      <w:divBdr>
        <w:top w:val="none" w:sz="0" w:space="0" w:color="auto"/>
        <w:left w:val="none" w:sz="0" w:space="0" w:color="auto"/>
        <w:bottom w:val="none" w:sz="0" w:space="0" w:color="auto"/>
        <w:right w:val="none" w:sz="0" w:space="0" w:color="auto"/>
      </w:divBdr>
    </w:div>
    <w:div w:id="1018237254">
      <w:bodyDiv w:val="1"/>
      <w:marLeft w:val="0"/>
      <w:marRight w:val="0"/>
      <w:marTop w:val="0"/>
      <w:marBottom w:val="0"/>
      <w:divBdr>
        <w:top w:val="none" w:sz="0" w:space="0" w:color="auto"/>
        <w:left w:val="none" w:sz="0" w:space="0" w:color="auto"/>
        <w:bottom w:val="none" w:sz="0" w:space="0" w:color="auto"/>
        <w:right w:val="none" w:sz="0" w:space="0" w:color="auto"/>
      </w:divBdr>
    </w:div>
    <w:div w:id="1047025881">
      <w:bodyDiv w:val="1"/>
      <w:marLeft w:val="0"/>
      <w:marRight w:val="0"/>
      <w:marTop w:val="0"/>
      <w:marBottom w:val="0"/>
      <w:divBdr>
        <w:top w:val="none" w:sz="0" w:space="0" w:color="auto"/>
        <w:left w:val="none" w:sz="0" w:space="0" w:color="auto"/>
        <w:bottom w:val="none" w:sz="0" w:space="0" w:color="auto"/>
        <w:right w:val="none" w:sz="0" w:space="0" w:color="auto"/>
      </w:divBdr>
    </w:div>
    <w:div w:id="1047029589">
      <w:bodyDiv w:val="1"/>
      <w:marLeft w:val="0"/>
      <w:marRight w:val="0"/>
      <w:marTop w:val="0"/>
      <w:marBottom w:val="0"/>
      <w:divBdr>
        <w:top w:val="none" w:sz="0" w:space="0" w:color="auto"/>
        <w:left w:val="none" w:sz="0" w:space="0" w:color="auto"/>
        <w:bottom w:val="none" w:sz="0" w:space="0" w:color="auto"/>
        <w:right w:val="none" w:sz="0" w:space="0" w:color="auto"/>
      </w:divBdr>
    </w:div>
    <w:div w:id="1049690149">
      <w:bodyDiv w:val="1"/>
      <w:marLeft w:val="0"/>
      <w:marRight w:val="0"/>
      <w:marTop w:val="0"/>
      <w:marBottom w:val="0"/>
      <w:divBdr>
        <w:top w:val="none" w:sz="0" w:space="0" w:color="auto"/>
        <w:left w:val="none" w:sz="0" w:space="0" w:color="auto"/>
        <w:bottom w:val="none" w:sz="0" w:space="0" w:color="auto"/>
        <w:right w:val="none" w:sz="0" w:space="0" w:color="auto"/>
      </w:divBdr>
    </w:div>
    <w:div w:id="1062295284">
      <w:bodyDiv w:val="1"/>
      <w:marLeft w:val="0"/>
      <w:marRight w:val="0"/>
      <w:marTop w:val="0"/>
      <w:marBottom w:val="0"/>
      <w:divBdr>
        <w:top w:val="none" w:sz="0" w:space="0" w:color="auto"/>
        <w:left w:val="none" w:sz="0" w:space="0" w:color="auto"/>
        <w:bottom w:val="none" w:sz="0" w:space="0" w:color="auto"/>
        <w:right w:val="none" w:sz="0" w:space="0" w:color="auto"/>
      </w:divBdr>
    </w:div>
    <w:div w:id="1070929816">
      <w:bodyDiv w:val="1"/>
      <w:marLeft w:val="0"/>
      <w:marRight w:val="0"/>
      <w:marTop w:val="0"/>
      <w:marBottom w:val="0"/>
      <w:divBdr>
        <w:top w:val="none" w:sz="0" w:space="0" w:color="auto"/>
        <w:left w:val="none" w:sz="0" w:space="0" w:color="auto"/>
        <w:bottom w:val="none" w:sz="0" w:space="0" w:color="auto"/>
        <w:right w:val="none" w:sz="0" w:space="0" w:color="auto"/>
      </w:divBdr>
    </w:div>
    <w:div w:id="1072386390">
      <w:bodyDiv w:val="1"/>
      <w:marLeft w:val="0"/>
      <w:marRight w:val="0"/>
      <w:marTop w:val="0"/>
      <w:marBottom w:val="0"/>
      <w:divBdr>
        <w:top w:val="none" w:sz="0" w:space="0" w:color="auto"/>
        <w:left w:val="none" w:sz="0" w:space="0" w:color="auto"/>
        <w:bottom w:val="none" w:sz="0" w:space="0" w:color="auto"/>
        <w:right w:val="none" w:sz="0" w:space="0" w:color="auto"/>
      </w:divBdr>
    </w:div>
    <w:div w:id="1079864147">
      <w:bodyDiv w:val="1"/>
      <w:marLeft w:val="0"/>
      <w:marRight w:val="0"/>
      <w:marTop w:val="0"/>
      <w:marBottom w:val="0"/>
      <w:divBdr>
        <w:top w:val="none" w:sz="0" w:space="0" w:color="auto"/>
        <w:left w:val="none" w:sz="0" w:space="0" w:color="auto"/>
        <w:bottom w:val="none" w:sz="0" w:space="0" w:color="auto"/>
        <w:right w:val="none" w:sz="0" w:space="0" w:color="auto"/>
      </w:divBdr>
    </w:div>
    <w:div w:id="1103964691">
      <w:bodyDiv w:val="1"/>
      <w:marLeft w:val="0"/>
      <w:marRight w:val="0"/>
      <w:marTop w:val="0"/>
      <w:marBottom w:val="0"/>
      <w:divBdr>
        <w:top w:val="none" w:sz="0" w:space="0" w:color="auto"/>
        <w:left w:val="none" w:sz="0" w:space="0" w:color="auto"/>
        <w:bottom w:val="none" w:sz="0" w:space="0" w:color="auto"/>
        <w:right w:val="none" w:sz="0" w:space="0" w:color="auto"/>
      </w:divBdr>
    </w:div>
    <w:div w:id="1104576132">
      <w:bodyDiv w:val="1"/>
      <w:marLeft w:val="0"/>
      <w:marRight w:val="0"/>
      <w:marTop w:val="0"/>
      <w:marBottom w:val="0"/>
      <w:divBdr>
        <w:top w:val="none" w:sz="0" w:space="0" w:color="auto"/>
        <w:left w:val="none" w:sz="0" w:space="0" w:color="auto"/>
        <w:bottom w:val="none" w:sz="0" w:space="0" w:color="auto"/>
        <w:right w:val="none" w:sz="0" w:space="0" w:color="auto"/>
      </w:divBdr>
    </w:div>
    <w:div w:id="1107889672">
      <w:bodyDiv w:val="1"/>
      <w:marLeft w:val="0"/>
      <w:marRight w:val="0"/>
      <w:marTop w:val="0"/>
      <w:marBottom w:val="0"/>
      <w:divBdr>
        <w:top w:val="none" w:sz="0" w:space="0" w:color="auto"/>
        <w:left w:val="none" w:sz="0" w:space="0" w:color="auto"/>
        <w:bottom w:val="none" w:sz="0" w:space="0" w:color="auto"/>
        <w:right w:val="none" w:sz="0" w:space="0" w:color="auto"/>
      </w:divBdr>
    </w:div>
    <w:div w:id="1108161298">
      <w:bodyDiv w:val="1"/>
      <w:marLeft w:val="0"/>
      <w:marRight w:val="0"/>
      <w:marTop w:val="0"/>
      <w:marBottom w:val="0"/>
      <w:divBdr>
        <w:top w:val="none" w:sz="0" w:space="0" w:color="auto"/>
        <w:left w:val="none" w:sz="0" w:space="0" w:color="auto"/>
        <w:bottom w:val="none" w:sz="0" w:space="0" w:color="auto"/>
        <w:right w:val="none" w:sz="0" w:space="0" w:color="auto"/>
      </w:divBdr>
    </w:div>
    <w:div w:id="1192718742">
      <w:bodyDiv w:val="1"/>
      <w:marLeft w:val="0"/>
      <w:marRight w:val="0"/>
      <w:marTop w:val="0"/>
      <w:marBottom w:val="0"/>
      <w:divBdr>
        <w:top w:val="none" w:sz="0" w:space="0" w:color="auto"/>
        <w:left w:val="none" w:sz="0" w:space="0" w:color="auto"/>
        <w:bottom w:val="none" w:sz="0" w:space="0" w:color="auto"/>
        <w:right w:val="none" w:sz="0" w:space="0" w:color="auto"/>
      </w:divBdr>
    </w:div>
    <w:div w:id="1219435806">
      <w:bodyDiv w:val="1"/>
      <w:marLeft w:val="0"/>
      <w:marRight w:val="0"/>
      <w:marTop w:val="0"/>
      <w:marBottom w:val="0"/>
      <w:divBdr>
        <w:top w:val="none" w:sz="0" w:space="0" w:color="auto"/>
        <w:left w:val="none" w:sz="0" w:space="0" w:color="auto"/>
        <w:bottom w:val="none" w:sz="0" w:space="0" w:color="auto"/>
        <w:right w:val="none" w:sz="0" w:space="0" w:color="auto"/>
      </w:divBdr>
    </w:div>
    <w:div w:id="1237476002">
      <w:bodyDiv w:val="1"/>
      <w:marLeft w:val="0"/>
      <w:marRight w:val="0"/>
      <w:marTop w:val="0"/>
      <w:marBottom w:val="0"/>
      <w:divBdr>
        <w:top w:val="none" w:sz="0" w:space="0" w:color="auto"/>
        <w:left w:val="none" w:sz="0" w:space="0" w:color="auto"/>
        <w:bottom w:val="none" w:sz="0" w:space="0" w:color="auto"/>
        <w:right w:val="none" w:sz="0" w:space="0" w:color="auto"/>
      </w:divBdr>
    </w:div>
    <w:div w:id="1238244289">
      <w:bodyDiv w:val="1"/>
      <w:marLeft w:val="0"/>
      <w:marRight w:val="0"/>
      <w:marTop w:val="0"/>
      <w:marBottom w:val="0"/>
      <w:divBdr>
        <w:top w:val="none" w:sz="0" w:space="0" w:color="auto"/>
        <w:left w:val="none" w:sz="0" w:space="0" w:color="auto"/>
        <w:bottom w:val="none" w:sz="0" w:space="0" w:color="auto"/>
        <w:right w:val="none" w:sz="0" w:space="0" w:color="auto"/>
      </w:divBdr>
    </w:div>
    <w:div w:id="1258363008">
      <w:bodyDiv w:val="1"/>
      <w:marLeft w:val="0"/>
      <w:marRight w:val="0"/>
      <w:marTop w:val="0"/>
      <w:marBottom w:val="0"/>
      <w:divBdr>
        <w:top w:val="none" w:sz="0" w:space="0" w:color="auto"/>
        <w:left w:val="none" w:sz="0" w:space="0" w:color="auto"/>
        <w:bottom w:val="none" w:sz="0" w:space="0" w:color="auto"/>
        <w:right w:val="none" w:sz="0" w:space="0" w:color="auto"/>
      </w:divBdr>
    </w:div>
    <w:div w:id="1276207194">
      <w:bodyDiv w:val="1"/>
      <w:marLeft w:val="0"/>
      <w:marRight w:val="0"/>
      <w:marTop w:val="0"/>
      <w:marBottom w:val="0"/>
      <w:divBdr>
        <w:top w:val="none" w:sz="0" w:space="0" w:color="auto"/>
        <w:left w:val="none" w:sz="0" w:space="0" w:color="auto"/>
        <w:bottom w:val="none" w:sz="0" w:space="0" w:color="auto"/>
        <w:right w:val="none" w:sz="0" w:space="0" w:color="auto"/>
      </w:divBdr>
    </w:div>
    <w:div w:id="1296254203">
      <w:bodyDiv w:val="1"/>
      <w:marLeft w:val="0"/>
      <w:marRight w:val="0"/>
      <w:marTop w:val="0"/>
      <w:marBottom w:val="0"/>
      <w:divBdr>
        <w:top w:val="none" w:sz="0" w:space="0" w:color="auto"/>
        <w:left w:val="none" w:sz="0" w:space="0" w:color="auto"/>
        <w:bottom w:val="none" w:sz="0" w:space="0" w:color="auto"/>
        <w:right w:val="none" w:sz="0" w:space="0" w:color="auto"/>
      </w:divBdr>
    </w:div>
    <w:div w:id="1339573951">
      <w:bodyDiv w:val="1"/>
      <w:marLeft w:val="0"/>
      <w:marRight w:val="0"/>
      <w:marTop w:val="0"/>
      <w:marBottom w:val="0"/>
      <w:divBdr>
        <w:top w:val="none" w:sz="0" w:space="0" w:color="auto"/>
        <w:left w:val="none" w:sz="0" w:space="0" w:color="auto"/>
        <w:bottom w:val="none" w:sz="0" w:space="0" w:color="auto"/>
        <w:right w:val="none" w:sz="0" w:space="0" w:color="auto"/>
      </w:divBdr>
      <w:divsChild>
        <w:div w:id="293297214">
          <w:marLeft w:val="0"/>
          <w:marRight w:val="0"/>
          <w:marTop w:val="0"/>
          <w:marBottom w:val="0"/>
          <w:divBdr>
            <w:top w:val="none" w:sz="0" w:space="0" w:color="auto"/>
            <w:left w:val="none" w:sz="0" w:space="0" w:color="auto"/>
            <w:bottom w:val="none" w:sz="0" w:space="0" w:color="auto"/>
            <w:right w:val="none" w:sz="0" w:space="0" w:color="auto"/>
          </w:divBdr>
        </w:div>
      </w:divsChild>
    </w:div>
    <w:div w:id="1353187894">
      <w:bodyDiv w:val="1"/>
      <w:marLeft w:val="0"/>
      <w:marRight w:val="0"/>
      <w:marTop w:val="0"/>
      <w:marBottom w:val="0"/>
      <w:divBdr>
        <w:top w:val="none" w:sz="0" w:space="0" w:color="auto"/>
        <w:left w:val="none" w:sz="0" w:space="0" w:color="auto"/>
        <w:bottom w:val="none" w:sz="0" w:space="0" w:color="auto"/>
        <w:right w:val="none" w:sz="0" w:space="0" w:color="auto"/>
      </w:divBdr>
    </w:div>
    <w:div w:id="1366832243">
      <w:bodyDiv w:val="1"/>
      <w:marLeft w:val="0"/>
      <w:marRight w:val="0"/>
      <w:marTop w:val="0"/>
      <w:marBottom w:val="0"/>
      <w:divBdr>
        <w:top w:val="none" w:sz="0" w:space="0" w:color="auto"/>
        <w:left w:val="none" w:sz="0" w:space="0" w:color="auto"/>
        <w:bottom w:val="none" w:sz="0" w:space="0" w:color="auto"/>
        <w:right w:val="none" w:sz="0" w:space="0" w:color="auto"/>
      </w:divBdr>
    </w:div>
    <w:div w:id="1481337820">
      <w:bodyDiv w:val="1"/>
      <w:marLeft w:val="0"/>
      <w:marRight w:val="0"/>
      <w:marTop w:val="0"/>
      <w:marBottom w:val="0"/>
      <w:divBdr>
        <w:top w:val="none" w:sz="0" w:space="0" w:color="auto"/>
        <w:left w:val="none" w:sz="0" w:space="0" w:color="auto"/>
        <w:bottom w:val="none" w:sz="0" w:space="0" w:color="auto"/>
        <w:right w:val="none" w:sz="0" w:space="0" w:color="auto"/>
      </w:divBdr>
    </w:div>
    <w:div w:id="1487287306">
      <w:bodyDiv w:val="1"/>
      <w:marLeft w:val="0"/>
      <w:marRight w:val="0"/>
      <w:marTop w:val="0"/>
      <w:marBottom w:val="0"/>
      <w:divBdr>
        <w:top w:val="none" w:sz="0" w:space="0" w:color="auto"/>
        <w:left w:val="none" w:sz="0" w:space="0" w:color="auto"/>
        <w:bottom w:val="none" w:sz="0" w:space="0" w:color="auto"/>
        <w:right w:val="none" w:sz="0" w:space="0" w:color="auto"/>
      </w:divBdr>
    </w:div>
    <w:div w:id="1499006297">
      <w:bodyDiv w:val="1"/>
      <w:marLeft w:val="0"/>
      <w:marRight w:val="0"/>
      <w:marTop w:val="0"/>
      <w:marBottom w:val="0"/>
      <w:divBdr>
        <w:top w:val="none" w:sz="0" w:space="0" w:color="auto"/>
        <w:left w:val="none" w:sz="0" w:space="0" w:color="auto"/>
        <w:bottom w:val="none" w:sz="0" w:space="0" w:color="auto"/>
        <w:right w:val="none" w:sz="0" w:space="0" w:color="auto"/>
      </w:divBdr>
    </w:div>
    <w:div w:id="1594820312">
      <w:bodyDiv w:val="1"/>
      <w:marLeft w:val="0"/>
      <w:marRight w:val="0"/>
      <w:marTop w:val="0"/>
      <w:marBottom w:val="0"/>
      <w:divBdr>
        <w:top w:val="none" w:sz="0" w:space="0" w:color="auto"/>
        <w:left w:val="none" w:sz="0" w:space="0" w:color="auto"/>
        <w:bottom w:val="none" w:sz="0" w:space="0" w:color="auto"/>
        <w:right w:val="none" w:sz="0" w:space="0" w:color="auto"/>
      </w:divBdr>
    </w:div>
    <w:div w:id="1595867814">
      <w:bodyDiv w:val="1"/>
      <w:marLeft w:val="0"/>
      <w:marRight w:val="0"/>
      <w:marTop w:val="0"/>
      <w:marBottom w:val="0"/>
      <w:divBdr>
        <w:top w:val="none" w:sz="0" w:space="0" w:color="auto"/>
        <w:left w:val="none" w:sz="0" w:space="0" w:color="auto"/>
        <w:bottom w:val="none" w:sz="0" w:space="0" w:color="auto"/>
        <w:right w:val="none" w:sz="0" w:space="0" w:color="auto"/>
      </w:divBdr>
    </w:div>
    <w:div w:id="1608080532">
      <w:bodyDiv w:val="1"/>
      <w:marLeft w:val="0"/>
      <w:marRight w:val="0"/>
      <w:marTop w:val="0"/>
      <w:marBottom w:val="0"/>
      <w:divBdr>
        <w:top w:val="none" w:sz="0" w:space="0" w:color="auto"/>
        <w:left w:val="none" w:sz="0" w:space="0" w:color="auto"/>
        <w:bottom w:val="none" w:sz="0" w:space="0" w:color="auto"/>
        <w:right w:val="none" w:sz="0" w:space="0" w:color="auto"/>
      </w:divBdr>
    </w:div>
    <w:div w:id="1613514125">
      <w:bodyDiv w:val="1"/>
      <w:marLeft w:val="0"/>
      <w:marRight w:val="0"/>
      <w:marTop w:val="0"/>
      <w:marBottom w:val="0"/>
      <w:divBdr>
        <w:top w:val="none" w:sz="0" w:space="0" w:color="auto"/>
        <w:left w:val="none" w:sz="0" w:space="0" w:color="auto"/>
        <w:bottom w:val="none" w:sz="0" w:space="0" w:color="auto"/>
        <w:right w:val="none" w:sz="0" w:space="0" w:color="auto"/>
      </w:divBdr>
    </w:div>
    <w:div w:id="1623535156">
      <w:bodyDiv w:val="1"/>
      <w:marLeft w:val="0"/>
      <w:marRight w:val="0"/>
      <w:marTop w:val="0"/>
      <w:marBottom w:val="0"/>
      <w:divBdr>
        <w:top w:val="none" w:sz="0" w:space="0" w:color="auto"/>
        <w:left w:val="none" w:sz="0" w:space="0" w:color="auto"/>
        <w:bottom w:val="none" w:sz="0" w:space="0" w:color="auto"/>
        <w:right w:val="none" w:sz="0" w:space="0" w:color="auto"/>
      </w:divBdr>
    </w:div>
    <w:div w:id="1637761150">
      <w:bodyDiv w:val="1"/>
      <w:marLeft w:val="0"/>
      <w:marRight w:val="0"/>
      <w:marTop w:val="0"/>
      <w:marBottom w:val="0"/>
      <w:divBdr>
        <w:top w:val="none" w:sz="0" w:space="0" w:color="auto"/>
        <w:left w:val="none" w:sz="0" w:space="0" w:color="auto"/>
        <w:bottom w:val="none" w:sz="0" w:space="0" w:color="auto"/>
        <w:right w:val="none" w:sz="0" w:space="0" w:color="auto"/>
      </w:divBdr>
      <w:divsChild>
        <w:div w:id="634333776">
          <w:marLeft w:val="547"/>
          <w:marRight w:val="0"/>
          <w:marTop w:val="0"/>
          <w:marBottom w:val="0"/>
          <w:divBdr>
            <w:top w:val="none" w:sz="0" w:space="0" w:color="auto"/>
            <w:left w:val="none" w:sz="0" w:space="0" w:color="auto"/>
            <w:bottom w:val="none" w:sz="0" w:space="0" w:color="auto"/>
            <w:right w:val="none" w:sz="0" w:space="0" w:color="auto"/>
          </w:divBdr>
        </w:div>
      </w:divsChild>
    </w:div>
    <w:div w:id="1639607200">
      <w:bodyDiv w:val="1"/>
      <w:marLeft w:val="0"/>
      <w:marRight w:val="0"/>
      <w:marTop w:val="0"/>
      <w:marBottom w:val="0"/>
      <w:divBdr>
        <w:top w:val="none" w:sz="0" w:space="0" w:color="auto"/>
        <w:left w:val="none" w:sz="0" w:space="0" w:color="auto"/>
        <w:bottom w:val="none" w:sz="0" w:space="0" w:color="auto"/>
        <w:right w:val="none" w:sz="0" w:space="0" w:color="auto"/>
      </w:divBdr>
    </w:div>
    <w:div w:id="1643996398">
      <w:bodyDiv w:val="1"/>
      <w:marLeft w:val="0"/>
      <w:marRight w:val="0"/>
      <w:marTop w:val="0"/>
      <w:marBottom w:val="0"/>
      <w:divBdr>
        <w:top w:val="none" w:sz="0" w:space="0" w:color="auto"/>
        <w:left w:val="none" w:sz="0" w:space="0" w:color="auto"/>
        <w:bottom w:val="none" w:sz="0" w:space="0" w:color="auto"/>
        <w:right w:val="none" w:sz="0" w:space="0" w:color="auto"/>
      </w:divBdr>
    </w:div>
    <w:div w:id="1684625034">
      <w:bodyDiv w:val="1"/>
      <w:marLeft w:val="0"/>
      <w:marRight w:val="0"/>
      <w:marTop w:val="0"/>
      <w:marBottom w:val="0"/>
      <w:divBdr>
        <w:top w:val="none" w:sz="0" w:space="0" w:color="auto"/>
        <w:left w:val="none" w:sz="0" w:space="0" w:color="auto"/>
        <w:bottom w:val="none" w:sz="0" w:space="0" w:color="auto"/>
        <w:right w:val="none" w:sz="0" w:space="0" w:color="auto"/>
      </w:divBdr>
    </w:div>
    <w:div w:id="1697004331">
      <w:bodyDiv w:val="1"/>
      <w:marLeft w:val="0"/>
      <w:marRight w:val="0"/>
      <w:marTop w:val="0"/>
      <w:marBottom w:val="0"/>
      <w:divBdr>
        <w:top w:val="none" w:sz="0" w:space="0" w:color="auto"/>
        <w:left w:val="none" w:sz="0" w:space="0" w:color="auto"/>
        <w:bottom w:val="none" w:sz="0" w:space="0" w:color="auto"/>
        <w:right w:val="none" w:sz="0" w:space="0" w:color="auto"/>
      </w:divBdr>
    </w:div>
    <w:div w:id="1730029947">
      <w:bodyDiv w:val="1"/>
      <w:marLeft w:val="0"/>
      <w:marRight w:val="0"/>
      <w:marTop w:val="0"/>
      <w:marBottom w:val="0"/>
      <w:divBdr>
        <w:top w:val="none" w:sz="0" w:space="0" w:color="auto"/>
        <w:left w:val="none" w:sz="0" w:space="0" w:color="auto"/>
        <w:bottom w:val="none" w:sz="0" w:space="0" w:color="auto"/>
        <w:right w:val="none" w:sz="0" w:space="0" w:color="auto"/>
      </w:divBdr>
    </w:div>
    <w:div w:id="1740708152">
      <w:bodyDiv w:val="1"/>
      <w:marLeft w:val="0"/>
      <w:marRight w:val="0"/>
      <w:marTop w:val="0"/>
      <w:marBottom w:val="0"/>
      <w:divBdr>
        <w:top w:val="none" w:sz="0" w:space="0" w:color="auto"/>
        <w:left w:val="none" w:sz="0" w:space="0" w:color="auto"/>
        <w:bottom w:val="none" w:sz="0" w:space="0" w:color="auto"/>
        <w:right w:val="none" w:sz="0" w:space="0" w:color="auto"/>
      </w:divBdr>
    </w:div>
    <w:div w:id="1755009750">
      <w:bodyDiv w:val="1"/>
      <w:marLeft w:val="0"/>
      <w:marRight w:val="0"/>
      <w:marTop w:val="0"/>
      <w:marBottom w:val="0"/>
      <w:divBdr>
        <w:top w:val="none" w:sz="0" w:space="0" w:color="auto"/>
        <w:left w:val="none" w:sz="0" w:space="0" w:color="auto"/>
        <w:bottom w:val="none" w:sz="0" w:space="0" w:color="auto"/>
        <w:right w:val="none" w:sz="0" w:space="0" w:color="auto"/>
      </w:divBdr>
    </w:div>
    <w:div w:id="1791165872">
      <w:bodyDiv w:val="1"/>
      <w:marLeft w:val="0"/>
      <w:marRight w:val="0"/>
      <w:marTop w:val="0"/>
      <w:marBottom w:val="0"/>
      <w:divBdr>
        <w:top w:val="none" w:sz="0" w:space="0" w:color="auto"/>
        <w:left w:val="none" w:sz="0" w:space="0" w:color="auto"/>
        <w:bottom w:val="none" w:sz="0" w:space="0" w:color="auto"/>
        <w:right w:val="none" w:sz="0" w:space="0" w:color="auto"/>
      </w:divBdr>
      <w:divsChild>
        <w:div w:id="874460607">
          <w:marLeft w:val="0"/>
          <w:marRight w:val="0"/>
          <w:marTop w:val="0"/>
          <w:marBottom w:val="0"/>
          <w:divBdr>
            <w:top w:val="none" w:sz="0" w:space="0" w:color="auto"/>
            <w:left w:val="none" w:sz="0" w:space="0" w:color="auto"/>
            <w:bottom w:val="none" w:sz="0" w:space="0" w:color="auto"/>
            <w:right w:val="none" w:sz="0" w:space="0" w:color="auto"/>
          </w:divBdr>
        </w:div>
      </w:divsChild>
    </w:div>
    <w:div w:id="1841775554">
      <w:bodyDiv w:val="1"/>
      <w:marLeft w:val="0"/>
      <w:marRight w:val="0"/>
      <w:marTop w:val="0"/>
      <w:marBottom w:val="0"/>
      <w:divBdr>
        <w:top w:val="none" w:sz="0" w:space="0" w:color="auto"/>
        <w:left w:val="none" w:sz="0" w:space="0" w:color="auto"/>
        <w:bottom w:val="none" w:sz="0" w:space="0" w:color="auto"/>
        <w:right w:val="none" w:sz="0" w:space="0" w:color="auto"/>
      </w:divBdr>
    </w:div>
    <w:div w:id="1857115378">
      <w:bodyDiv w:val="1"/>
      <w:marLeft w:val="0"/>
      <w:marRight w:val="0"/>
      <w:marTop w:val="0"/>
      <w:marBottom w:val="0"/>
      <w:divBdr>
        <w:top w:val="none" w:sz="0" w:space="0" w:color="auto"/>
        <w:left w:val="none" w:sz="0" w:space="0" w:color="auto"/>
        <w:bottom w:val="none" w:sz="0" w:space="0" w:color="auto"/>
        <w:right w:val="none" w:sz="0" w:space="0" w:color="auto"/>
      </w:divBdr>
    </w:div>
    <w:div w:id="1876308611">
      <w:bodyDiv w:val="1"/>
      <w:marLeft w:val="0"/>
      <w:marRight w:val="0"/>
      <w:marTop w:val="0"/>
      <w:marBottom w:val="0"/>
      <w:divBdr>
        <w:top w:val="none" w:sz="0" w:space="0" w:color="auto"/>
        <w:left w:val="none" w:sz="0" w:space="0" w:color="auto"/>
        <w:bottom w:val="none" w:sz="0" w:space="0" w:color="auto"/>
        <w:right w:val="none" w:sz="0" w:space="0" w:color="auto"/>
      </w:divBdr>
    </w:div>
    <w:div w:id="1878856425">
      <w:bodyDiv w:val="1"/>
      <w:marLeft w:val="0"/>
      <w:marRight w:val="0"/>
      <w:marTop w:val="0"/>
      <w:marBottom w:val="0"/>
      <w:divBdr>
        <w:top w:val="none" w:sz="0" w:space="0" w:color="auto"/>
        <w:left w:val="none" w:sz="0" w:space="0" w:color="auto"/>
        <w:bottom w:val="none" w:sz="0" w:space="0" w:color="auto"/>
        <w:right w:val="none" w:sz="0" w:space="0" w:color="auto"/>
      </w:divBdr>
    </w:div>
    <w:div w:id="1914122979">
      <w:bodyDiv w:val="1"/>
      <w:marLeft w:val="0"/>
      <w:marRight w:val="0"/>
      <w:marTop w:val="0"/>
      <w:marBottom w:val="0"/>
      <w:divBdr>
        <w:top w:val="none" w:sz="0" w:space="0" w:color="auto"/>
        <w:left w:val="none" w:sz="0" w:space="0" w:color="auto"/>
        <w:bottom w:val="none" w:sz="0" w:space="0" w:color="auto"/>
        <w:right w:val="none" w:sz="0" w:space="0" w:color="auto"/>
      </w:divBdr>
    </w:div>
    <w:div w:id="1918975103">
      <w:bodyDiv w:val="1"/>
      <w:marLeft w:val="0"/>
      <w:marRight w:val="0"/>
      <w:marTop w:val="0"/>
      <w:marBottom w:val="0"/>
      <w:divBdr>
        <w:top w:val="none" w:sz="0" w:space="0" w:color="auto"/>
        <w:left w:val="none" w:sz="0" w:space="0" w:color="auto"/>
        <w:bottom w:val="none" w:sz="0" w:space="0" w:color="auto"/>
        <w:right w:val="none" w:sz="0" w:space="0" w:color="auto"/>
      </w:divBdr>
    </w:div>
    <w:div w:id="1982032435">
      <w:bodyDiv w:val="1"/>
      <w:marLeft w:val="0"/>
      <w:marRight w:val="0"/>
      <w:marTop w:val="0"/>
      <w:marBottom w:val="0"/>
      <w:divBdr>
        <w:top w:val="none" w:sz="0" w:space="0" w:color="auto"/>
        <w:left w:val="none" w:sz="0" w:space="0" w:color="auto"/>
        <w:bottom w:val="none" w:sz="0" w:space="0" w:color="auto"/>
        <w:right w:val="none" w:sz="0" w:space="0" w:color="auto"/>
      </w:divBdr>
    </w:div>
    <w:div w:id="2005158729">
      <w:bodyDiv w:val="1"/>
      <w:marLeft w:val="0"/>
      <w:marRight w:val="0"/>
      <w:marTop w:val="0"/>
      <w:marBottom w:val="0"/>
      <w:divBdr>
        <w:top w:val="none" w:sz="0" w:space="0" w:color="auto"/>
        <w:left w:val="none" w:sz="0" w:space="0" w:color="auto"/>
        <w:bottom w:val="none" w:sz="0" w:space="0" w:color="auto"/>
        <w:right w:val="none" w:sz="0" w:space="0" w:color="auto"/>
      </w:divBdr>
      <w:divsChild>
        <w:div w:id="789324519">
          <w:marLeft w:val="547"/>
          <w:marRight w:val="0"/>
          <w:marTop w:val="0"/>
          <w:marBottom w:val="0"/>
          <w:divBdr>
            <w:top w:val="none" w:sz="0" w:space="0" w:color="auto"/>
            <w:left w:val="none" w:sz="0" w:space="0" w:color="auto"/>
            <w:bottom w:val="none" w:sz="0" w:space="0" w:color="auto"/>
            <w:right w:val="none" w:sz="0" w:space="0" w:color="auto"/>
          </w:divBdr>
        </w:div>
      </w:divsChild>
    </w:div>
    <w:div w:id="2010133544">
      <w:bodyDiv w:val="1"/>
      <w:marLeft w:val="0"/>
      <w:marRight w:val="0"/>
      <w:marTop w:val="0"/>
      <w:marBottom w:val="0"/>
      <w:divBdr>
        <w:top w:val="none" w:sz="0" w:space="0" w:color="auto"/>
        <w:left w:val="none" w:sz="0" w:space="0" w:color="auto"/>
        <w:bottom w:val="none" w:sz="0" w:space="0" w:color="auto"/>
        <w:right w:val="none" w:sz="0" w:space="0" w:color="auto"/>
      </w:divBdr>
    </w:div>
    <w:div w:id="2055156062">
      <w:bodyDiv w:val="1"/>
      <w:marLeft w:val="0"/>
      <w:marRight w:val="0"/>
      <w:marTop w:val="0"/>
      <w:marBottom w:val="0"/>
      <w:divBdr>
        <w:top w:val="none" w:sz="0" w:space="0" w:color="auto"/>
        <w:left w:val="none" w:sz="0" w:space="0" w:color="auto"/>
        <w:bottom w:val="none" w:sz="0" w:space="0" w:color="auto"/>
        <w:right w:val="none" w:sz="0" w:space="0" w:color="auto"/>
      </w:divBdr>
    </w:div>
    <w:div w:id="2059090698">
      <w:bodyDiv w:val="1"/>
      <w:marLeft w:val="0"/>
      <w:marRight w:val="0"/>
      <w:marTop w:val="0"/>
      <w:marBottom w:val="0"/>
      <w:divBdr>
        <w:top w:val="none" w:sz="0" w:space="0" w:color="auto"/>
        <w:left w:val="none" w:sz="0" w:space="0" w:color="auto"/>
        <w:bottom w:val="none" w:sz="0" w:space="0" w:color="auto"/>
        <w:right w:val="none" w:sz="0" w:space="0" w:color="auto"/>
      </w:divBdr>
      <w:divsChild>
        <w:div w:id="1192453590">
          <w:marLeft w:val="547"/>
          <w:marRight w:val="0"/>
          <w:marTop w:val="0"/>
          <w:marBottom w:val="0"/>
          <w:divBdr>
            <w:top w:val="none" w:sz="0" w:space="0" w:color="auto"/>
            <w:left w:val="none" w:sz="0" w:space="0" w:color="auto"/>
            <w:bottom w:val="none" w:sz="0" w:space="0" w:color="auto"/>
            <w:right w:val="none" w:sz="0" w:space="0" w:color="auto"/>
          </w:divBdr>
        </w:div>
      </w:divsChild>
    </w:div>
    <w:div w:id="2083331864">
      <w:bodyDiv w:val="1"/>
      <w:marLeft w:val="0"/>
      <w:marRight w:val="0"/>
      <w:marTop w:val="0"/>
      <w:marBottom w:val="0"/>
      <w:divBdr>
        <w:top w:val="none" w:sz="0" w:space="0" w:color="auto"/>
        <w:left w:val="none" w:sz="0" w:space="0" w:color="auto"/>
        <w:bottom w:val="none" w:sz="0" w:space="0" w:color="auto"/>
        <w:right w:val="none" w:sz="0" w:space="0" w:color="auto"/>
      </w:divBdr>
    </w:div>
    <w:div w:id="2084642269">
      <w:bodyDiv w:val="1"/>
      <w:marLeft w:val="0"/>
      <w:marRight w:val="0"/>
      <w:marTop w:val="0"/>
      <w:marBottom w:val="0"/>
      <w:divBdr>
        <w:top w:val="none" w:sz="0" w:space="0" w:color="auto"/>
        <w:left w:val="none" w:sz="0" w:space="0" w:color="auto"/>
        <w:bottom w:val="none" w:sz="0" w:space="0" w:color="auto"/>
        <w:right w:val="none" w:sz="0" w:space="0" w:color="auto"/>
      </w:divBdr>
    </w:div>
    <w:div w:id="2086761004">
      <w:bodyDiv w:val="1"/>
      <w:marLeft w:val="0"/>
      <w:marRight w:val="0"/>
      <w:marTop w:val="0"/>
      <w:marBottom w:val="0"/>
      <w:divBdr>
        <w:top w:val="none" w:sz="0" w:space="0" w:color="auto"/>
        <w:left w:val="none" w:sz="0" w:space="0" w:color="auto"/>
        <w:bottom w:val="none" w:sz="0" w:space="0" w:color="auto"/>
        <w:right w:val="none" w:sz="0" w:space="0" w:color="auto"/>
      </w:divBdr>
    </w:div>
    <w:div w:id="2089305625">
      <w:bodyDiv w:val="1"/>
      <w:marLeft w:val="0"/>
      <w:marRight w:val="0"/>
      <w:marTop w:val="0"/>
      <w:marBottom w:val="0"/>
      <w:divBdr>
        <w:top w:val="none" w:sz="0" w:space="0" w:color="auto"/>
        <w:left w:val="none" w:sz="0" w:space="0" w:color="auto"/>
        <w:bottom w:val="none" w:sz="0" w:space="0" w:color="auto"/>
        <w:right w:val="none" w:sz="0" w:space="0" w:color="auto"/>
      </w:divBdr>
    </w:div>
    <w:div w:id="2120684836">
      <w:bodyDiv w:val="1"/>
      <w:marLeft w:val="0"/>
      <w:marRight w:val="0"/>
      <w:marTop w:val="0"/>
      <w:marBottom w:val="0"/>
      <w:divBdr>
        <w:top w:val="none" w:sz="0" w:space="0" w:color="auto"/>
        <w:left w:val="none" w:sz="0" w:space="0" w:color="auto"/>
        <w:bottom w:val="none" w:sz="0" w:space="0" w:color="auto"/>
        <w:right w:val="none" w:sz="0" w:space="0" w:color="auto"/>
      </w:divBdr>
      <w:divsChild>
        <w:div w:id="881752833">
          <w:marLeft w:val="0"/>
          <w:marRight w:val="450"/>
          <w:marTop w:val="0"/>
          <w:marBottom w:val="0"/>
          <w:divBdr>
            <w:top w:val="none" w:sz="0" w:space="0" w:color="auto"/>
            <w:left w:val="none" w:sz="0" w:space="0" w:color="auto"/>
            <w:bottom w:val="none" w:sz="0" w:space="0" w:color="auto"/>
            <w:right w:val="none" w:sz="0" w:space="0" w:color="auto"/>
          </w:divBdr>
        </w:div>
      </w:divsChild>
    </w:div>
    <w:div w:id="2125802073">
      <w:bodyDiv w:val="1"/>
      <w:marLeft w:val="0"/>
      <w:marRight w:val="0"/>
      <w:marTop w:val="0"/>
      <w:marBottom w:val="0"/>
      <w:divBdr>
        <w:top w:val="none" w:sz="0" w:space="0" w:color="auto"/>
        <w:left w:val="none" w:sz="0" w:space="0" w:color="auto"/>
        <w:bottom w:val="none" w:sz="0" w:space="0" w:color="auto"/>
        <w:right w:val="none" w:sz="0" w:space="0" w:color="auto"/>
      </w:divBdr>
      <w:divsChild>
        <w:div w:id="14533263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emf"/><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image" Target="media/image2.png"/><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theglobalfund.org/en/operational/"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www.theglobalfund.org/en/fundingmodel/process/cofinanc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p:properties xmlns:p="http://schemas.microsoft.com/office/2006/metadata/properties" xmlns:xsi="http://www.w3.org/2001/XMLSchema-instance">
  <documentManagement>
    <_dlc_DocId xmlns="a03ac030-8fc0-429e-a59d-aec15056182b">3NAZ7T4E3CZ3-539361286-34</_dlc_DocId>
    <_dlc_DocIdUrl xmlns="a03ac030-8fc0-429e-a59d-aec15056182b">
      <Url>https://tgf.sharepoint.com/sites/TSA2F1/A2FD/_layouts/15/DocIdRedir.aspx?ID=3NAZ7T4E3CZ3-539361286-34</Url>
      <Description>3NAZ7T4E3CZ3-539361286-34</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2714F5FB86B24744BC1AA41336D5CD4B" ma:contentTypeVersion="0" ma:contentTypeDescription="Create a new document." ma:contentTypeScope="" ma:versionID="8685a0eab63e14222efc4320bb780fb9">
  <xsd:schema xmlns:xsd="http://www.w3.org/2001/XMLSchema" xmlns:xs="http://www.w3.org/2001/XMLSchema" xmlns:p="http://schemas.microsoft.com/office/2006/metadata/properties" xmlns:ns2="a03ac030-8fc0-429e-a59d-aec15056182b" targetNamespace="http://schemas.microsoft.com/office/2006/metadata/properties" ma:root="true" ma:fieldsID="ef9b96effaf534e271422cf91052dab0" ns2:_="">
    <xsd:import namespace="a03ac030-8fc0-429e-a59d-aec15056182b"/>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03ac030-8fc0-429e-a59d-aec15056182b"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816CCD-4E12-4EA3-A18B-57AA704D01C2}">
  <ds:schemaRefs>
    <ds:schemaRef ds:uri="http://schemas.microsoft.com/sharepoint/v3/contenttype/forms"/>
  </ds:schemaRefs>
</ds:datastoreItem>
</file>

<file path=customXml/itemProps2.xml><?xml version="1.0" encoding="utf-8"?>
<ds:datastoreItem xmlns:ds="http://schemas.openxmlformats.org/officeDocument/2006/customXml" ds:itemID="{E070B5BB-12E2-41A8-A1A5-2B58BB2B2CEA}">
  <ds:schemaRefs>
    <ds:schemaRef ds:uri="http://schemas.microsoft.com/sharepoint/events"/>
  </ds:schemaRefs>
</ds:datastoreItem>
</file>

<file path=customXml/itemProps3.xml><?xml version="1.0" encoding="utf-8"?>
<ds:datastoreItem xmlns:ds="http://schemas.openxmlformats.org/officeDocument/2006/customXml" ds:itemID="{F1B80F24-090B-481F-AEB2-8A7F8CC9610A}">
  <ds:schemaRefs>
    <ds:schemaRef ds:uri="http://schemas.microsoft.com/office/2006/metadata/properties"/>
    <ds:schemaRef ds:uri="a03ac030-8fc0-429e-a59d-aec15056182b"/>
  </ds:schemaRefs>
</ds:datastoreItem>
</file>

<file path=customXml/itemProps4.xml><?xml version="1.0" encoding="utf-8"?>
<ds:datastoreItem xmlns:ds="http://schemas.openxmlformats.org/officeDocument/2006/customXml" ds:itemID="{0A843F39-EBD9-4B30-AA9A-4509931EDE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03ac030-8fc0-429e-a59d-aec1505618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876FC19-5F4B-4829-862E-DA432B6A0927}">
  <ds:schemaRefs>
    <ds:schemaRef ds:uri="http://schemas.openxmlformats.org/officeDocument/2006/bibliography"/>
  </ds:schemaRefs>
</ds:datastoreItem>
</file>

<file path=customXml/itemProps6.xml><?xml version="1.0" encoding="utf-8"?>
<ds:datastoreItem xmlns:ds="http://schemas.openxmlformats.org/officeDocument/2006/customXml" ds:itemID="{FF15A842-8038-47BD-8EFF-E99E149E1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8802</Words>
  <Characters>50175</Characters>
  <Application>Microsoft Office Word</Application>
  <DocSecurity>0</DocSecurity>
  <Lines>418</Lines>
  <Paragraphs>117</Paragraphs>
  <ScaleCrop>false</ScaleCrop>
  <HeadingPairs>
    <vt:vector size="2" baseType="variant">
      <vt:variant>
        <vt:lpstr>Title</vt:lpstr>
      </vt:variant>
      <vt:variant>
        <vt:i4>1</vt:i4>
      </vt:variant>
    </vt:vector>
  </HeadingPairs>
  <TitlesOfParts>
    <vt:vector size="1" baseType="lpstr">
      <vt:lpstr>Funding_Request_MaterialChange_EN</vt:lpstr>
    </vt:vector>
  </TitlesOfParts>
  <Company>The Global Fund</Company>
  <LinksUpToDate>false</LinksUpToDate>
  <CharactersWithSpaces>58860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Funding_Request_MaterialChange_EN</dc:title>
  <dc:subject/>
  <dc:creator>Richard Grahn</dc:creator>
  <cp:keywords/>
  <dc:description/>
  <cp:lastModifiedBy>Liliana</cp:lastModifiedBy>
  <cp:revision>6</cp:revision>
  <cp:lastPrinted>2016-11-25T20:51:00Z</cp:lastPrinted>
  <dcterms:created xsi:type="dcterms:W3CDTF">2017-05-18T17:52:00Z</dcterms:created>
  <dcterms:modified xsi:type="dcterms:W3CDTF">2017-05-19T06:29:00Z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0x0101002714F5FB86B24744BC1AA41336D5CD4B</vt:lpwstr>
  </property>
  <property fmtid="{D5CDD505-2E9C-101B-9397-08002B2CF9AE}" pid="4" name="WorkflowCreationPath">
    <vt:lpwstr>2f7debbc-2b8d-44a1-9e0a-4005030c88f4,21;</vt:lpwstr>
  </property>
  <property fmtid="{D5CDD505-2E9C-101B-9397-08002B2CF9AE}" pid="5" name="Author">
    <vt:lpwstr>3;#;UserInfo</vt:lpwstr>
  </property>
  <property fmtid="{D5CDD505-2E9C-101B-9397-08002B2CF9AE}" pid="6" name="Order">
    <vt:r8>100</vt:r8>
  </property>
  <property fmtid="{D5CDD505-2E9C-101B-9397-08002B2CF9AE}" pid="7" name="URL">
    <vt:lpwstr/>
  </property>
  <property fmtid="{D5CDD505-2E9C-101B-9397-08002B2CF9AE}" pid="8" name="Modified">
    <vt:filetime>2015-03-11T14:13:05Z</vt:filetime>
  </property>
  <property fmtid="{D5CDD505-2E9C-101B-9397-08002B2CF9AE}" pid="9" name="Editor">
    <vt:lpwstr>3;#;UserInfo</vt:lpwstr>
  </property>
  <property fmtid="{D5CDD505-2E9C-101B-9397-08002B2CF9AE}" pid="10" name="Created">
    <vt:filetime>2015-03-11T14:12:59Z</vt:filetime>
  </property>
  <property fmtid="{D5CDD505-2E9C-101B-9397-08002B2CF9AE}" pid="11" name="_dlc_DocId">
    <vt:lpwstr>3NAZ7T4E3CZ3-1392380233-525</vt:lpwstr>
  </property>
  <property fmtid="{D5CDD505-2E9C-101B-9397-08002B2CF9AE}" pid="12" name="_dlc_DocIdUrl">
    <vt:lpwstr>https://tgf.sharepoint.com/sites/TSA2F1/ASTM/_layouts/15/DocIdRedir.aspx?ID=3NAZ7T4E3CZ3-1392380233-525, 3NAZ7T4E3CZ3-1392380233-525</vt:lpwstr>
  </property>
  <property fmtid="{D5CDD505-2E9C-101B-9397-08002B2CF9AE}" pid="13" name="_dlc_DocIdItemGuid">
    <vt:lpwstr>41ce7dbf-d8a7-4640-ae3d-8f1b50ca6441</vt:lpwstr>
  </property>
</Properties>
</file>